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FB93" w14:textId="37935FC5" w:rsidR="000F590B" w:rsidRDefault="002B1EFB" w:rsidP="002B1EFB">
      <w:pPr>
        <w:pStyle w:val="cpNzevsmlouvy"/>
        <w:spacing w:after="0"/>
      </w:pPr>
      <w:r>
        <w:t xml:space="preserve">Příloha č. 1 - Ceník ke Smlouvě </w:t>
      </w:r>
      <w:r w:rsidR="00955C8C">
        <w:t xml:space="preserve">č. </w:t>
      </w:r>
      <w:r w:rsidR="00346EA7">
        <w:t>XXX</w:t>
      </w:r>
      <w:r w:rsidR="00426652" w:rsidRPr="00426652">
        <w:t xml:space="preserve"> </w:t>
      </w:r>
      <w:r w:rsidR="00FC06F5" w:rsidRPr="00A466FE">
        <w:t>- Cena za službu</w:t>
      </w:r>
      <w:r>
        <w:t xml:space="preserve"> </w:t>
      </w:r>
      <w:r w:rsidR="007372EA" w:rsidRPr="00A466FE">
        <w:t>Obchodní psaní</w:t>
      </w:r>
      <w:r w:rsidR="00FC06F5" w:rsidRPr="00A466FE">
        <w:t xml:space="preserve"> sjednaná </w:t>
      </w:r>
    </w:p>
    <w:p w14:paraId="3AFFFA37" w14:textId="44AD9F71" w:rsidR="00732CFD" w:rsidRDefault="00FC06F5" w:rsidP="002B1EFB">
      <w:pPr>
        <w:pStyle w:val="cpNzevsmlouvy"/>
        <w:spacing w:after="0"/>
      </w:pPr>
      <w:r w:rsidRPr="00A466FE">
        <w:t xml:space="preserve">pro období od </w:t>
      </w:r>
      <w:r w:rsidR="00BB5D5B">
        <w:t>1. 1. 2021</w:t>
      </w:r>
      <w:r w:rsidRPr="00A466FE">
        <w:t xml:space="preserve"> do </w:t>
      </w:r>
      <w:r w:rsidR="00BB5D5B">
        <w:t>31. 12. 2021</w:t>
      </w:r>
    </w:p>
    <w:p w14:paraId="092EE374" w14:textId="77777777" w:rsidR="00C91F5C" w:rsidRPr="004C39CF" w:rsidRDefault="00C91F5C" w:rsidP="00FC06F5">
      <w:pPr>
        <w:pStyle w:val="cpNzevsmlouvy"/>
        <w:spacing w:after="0"/>
      </w:pPr>
    </w:p>
    <w:p w14:paraId="66D899F4" w14:textId="386F0A84" w:rsidR="007372EA" w:rsidRDefault="002E0F6A" w:rsidP="00955C8C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0F590B">
        <w:t>1</w:t>
      </w:r>
      <w:r w:rsidR="005564E7">
        <w:t xml:space="preserve"> (dále jen „Příloha“)</w:t>
      </w:r>
      <w:r w:rsidR="005564E7" w:rsidRPr="005564E7">
        <w:t xml:space="preserve"> </w:t>
      </w:r>
      <w:r w:rsidR="002B1EFB">
        <w:t xml:space="preserve">ke Smlouvě o ceně za podávané zásilky Obchodní </w:t>
      </w:r>
      <w:proofErr w:type="gramStart"/>
      <w:r w:rsidR="002B1EFB">
        <w:t>psaní  č.</w:t>
      </w:r>
      <w:proofErr w:type="gramEnd"/>
      <w:r w:rsidR="002B1EFB">
        <w:t xml:space="preserve"> </w:t>
      </w:r>
      <w:r w:rsidR="00346EA7">
        <w:t>XXX-</w:t>
      </w:r>
      <w:r w:rsidR="005564E7" w:rsidRPr="005564E7">
        <w:t>(dále jen „</w:t>
      </w:r>
      <w:r w:rsidR="00E43831">
        <w:t>Smlouv</w:t>
      </w:r>
      <w:r w:rsidR="005B0A5A">
        <w:t>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B976A9">
        <w:t>Odesílat</w:t>
      </w:r>
      <w:r w:rsidR="00140CAF">
        <w:t xml:space="preserve">elem </w:t>
      </w:r>
      <w:r w:rsidR="003E2D12">
        <w:t xml:space="preserve">dle </w:t>
      </w:r>
      <w:r w:rsidR="00E43831">
        <w:t>Smlouv</w:t>
      </w:r>
      <w:r w:rsidR="003E2D12">
        <w:t xml:space="preserve">y v </w:t>
      </w:r>
      <w:r w:rsidR="00EB05B5">
        <w:t xml:space="preserve">období </w:t>
      </w:r>
      <w:r w:rsidR="005564E7" w:rsidRPr="005564E7">
        <w:t xml:space="preserve">od </w:t>
      </w:r>
      <w:r w:rsidR="00BB5D5B">
        <w:t>1. 1. 2021</w:t>
      </w:r>
      <w:r w:rsidR="005564E7" w:rsidRPr="004C39CF">
        <w:t xml:space="preserve"> </w:t>
      </w:r>
      <w:r w:rsidR="005564E7" w:rsidRPr="005564E7">
        <w:t xml:space="preserve">do </w:t>
      </w:r>
      <w:r w:rsidR="00BB5D5B">
        <w:t>31. 12. 2021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</w:t>
      </w:r>
      <w:r w:rsidR="00ED3F61">
        <w:t xml:space="preserve"> </w:t>
      </w:r>
      <w:r w:rsidR="003E2D12" w:rsidRPr="00EA3A18">
        <w:t>p. – Ceník základních poštovních služeb a ostatních služeb (dále jen „Ceník“)</w:t>
      </w:r>
      <w:r w:rsidR="003E2D12">
        <w:t>.</w:t>
      </w:r>
    </w:p>
    <w:p w14:paraId="1E97040D" w14:textId="388F3626" w:rsidR="007372EA" w:rsidRPr="00140CAF" w:rsidRDefault="00BF6E72" w:rsidP="00A466FE">
      <w:pPr>
        <w:pStyle w:val="cpodstavecslovan1"/>
      </w:pPr>
      <w:r>
        <w:t xml:space="preserve">V případě nespecifikované zakázky </w:t>
      </w:r>
      <w:r w:rsidR="002C0842">
        <w:t xml:space="preserve">v objemu </w:t>
      </w:r>
      <w:r>
        <w:t xml:space="preserve">podání </w:t>
      </w:r>
      <w:r w:rsidR="002C0842">
        <w:t xml:space="preserve">nad </w:t>
      </w:r>
      <w:r w:rsidR="00346EA7">
        <w:t>XXX</w:t>
      </w:r>
      <w:r w:rsidR="002C0842">
        <w:t xml:space="preserve"> ks ročně, se použije cena uvedená </w:t>
      </w:r>
      <w:r w:rsidR="00402768">
        <w:t xml:space="preserve">v prvním sloupci tabulky připojené níže </w:t>
      </w:r>
      <w:r w:rsidR="002C0842">
        <w:t xml:space="preserve">v tomto bodě. </w:t>
      </w:r>
      <w:r w:rsidR="007372EA" w:rsidRPr="00A466FE">
        <w:t xml:space="preserve">Jelikož předpokládaný objem </w:t>
      </w:r>
      <w:r w:rsidR="003E2D12">
        <w:t>z</w:t>
      </w:r>
      <w:r w:rsidR="00D52347">
        <w:t>ásil</w:t>
      </w:r>
      <w:r w:rsidR="007372EA" w:rsidRPr="00A466FE">
        <w:t xml:space="preserve">ek </w:t>
      </w:r>
      <w:r w:rsidR="00EB05B5">
        <w:t>Obchodní psaní (dále jen „Zásilky“)</w:t>
      </w:r>
      <w:r w:rsidR="007372EA" w:rsidRPr="00A466FE">
        <w:t xml:space="preserve"> podaných </w:t>
      </w:r>
      <w:r w:rsidR="00B976A9">
        <w:t>Odesílat</w:t>
      </w:r>
      <w:r w:rsidR="00140CAF">
        <w:t xml:space="preserve">elem </w:t>
      </w:r>
      <w:r w:rsidR="002A17A3">
        <w:t xml:space="preserve">v rámci nespecifikované zakázky </w:t>
      </w:r>
      <w:r w:rsidR="007372EA" w:rsidRPr="00A466FE">
        <w:t xml:space="preserve">v </w:t>
      </w:r>
      <w:r w:rsidR="003E2D12">
        <w:t>S</w:t>
      </w:r>
      <w:r w:rsidR="003E2D12" w:rsidRPr="00A466FE">
        <w:t xml:space="preserve">jednaném </w:t>
      </w:r>
      <w:r w:rsidR="007372EA" w:rsidRPr="00A466FE">
        <w:t xml:space="preserve">období je nad </w:t>
      </w:r>
      <w:r w:rsidR="00346EA7">
        <w:t>XXX</w:t>
      </w:r>
      <w:r w:rsidR="007372EA" w:rsidRPr="00A466FE">
        <w:t xml:space="preserve"> ks, je pro průběž</w:t>
      </w:r>
      <w:r w:rsidR="003E2D12">
        <w:t>n</w:t>
      </w:r>
      <w:r w:rsidR="007372EA" w:rsidRPr="00A466FE">
        <w:t xml:space="preserve">é účtování ceny </w:t>
      </w:r>
      <w:r w:rsidR="007372EA" w:rsidRPr="00140CAF">
        <w:t xml:space="preserve">služeb </w:t>
      </w:r>
      <w:r w:rsidR="00AC79FB" w:rsidRPr="00595108">
        <w:t>v případě nespecifikované zakázky</w:t>
      </w:r>
      <w:r w:rsidR="00BC0A9E" w:rsidRPr="00140CAF">
        <w:t xml:space="preserve"> </w:t>
      </w:r>
      <w:r w:rsidR="00AC79FB" w:rsidRPr="00595108">
        <w:t>(zakázky, která nesplňuje podmínky uvedené v bodě 1.4.1)</w:t>
      </w:r>
      <w:r w:rsidR="00140CAF">
        <w:t xml:space="preserve"> </w:t>
      </w:r>
      <w:r w:rsidR="007372EA" w:rsidRPr="00140CAF">
        <w:t xml:space="preserve">základem cena uvedená </w:t>
      </w:r>
      <w:r w:rsidR="00402768">
        <w:t xml:space="preserve">v druhém sloupci tabulky připojené níže </w:t>
      </w:r>
      <w:r w:rsidR="00A466FE" w:rsidRPr="00140CAF">
        <w:t>v tomto bodě</w:t>
      </w:r>
      <w:r w:rsidR="00402768">
        <w:t>.</w:t>
      </w:r>
      <w:r w:rsidR="007372EA" w:rsidRPr="00140CAF">
        <w:t xml:space="preserve"> </w:t>
      </w:r>
      <w:r w:rsidR="00D52347" w:rsidRPr="00140CAF">
        <w:t xml:space="preserve"> </w:t>
      </w:r>
    </w:p>
    <w:p w14:paraId="22833B78" w14:textId="77777777" w:rsidR="00A466FE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Cs/>
          <w:sz w:val="22"/>
          <w:szCs w:val="22"/>
        </w:rPr>
      </w:pPr>
      <w:r w:rsidRPr="00A466FE">
        <w:rPr>
          <w:bCs/>
          <w:sz w:val="22"/>
          <w:szCs w:val="22"/>
        </w:rPr>
        <w:t>Ceny v Kč/</w:t>
      </w:r>
      <w:r>
        <w:rPr>
          <w:bCs/>
          <w:sz w:val="22"/>
          <w:szCs w:val="22"/>
        </w:rPr>
        <w:t xml:space="preserve">1 </w:t>
      </w:r>
      <w:r w:rsidRPr="00A466FE">
        <w:rPr>
          <w:bCs/>
          <w:sz w:val="22"/>
          <w:szCs w:val="22"/>
        </w:rPr>
        <w:t>ks za</w:t>
      </w:r>
      <w:r>
        <w:rPr>
          <w:bCs/>
          <w:sz w:val="22"/>
          <w:szCs w:val="22"/>
        </w:rPr>
        <w:t xml:space="preserve"> službu</w:t>
      </w:r>
      <w:r w:rsidRPr="00A466FE">
        <w:rPr>
          <w:bCs/>
          <w:sz w:val="22"/>
          <w:szCs w:val="22"/>
        </w:rPr>
        <w:t xml:space="preserve"> Obchodní psaní dle hmotnostních pásem</w:t>
      </w:r>
      <w:r w:rsidR="002E0F6A">
        <w:rPr>
          <w:bCs/>
          <w:sz w:val="22"/>
          <w:szCs w:val="22"/>
        </w:rPr>
        <w:t>:</w:t>
      </w:r>
    </w:p>
    <w:p w14:paraId="1F8D2EC8" w14:textId="47C88F26" w:rsidR="00646EB2" w:rsidRPr="004E3C23" w:rsidRDefault="00646EB2" w:rsidP="00B47940">
      <w:pPr>
        <w:pStyle w:val="P-NORMAL-TEXT"/>
        <w:ind w:left="616"/>
        <w:rPr>
          <w:rFonts w:ascii="Times New Roman" w:hAnsi="Times New Roman"/>
          <w:sz w:val="22"/>
          <w:szCs w:val="22"/>
        </w:rPr>
      </w:pPr>
    </w:p>
    <w:tbl>
      <w:tblPr>
        <w:tblW w:w="3892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1276"/>
        <w:gridCol w:w="1417"/>
      </w:tblGrid>
      <w:tr w:rsidR="00646EB2" w:rsidRPr="004E3C23" w14:paraId="33BCBF2B" w14:textId="77777777" w:rsidTr="00B47940">
        <w:trPr>
          <w:trHeight w:val="250"/>
        </w:trPr>
        <w:tc>
          <w:tcPr>
            <w:tcW w:w="1199" w:type="dxa"/>
            <w:tcBorders>
              <w:bottom w:val="nil"/>
            </w:tcBorders>
            <w:shd w:val="clear" w:color="auto" w:fill="F2F2F2"/>
          </w:tcPr>
          <w:p w14:paraId="06486D60" w14:textId="77777777" w:rsidR="00646EB2" w:rsidRPr="004E3C23" w:rsidRDefault="00646EB2" w:rsidP="002C0842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 xml:space="preserve">Hmotnost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2398B0A0" w14:textId="77777777" w:rsidR="00646EB2" w:rsidRPr="007D1749" w:rsidRDefault="00646EB2" w:rsidP="002C0842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Cena v Kč/1 ks</w:t>
            </w:r>
            <w:r>
              <w:rPr>
                <w:sz w:val="22"/>
                <w:szCs w:val="22"/>
              </w:rPr>
              <w:t xml:space="preserve"> (bez DPH)</w:t>
            </w:r>
            <w:r w:rsidRPr="007D1749">
              <w:rPr>
                <w:sz w:val="22"/>
                <w:szCs w:val="22"/>
              </w:rPr>
              <w:t xml:space="preserve"> </w:t>
            </w:r>
          </w:p>
        </w:tc>
      </w:tr>
      <w:tr w:rsidR="00646EB2" w:rsidRPr="004E3C23" w14:paraId="4A75B49B" w14:textId="77777777" w:rsidTr="00B47940">
        <w:trPr>
          <w:trHeight w:val="232"/>
        </w:trPr>
        <w:tc>
          <w:tcPr>
            <w:tcW w:w="1199" w:type="dxa"/>
            <w:tcBorders>
              <w:top w:val="nil"/>
              <w:bottom w:val="double" w:sz="4" w:space="0" w:color="auto"/>
            </w:tcBorders>
            <w:shd w:val="clear" w:color="auto" w:fill="F2F2F2"/>
          </w:tcPr>
          <w:p w14:paraId="6AFEB4AD" w14:textId="77777777" w:rsidR="00646EB2" w:rsidRPr="004E3C23" w:rsidRDefault="00646EB2" w:rsidP="002C0842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od - do (g)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48664BCE" w14:textId="54A71780" w:rsidR="00646EB2" w:rsidRPr="007D1749" w:rsidRDefault="00646EB2" w:rsidP="002C08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1776FA86" w14:textId="796FE4BD" w:rsidR="00646EB2" w:rsidRPr="007D1749" w:rsidRDefault="00646EB2" w:rsidP="002C0842">
            <w:pPr>
              <w:jc w:val="center"/>
              <w:rPr>
                <w:sz w:val="22"/>
                <w:szCs w:val="22"/>
              </w:rPr>
            </w:pPr>
          </w:p>
        </w:tc>
      </w:tr>
      <w:tr w:rsidR="00E90CBC" w:rsidRPr="004E3C23" w14:paraId="78263AAE" w14:textId="77777777" w:rsidTr="00B47940">
        <w:trPr>
          <w:trHeight w:val="235"/>
        </w:trPr>
        <w:tc>
          <w:tcPr>
            <w:tcW w:w="1199" w:type="dxa"/>
            <w:tcBorders>
              <w:top w:val="double" w:sz="4" w:space="0" w:color="auto"/>
            </w:tcBorders>
          </w:tcPr>
          <w:p w14:paraId="209E748E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do 50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9EA21AE" w14:textId="36492D8D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bottom"/>
          </w:tcPr>
          <w:p w14:paraId="261B15F6" w14:textId="293D789F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0AB70D75" w14:textId="77777777" w:rsidTr="00B47940">
        <w:trPr>
          <w:trHeight w:val="235"/>
        </w:trPr>
        <w:tc>
          <w:tcPr>
            <w:tcW w:w="1199" w:type="dxa"/>
          </w:tcPr>
          <w:p w14:paraId="6DA62DE1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51-100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B3AF692" w14:textId="375A1DE3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011ECD2" w14:textId="30654022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376E8C52" w14:textId="77777777" w:rsidTr="00B47940">
        <w:trPr>
          <w:trHeight w:val="235"/>
        </w:trPr>
        <w:tc>
          <w:tcPr>
            <w:tcW w:w="1199" w:type="dxa"/>
          </w:tcPr>
          <w:p w14:paraId="2B8BFAD3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101-200 g</w:t>
            </w:r>
            <w:r w:rsidRPr="0028669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14:paraId="342248C5" w14:textId="0DB909FB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24E786C" w14:textId="17395686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2C4B6B00" w14:textId="77777777" w:rsidTr="00B47940">
        <w:trPr>
          <w:trHeight w:val="235"/>
        </w:trPr>
        <w:tc>
          <w:tcPr>
            <w:tcW w:w="1199" w:type="dxa"/>
          </w:tcPr>
          <w:p w14:paraId="2709EB66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201-300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42987814" w14:textId="0D8502B5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E4370CD" w14:textId="0EC0979C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193513C8" w14:textId="77777777" w:rsidTr="00B47940">
        <w:trPr>
          <w:trHeight w:val="235"/>
        </w:trPr>
        <w:tc>
          <w:tcPr>
            <w:tcW w:w="1199" w:type="dxa"/>
          </w:tcPr>
          <w:p w14:paraId="6454A2A9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301-400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DF1080F" w14:textId="30E7552D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2CEF90C" w14:textId="42C594B9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4A4DBEE1" w14:textId="77777777" w:rsidTr="00B47940">
        <w:trPr>
          <w:trHeight w:val="235"/>
        </w:trPr>
        <w:tc>
          <w:tcPr>
            <w:tcW w:w="1199" w:type="dxa"/>
          </w:tcPr>
          <w:p w14:paraId="2444B201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401-500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7A6D9BBD" w14:textId="6FCF6A07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9FC9785" w14:textId="35BB5C44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53D2E0E2" w14:textId="77777777" w:rsidTr="00B47940">
        <w:trPr>
          <w:trHeight w:val="235"/>
        </w:trPr>
        <w:tc>
          <w:tcPr>
            <w:tcW w:w="1199" w:type="dxa"/>
          </w:tcPr>
          <w:p w14:paraId="23A0975B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501-600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2DB3AD3" w14:textId="03032B59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F6C9669" w14:textId="032379C5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71B441C6" w14:textId="77777777" w:rsidTr="00B47940">
        <w:trPr>
          <w:trHeight w:val="235"/>
        </w:trPr>
        <w:tc>
          <w:tcPr>
            <w:tcW w:w="1199" w:type="dxa"/>
          </w:tcPr>
          <w:p w14:paraId="5C0A146B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601-700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9BE304E" w14:textId="1BA00573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04FD53C" w14:textId="2BA2B254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4DC6C3CA" w14:textId="77777777" w:rsidTr="00B47940">
        <w:trPr>
          <w:trHeight w:val="235"/>
        </w:trPr>
        <w:tc>
          <w:tcPr>
            <w:tcW w:w="1199" w:type="dxa"/>
          </w:tcPr>
          <w:p w14:paraId="2B4C471C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701-800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850D284" w14:textId="7541153B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FA8E786" w14:textId="64FDBCCE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0A1C6E46" w14:textId="77777777" w:rsidTr="00B47940">
        <w:trPr>
          <w:trHeight w:val="235"/>
        </w:trPr>
        <w:tc>
          <w:tcPr>
            <w:tcW w:w="1199" w:type="dxa"/>
          </w:tcPr>
          <w:p w14:paraId="5D51FA7E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801-900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D039302" w14:textId="77315B9D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D2B8864" w14:textId="5CD875F0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0CBC" w:rsidRPr="004E3C23" w14:paraId="43EEC7E7" w14:textId="77777777" w:rsidTr="00B47940">
        <w:trPr>
          <w:trHeight w:val="235"/>
        </w:trPr>
        <w:tc>
          <w:tcPr>
            <w:tcW w:w="1199" w:type="dxa"/>
          </w:tcPr>
          <w:p w14:paraId="7FBF3656" w14:textId="77777777" w:rsidR="00E90CBC" w:rsidRDefault="00E90CBC" w:rsidP="00E90CB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901-1000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594894F" w14:textId="4E8B1186" w:rsidR="00E90CBC" w:rsidRPr="00E90CBC" w:rsidRDefault="00E90CBC" w:rsidP="00E9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E649683" w14:textId="3B9497A9" w:rsidR="00E90CBC" w:rsidRPr="00970CA3" w:rsidRDefault="00E90CBC" w:rsidP="00E90C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F2EEC77" w14:textId="0E46F05B" w:rsidR="00FB1FA9" w:rsidRDefault="00FB1FA9" w:rsidP="002B1EFB">
      <w:pPr>
        <w:pStyle w:val="cpodstavecslovan1"/>
        <w:numPr>
          <w:ilvl w:val="0"/>
          <w:numId w:val="0"/>
        </w:numPr>
      </w:pPr>
    </w:p>
    <w:p w14:paraId="1EB9ED36" w14:textId="7FB21668" w:rsidR="00693FA4" w:rsidRPr="002B1EFB" w:rsidRDefault="005B0A5A" w:rsidP="002B1EFB">
      <w:pPr>
        <w:pStyle w:val="cpodstavecslovan1"/>
      </w:pPr>
      <w:r>
        <w:t xml:space="preserve">Strany </w:t>
      </w:r>
      <w:r w:rsidR="00E43831">
        <w:t>Smlouv</w:t>
      </w:r>
      <w:r>
        <w:t>y</w:t>
      </w:r>
      <w:r w:rsidR="007372EA" w:rsidRPr="00A466FE">
        <w:t xml:space="preserve"> se </w:t>
      </w:r>
      <w:r w:rsidR="00E43831">
        <w:t>dohodl</w:t>
      </w:r>
      <w:r w:rsidR="007372EA" w:rsidRPr="00A466FE">
        <w:t xml:space="preserve">y, že po skončení </w:t>
      </w:r>
      <w:r w:rsidR="002E0F6A">
        <w:t>S</w:t>
      </w:r>
      <w:r w:rsidR="002E0F6A" w:rsidRPr="00A466FE">
        <w:t xml:space="preserve">jednaného </w:t>
      </w:r>
      <w:r w:rsidR="007372EA" w:rsidRPr="00A466FE">
        <w:t xml:space="preserve">období proběhne vyúčtování dle skutečně </w:t>
      </w:r>
      <w:r w:rsidR="00B976A9">
        <w:t>Odesílat</w:t>
      </w:r>
      <w:r w:rsidR="00140CAF">
        <w:t>elem</w:t>
      </w:r>
      <w:r w:rsidR="00140CAF" w:rsidRPr="00A466FE">
        <w:t xml:space="preserve"> </w:t>
      </w:r>
      <w:r w:rsidR="007372EA" w:rsidRPr="00A466FE">
        <w:t xml:space="preserve">realizovaného objemu podání </w:t>
      </w:r>
      <w:r w:rsidR="00D52347">
        <w:t>Zásil</w:t>
      </w:r>
      <w:r w:rsidR="007372EA" w:rsidRPr="00A466FE">
        <w:t xml:space="preserve">ek </w:t>
      </w:r>
      <w:r w:rsidR="002A17A3">
        <w:t>v rámci nespecifikované zakázky</w:t>
      </w:r>
      <w:r w:rsidR="007372EA" w:rsidRPr="00A466FE">
        <w:t xml:space="preserve"> ve </w:t>
      </w:r>
      <w:r w:rsidR="002E0F6A">
        <w:t>S</w:t>
      </w:r>
      <w:r w:rsidR="002E0F6A" w:rsidRPr="00A466FE">
        <w:t xml:space="preserve">jednaném </w:t>
      </w:r>
      <w:r w:rsidR="007372EA" w:rsidRPr="00A466FE">
        <w:t xml:space="preserve">období. V případě nedodržení minimálního objemu podání </w:t>
      </w:r>
      <w:r w:rsidR="002A17A3">
        <w:t>v rámci nespecifikované zakázky</w:t>
      </w:r>
      <w:r w:rsidR="002A17A3" w:rsidRPr="00A466FE">
        <w:t xml:space="preserve"> </w:t>
      </w:r>
      <w:r w:rsidR="007372EA" w:rsidRPr="00A466FE">
        <w:t xml:space="preserve">za </w:t>
      </w:r>
      <w:r w:rsidR="002E0F6A">
        <w:t>S</w:t>
      </w:r>
      <w:r w:rsidR="002E0F6A" w:rsidRPr="00A466FE">
        <w:t xml:space="preserve">jednané </w:t>
      </w:r>
      <w:r w:rsidR="007372EA" w:rsidRPr="00A466FE">
        <w:t xml:space="preserve">období nad </w:t>
      </w:r>
      <w:r w:rsidR="00346EA7">
        <w:t>XXX</w:t>
      </w:r>
      <w:r w:rsidR="007372EA" w:rsidRPr="00A466FE">
        <w:t xml:space="preserve"> ks </w:t>
      </w:r>
      <w:r w:rsidR="00D52347">
        <w:t>Zásil</w:t>
      </w:r>
      <w:r w:rsidR="007372EA" w:rsidRPr="00A466FE">
        <w:t>ek bude u </w:t>
      </w:r>
      <w:r w:rsidR="00D52347">
        <w:t>Zásil</w:t>
      </w:r>
      <w:r w:rsidR="007372EA" w:rsidRPr="00A466FE">
        <w:t xml:space="preserve">ek zpoplatněných dle </w:t>
      </w:r>
      <w:r w:rsidR="00A466FE" w:rsidRPr="00A466FE">
        <w:t>této Přílohy</w:t>
      </w:r>
      <w:r w:rsidR="007372EA" w:rsidRPr="00A466FE">
        <w:t xml:space="preserve"> provedeno vyúčtování do výše ceny dle Ceníku platného ke dni podání </w:t>
      </w:r>
      <w:r w:rsidR="00D52347">
        <w:t>Zásil</w:t>
      </w:r>
      <w:r w:rsidR="007372EA" w:rsidRPr="00A466FE">
        <w:t>ky. Vy</w:t>
      </w:r>
      <w:r w:rsidR="007372EA" w:rsidRPr="00A466FE" w:rsidDel="00681D7D">
        <w:t xml:space="preserve">účtování bude provedeno formou </w:t>
      </w:r>
      <w:r w:rsidR="007372EA" w:rsidRPr="00A466FE">
        <w:t xml:space="preserve">faktury – opravného daňového dokladu do </w:t>
      </w:r>
      <w:r w:rsidR="007372EA" w:rsidRPr="00A466FE" w:rsidDel="00681D7D">
        <w:t>15.</w:t>
      </w:r>
      <w:r w:rsidR="007372EA" w:rsidRPr="00A466FE">
        <w:t xml:space="preserve"> dne druhého měsíce následujícího po skončení </w:t>
      </w:r>
      <w:r w:rsidR="002E0F6A">
        <w:t>S</w:t>
      </w:r>
      <w:r w:rsidR="002E0F6A" w:rsidRPr="00A466FE">
        <w:t xml:space="preserve">jednaného </w:t>
      </w:r>
      <w:r w:rsidR="007372EA" w:rsidRPr="00A466FE">
        <w:t xml:space="preserve">období </w:t>
      </w:r>
      <w:r w:rsidR="007372EA" w:rsidRPr="00A466FE" w:rsidDel="00681D7D">
        <w:t xml:space="preserve">se splatností </w:t>
      </w:r>
      <w:r w:rsidR="007372EA" w:rsidRPr="00A466FE">
        <w:t>14</w:t>
      </w:r>
      <w:r w:rsidR="007372EA" w:rsidRPr="00A466FE" w:rsidDel="00681D7D">
        <w:t xml:space="preserve"> dn</w:t>
      </w:r>
      <w:r w:rsidR="007372EA" w:rsidRPr="00A466FE">
        <w:t>ů</w:t>
      </w:r>
      <w:r w:rsidR="007372EA" w:rsidRPr="00A466FE" w:rsidDel="00681D7D">
        <w:t xml:space="preserve"> od data </w:t>
      </w:r>
      <w:r w:rsidR="007372EA" w:rsidRPr="00A466FE">
        <w:t>vystavení.</w:t>
      </w:r>
    </w:p>
    <w:p w14:paraId="5DCDF94C" w14:textId="27973E0F" w:rsidR="007372EA" w:rsidRPr="004253C9" w:rsidRDefault="007372EA" w:rsidP="004253C9">
      <w:pPr>
        <w:pStyle w:val="cpodstavecslovan1"/>
      </w:pPr>
      <w:r w:rsidRPr="004253C9">
        <w:t xml:space="preserve">Jelikož předpokládaný objem </w:t>
      </w:r>
      <w:r w:rsidR="00D52347">
        <w:t>Zásil</w:t>
      </w:r>
      <w:r w:rsidRPr="004253C9">
        <w:t xml:space="preserve">ek podaných </w:t>
      </w:r>
      <w:r w:rsidR="00B976A9">
        <w:t>Odesílat</w:t>
      </w:r>
      <w:r w:rsidR="00140CAF">
        <w:t>elem</w:t>
      </w:r>
      <w:r w:rsidR="00140CAF" w:rsidRPr="004253C9">
        <w:t xml:space="preserve"> </w:t>
      </w:r>
      <w:r w:rsidR="00D52347">
        <w:t xml:space="preserve">v rámci specifikované zakázky (zakázky splňující podmínky uvedené v bodu 1.4.1) </w:t>
      </w:r>
      <w:r w:rsidRPr="004253C9">
        <w:t xml:space="preserve">ve </w:t>
      </w:r>
      <w:r w:rsidR="002E0F6A">
        <w:t>S</w:t>
      </w:r>
      <w:r w:rsidR="002E0F6A" w:rsidRPr="004253C9">
        <w:t xml:space="preserve">jednaném </w:t>
      </w:r>
      <w:r w:rsidRPr="004253C9">
        <w:t>období je ve výši</w:t>
      </w:r>
      <w:r w:rsidR="004253C9">
        <w:t xml:space="preserve"> </w:t>
      </w:r>
      <w:r w:rsidR="00346EA7">
        <w:t>XXX</w:t>
      </w:r>
      <w:r w:rsidR="006A6D1F">
        <w:t xml:space="preserve"> Ks </w:t>
      </w:r>
      <w:r w:rsidR="00D52347">
        <w:t>Zásil</w:t>
      </w:r>
      <w:r w:rsidRPr="004253C9">
        <w:t xml:space="preserve">ek a </w:t>
      </w:r>
      <w:r w:rsidR="00B976A9">
        <w:t>Odesílat</w:t>
      </w:r>
      <w:r w:rsidR="00140CAF">
        <w:t>el</w:t>
      </w:r>
      <w:r w:rsidR="00140CAF" w:rsidRPr="004253C9">
        <w:t xml:space="preserve"> </w:t>
      </w:r>
      <w:r w:rsidRPr="004253C9">
        <w:t>se zavazuje dodržet podmínky uvedené v bodu 1.</w:t>
      </w:r>
      <w:r w:rsidR="00331376">
        <w:t>4</w:t>
      </w:r>
      <w:r w:rsidRPr="004253C9">
        <w:t xml:space="preserve">.1, </w:t>
      </w:r>
      <w:r w:rsidR="00366EC9" w:rsidRPr="005A4E68">
        <w:t>je</w:t>
      </w:r>
      <w:r w:rsidR="00366EC9" w:rsidRPr="004253C9">
        <w:t xml:space="preserve"> </w:t>
      </w:r>
      <w:r w:rsidRPr="004253C9">
        <w:t>základem</w:t>
      </w:r>
      <w:r w:rsidRPr="005A4E68">
        <w:t xml:space="preserve"> pro průběžné účtování ceny služeb dle této </w:t>
      </w:r>
      <w:r w:rsidR="005B0A5A">
        <w:t>Přílohy</w:t>
      </w:r>
      <w:r w:rsidRPr="005A4E68">
        <w:t xml:space="preserve"> </w:t>
      </w:r>
      <w:r w:rsidR="00D52347">
        <w:t>v případě specifikované zakázky</w:t>
      </w:r>
      <w:r w:rsidRPr="005A4E68">
        <w:t xml:space="preserve"> cena příslušející dle bodu </w:t>
      </w:r>
      <w:r>
        <w:t>1.</w:t>
      </w:r>
      <w:r w:rsidR="00331376">
        <w:t>4</w:t>
      </w:r>
      <w:r w:rsidRPr="005A4E68">
        <w:t xml:space="preserve">.2 specifikovaná zakázka o objemu podání od </w:t>
      </w:r>
      <w:r w:rsidR="00346EA7">
        <w:t>XXX</w:t>
      </w:r>
      <w:r w:rsidRPr="005A4E68">
        <w:t xml:space="preserve"> ks do </w:t>
      </w:r>
      <w:r w:rsidR="00346EA7">
        <w:t>XXX</w:t>
      </w:r>
      <w:r w:rsidRPr="005A4E68">
        <w:t xml:space="preserve"> ks.</w:t>
      </w:r>
    </w:p>
    <w:p w14:paraId="41E1B9CB" w14:textId="09BF06D1" w:rsidR="004253C9" w:rsidRPr="0028669D" w:rsidRDefault="00B976A9" w:rsidP="004253C9">
      <w:pPr>
        <w:pStyle w:val="cpodstavecslovan2"/>
        <w:rPr>
          <w:sz w:val="22"/>
        </w:rPr>
      </w:pPr>
      <w:r>
        <w:rPr>
          <w:sz w:val="22"/>
        </w:rPr>
        <w:t>Odesílat</w:t>
      </w:r>
      <w:r w:rsidR="00140CAF">
        <w:rPr>
          <w:sz w:val="22"/>
        </w:rPr>
        <w:t>el</w:t>
      </w:r>
      <w:r w:rsidR="00140CAF" w:rsidRPr="004253C9">
        <w:rPr>
          <w:sz w:val="22"/>
        </w:rPr>
        <w:t xml:space="preserve"> </w:t>
      </w:r>
      <w:r w:rsidR="004253C9" w:rsidRPr="004253C9">
        <w:rPr>
          <w:sz w:val="22"/>
        </w:rPr>
        <w:t>má nárok na ceny uvedené v bodu 1.</w:t>
      </w:r>
      <w:r w:rsidR="00331376">
        <w:rPr>
          <w:sz w:val="22"/>
        </w:rPr>
        <w:t>4</w:t>
      </w:r>
      <w:r w:rsidR="00E41AF5">
        <w:rPr>
          <w:sz w:val="22"/>
        </w:rPr>
        <w:t>.2</w:t>
      </w:r>
      <w:r w:rsidR="004253C9" w:rsidRPr="004253C9">
        <w:rPr>
          <w:sz w:val="22"/>
        </w:rPr>
        <w:t xml:space="preserve"> za splnění těchto podmínek: </w:t>
      </w:r>
    </w:p>
    <w:p w14:paraId="0BA16AC7" w14:textId="638A821E" w:rsidR="00693FA4" w:rsidRDefault="004253C9">
      <w:pPr>
        <w:pStyle w:val="cpodrky1"/>
        <w:numPr>
          <w:ilvl w:val="0"/>
          <w:numId w:val="24"/>
        </w:numPr>
        <w:tabs>
          <w:tab w:val="left" w:pos="1418"/>
        </w:tabs>
      </w:pPr>
      <w:r w:rsidRPr="00396DDB">
        <w:lastRenderedPageBreak/>
        <w:t xml:space="preserve">ID zakázky </w:t>
      </w:r>
      <w:r w:rsidR="00DE099C">
        <w:t xml:space="preserve">č. </w:t>
      </w:r>
      <w:r w:rsidR="000F590B">
        <w:rPr>
          <w:b/>
        </w:rPr>
        <w:t>1</w:t>
      </w:r>
      <w:r w:rsidR="0028669D" w:rsidRPr="00C06632">
        <w:rPr>
          <w:b/>
        </w:rPr>
        <w:t xml:space="preserve"> - </w:t>
      </w:r>
      <w:r w:rsidR="00346EA7">
        <w:rPr>
          <w:b/>
        </w:rPr>
        <w:t>XXX</w:t>
      </w:r>
      <w:r w:rsidR="00E265AC">
        <w:t xml:space="preserve"> (toto ID sdělí </w:t>
      </w:r>
      <w:r w:rsidR="00B976A9">
        <w:t>Odesílat</w:t>
      </w:r>
      <w:r w:rsidR="00140CAF">
        <w:t xml:space="preserve">el </w:t>
      </w:r>
      <w:r w:rsidR="00E265AC">
        <w:t>ČP při podání)</w:t>
      </w:r>
    </w:p>
    <w:p w14:paraId="4A8A1974" w14:textId="6FEB8D06" w:rsidR="00693FA4" w:rsidRDefault="004253C9">
      <w:pPr>
        <w:pStyle w:val="cpodrky1"/>
        <w:numPr>
          <w:ilvl w:val="0"/>
          <w:numId w:val="24"/>
        </w:numPr>
        <w:tabs>
          <w:tab w:val="left" w:pos="1418"/>
        </w:tabs>
      </w:pPr>
      <w:r w:rsidRPr="00396DDB">
        <w:t xml:space="preserve">periodicita podání: </w:t>
      </w:r>
      <w:r w:rsidR="000F590B">
        <w:t>měsíčně</w:t>
      </w:r>
    </w:p>
    <w:p w14:paraId="2EFF43B8" w14:textId="30FD62EC" w:rsidR="00693FA4" w:rsidRDefault="004253C9">
      <w:pPr>
        <w:pStyle w:val="cpodrky1"/>
        <w:numPr>
          <w:ilvl w:val="0"/>
          <w:numId w:val="24"/>
        </w:numPr>
        <w:tabs>
          <w:tab w:val="left" w:pos="1418"/>
        </w:tabs>
      </w:pPr>
      <w:r w:rsidRPr="00396DDB">
        <w:t xml:space="preserve">hmotnost 1 ks: od </w:t>
      </w:r>
      <w:r w:rsidR="00346EA7">
        <w:t>XXX</w:t>
      </w:r>
      <w:r w:rsidRPr="00396DDB">
        <w:t xml:space="preserve"> </w:t>
      </w:r>
      <w:r w:rsidR="00E41AF5">
        <w:t xml:space="preserve">g </w:t>
      </w:r>
      <w:r w:rsidRPr="00396DDB">
        <w:t xml:space="preserve">do </w:t>
      </w:r>
      <w:r w:rsidR="00346EA7">
        <w:t>XXX</w:t>
      </w:r>
      <w:r w:rsidR="00E41AF5">
        <w:t xml:space="preserve"> g</w:t>
      </w:r>
    </w:p>
    <w:p w14:paraId="11D5B5C0" w14:textId="2B64468A" w:rsidR="00693FA4" w:rsidRDefault="004253C9">
      <w:pPr>
        <w:pStyle w:val="cpodrky1"/>
        <w:numPr>
          <w:ilvl w:val="0"/>
          <w:numId w:val="24"/>
        </w:numPr>
        <w:tabs>
          <w:tab w:val="left" w:pos="1418"/>
        </w:tabs>
      </w:pPr>
      <w:r>
        <w:t xml:space="preserve">avízo dle </w:t>
      </w:r>
      <w:r w:rsidR="00E43831">
        <w:t>Smlouv</w:t>
      </w:r>
      <w:r>
        <w:t xml:space="preserve">y o podmínkách podávání poštovních </w:t>
      </w:r>
      <w:r w:rsidR="00D52347">
        <w:t>Zásil</w:t>
      </w:r>
      <w:r>
        <w:t>ek Obchodní psaní</w:t>
      </w:r>
    </w:p>
    <w:p w14:paraId="4EAA3A4D" w14:textId="38A40B49" w:rsidR="001D4F9F" w:rsidRDefault="001D4F9F" w:rsidP="00DB76BF">
      <w:pPr>
        <w:pStyle w:val="cpodrky1"/>
        <w:numPr>
          <w:ilvl w:val="0"/>
          <w:numId w:val="24"/>
        </w:numPr>
        <w:tabs>
          <w:tab w:val="left" w:pos="1418"/>
        </w:tabs>
      </w:pPr>
      <w:r w:rsidRPr="004E3C23">
        <w:t xml:space="preserve">roční objem podání dané specifikované zakázky ……… </w:t>
      </w:r>
      <w:r>
        <w:t xml:space="preserve">je vyšší než </w:t>
      </w:r>
      <w:r w:rsidR="00346EA7">
        <w:t>XXX</w:t>
      </w:r>
      <w:r w:rsidRPr="004E3C23">
        <w:t xml:space="preserve"> mil. ks</w:t>
      </w:r>
    </w:p>
    <w:p w14:paraId="1617FF17" w14:textId="039832C9" w:rsidR="00646EB2" w:rsidRDefault="00346EA7" w:rsidP="006A6D1F">
      <w:pPr>
        <w:pStyle w:val="cpodrky1"/>
        <w:numPr>
          <w:ilvl w:val="0"/>
          <w:numId w:val="24"/>
        </w:numPr>
        <w:tabs>
          <w:tab w:val="left" w:pos="1418"/>
        </w:tabs>
      </w:pPr>
      <w:r>
        <w:t>XXX</w:t>
      </w:r>
      <w:r w:rsidR="004253C9" w:rsidRPr="00396DDB">
        <w:t xml:space="preserve"> </w:t>
      </w:r>
      <w:r w:rsidR="00D52347">
        <w:t>Zásil</w:t>
      </w:r>
      <w:r w:rsidR="004253C9" w:rsidRPr="00396DDB">
        <w:t>ek je podáno na SPU v termínech předem odsouhlasených ČP</w:t>
      </w:r>
    </w:p>
    <w:p w14:paraId="31A1C529" w14:textId="69AC431D" w:rsidR="004253C9" w:rsidRDefault="004253C9" w:rsidP="004253C9">
      <w:pPr>
        <w:pStyle w:val="cpodstavecslovan2"/>
        <w:spacing w:after="120" w:line="260" w:lineRule="exact"/>
        <w:jc w:val="both"/>
        <w:rPr>
          <w:sz w:val="22"/>
        </w:rPr>
      </w:pPr>
      <w:r w:rsidRPr="004253C9">
        <w:rPr>
          <w:sz w:val="22"/>
        </w:rPr>
        <w:t>Ceny v Kč/ks za Obchodní psaní specifikovaná zakázka - ID č.</w:t>
      </w:r>
      <w:r w:rsidRPr="0028669D">
        <w:rPr>
          <w:sz w:val="22"/>
          <w:szCs w:val="22"/>
        </w:rPr>
        <w:t xml:space="preserve"> </w:t>
      </w:r>
      <w:r w:rsidR="000F590B">
        <w:rPr>
          <w:b/>
          <w:sz w:val="22"/>
          <w:szCs w:val="22"/>
        </w:rPr>
        <w:t>1</w:t>
      </w:r>
      <w:r w:rsidR="0028669D" w:rsidRPr="00C06632">
        <w:rPr>
          <w:b/>
          <w:sz w:val="22"/>
          <w:szCs w:val="22"/>
        </w:rPr>
        <w:t xml:space="preserve"> </w:t>
      </w:r>
      <w:r w:rsidR="00346EA7">
        <w:rPr>
          <w:b/>
          <w:sz w:val="22"/>
          <w:szCs w:val="22"/>
        </w:rPr>
        <w:t>–</w:t>
      </w:r>
      <w:r w:rsidRPr="00C06632">
        <w:rPr>
          <w:b/>
          <w:sz w:val="22"/>
        </w:rPr>
        <w:t xml:space="preserve"> </w:t>
      </w:r>
      <w:r w:rsidR="00346EA7">
        <w:rPr>
          <w:b/>
          <w:sz w:val="22"/>
        </w:rPr>
        <w:t xml:space="preserve">XXX </w:t>
      </w:r>
      <w:r w:rsidRPr="004253C9">
        <w:rPr>
          <w:sz w:val="22"/>
        </w:rPr>
        <w:t xml:space="preserve">dle hmotnostních pásem a dosaženého objemu </w:t>
      </w:r>
      <w:r w:rsidR="00D52347">
        <w:rPr>
          <w:sz w:val="22"/>
        </w:rPr>
        <w:t>Zásil</w:t>
      </w:r>
      <w:r w:rsidRPr="004253C9">
        <w:rPr>
          <w:sz w:val="22"/>
        </w:rPr>
        <w:t xml:space="preserve">ek Obchodní psaní podaných </w:t>
      </w:r>
      <w:r w:rsidR="00B976A9">
        <w:rPr>
          <w:sz w:val="22"/>
        </w:rPr>
        <w:t>Odesílat</w:t>
      </w:r>
      <w:r w:rsidR="00140CAF">
        <w:rPr>
          <w:sz w:val="22"/>
        </w:rPr>
        <w:t>elem</w:t>
      </w:r>
      <w:r w:rsidR="00140CAF" w:rsidRPr="004253C9">
        <w:rPr>
          <w:sz w:val="22"/>
        </w:rPr>
        <w:t xml:space="preserve"> </w:t>
      </w:r>
      <w:r w:rsidRPr="004253C9">
        <w:rPr>
          <w:sz w:val="22"/>
        </w:rPr>
        <w:t xml:space="preserve">v období od </w:t>
      </w:r>
      <w:r w:rsidR="00BB5D5B">
        <w:rPr>
          <w:sz w:val="22"/>
        </w:rPr>
        <w:t>1. 1. 2021</w:t>
      </w:r>
      <w:r w:rsidRPr="004253C9">
        <w:rPr>
          <w:sz w:val="22"/>
        </w:rPr>
        <w:t xml:space="preserve"> do </w:t>
      </w:r>
      <w:r w:rsidR="00BB5D5B">
        <w:rPr>
          <w:sz w:val="22"/>
        </w:rPr>
        <w:t>31. 12. 2021</w:t>
      </w:r>
      <w:r w:rsidRPr="004253C9">
        <w:rPr>
          <w:sz w:val="22"/>
        </w:rPr>
        <w:t>.</w:t>
      </w:r>
    </w:p>
    <w:p w14:paraId="23913879" w14:textId="235AD95A" w:rsidR="00A63DFF" w:rsidRDefault="007F32A5" w:rsidP="00123FDA">
      <w:pPr>
        <w:widowControl w:val="0"/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7F32A5">
        <w:rPr>
          <w:sz w:val="22"/>
          <w:szCs w:val="22"/>
        </w:rPr>
        <w:t>Cena specifikované zakázky v jednotlivých objemových kategoriích a váhových pásmech</w:t>
      </w:r>
      <w:r w:rsidR="00E265AC">
        <w:rPr>
          <w:sz w:val="22"/>
          <w:szCs w:val="22"/>
        </w:rPr>
        <w:t>:</w:t>
      </w:r>
      <w:r w:rsidR="00A63DFF" w:rsidRPr="007F32A5" w:rsidDel="00A63DFF">
        <w:rPr>
          <w:sz w:val="22"/>
          <w:szCs w:val="22"/>
        </w:rPr>
        <w:t xml:space="preserve"> </w:t>
      </w:r>
    </w:p>
    <w:p w14:paraId="153035D4" w14:textId="77777777" w:rsidR="0096657C" w:rsidRPr="004E3C23" w:rsidRDefault="0096657C" w:rsidP="0096657C">
      <w:pPr>
        <w:pStyle w:val="P-NORMAL-TEXT"/>
        <w:rPr>
          <w:rFonts w:ascii="Times New Roman" w:hAnsi="Times New Roman"/>
          <w:sz w:val="22"/>
          <w:szCs w:val="22"/>
        </w:rPr>
      </w:pPr>
    </w:p>
    <w:tbl>
      <w:tblPr>
        <w:tblW w:w="3999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1383"/>
        <w:gridCol w:w="1417"/>
      </w:tblGrid>
      <w:tr w:rsidR="006A6D1F" w:rsidRPr="004E3C23" w14:paraId="02B22885" w14:textId="77777777" w:rsidTr="006A6D1F">
        <w:trPr>
          <w:trHeight w:val="250"/>
        </w:trPr>
        <w:tc>
          <w:tcPr>
            <w:tcW w:w="1199" w:type="dxa"/>
            <w:tcBorders>
              <w:bottom w:val="nil"/>
            </w:tcBorders>
            <w:shd w:val="clear" w:color="auto" w:fill="F2F2F2"/>
          </w:tcPr>
          <w:p w14:paraId="758DBE82" w14:textId="77777777" w:rsidR="006A6D1F" w:rsidRPr="004E3C23" w:rsidRDefault="006A6D1F" w:rsidP="009C173F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 xml:space="preserve">Hmotnost 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3E03899" w14:textId="77777777" w:rsidR="006A6D1F" w:rsidRPr="007D1749" w:rsidRDefault="006A6D1F" w:rsidP="009C173F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Cena v Kč/1 ks</w:t>
            </w:r>
            <w:r>
              <w:rPr>
                <w:sz w:val="22"/>
                <w:szCs w:val="22"/>
              </w:rPr>
              <w:t xml:space="preserve"> (bez DPH)</w:t>
            </w:r>
            <w:r w:rsidRPr="007D1749">
              <w:rPr>
                <w:sz w:val="22"/>
                <w:szCs w:val="22"/>
              </w:rPr>
              <w:t xml:space="preserve"> </w:t>
            </w:r>
          </w:p>
        </w:tc>
      </w:tr>
      <w:tr w:rsidR="006A6D1F" w:rsidRPr="004E3C23" w14:paraId="406A2C96" w14:textId="77777777" w:rsidTr="006A6D1F">
        <w:trPr>
          <w:trHeight w:val="604"/>
        </w:trPr>
        <w:tc>
          <w:tcPr>
            <w:tcW w:w="1199" w:type="dxa"/>
            <w:tcBorders>
              <w:top w:val="nil"/>
              <w:bottom w:val="double" w:sz="4" w:space="0" w:color="auto"/>
            </w:tcBorders>
            <w:shd w:val="clear" w:color="auto" w:fill="F2F2F2"/>
          </w:tcPr>
          <w:p w14:paraId="07C9382F" w14:textId="77777777" w:rsidR="006A6D1F" w:rsidRPr="004E3C23" w:rsidRDefault="006A6D1F" w:rsidP="009C173F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od - do (g)</w:t>
            </w:r>
          </w:p>
        </w:tc>
        <w:tc>
          <w:tcPr>
            <w:tcW w:w="138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4D7D0997" w14:textId="15E2D26B" w:rsidR="006A6D1F" w:rsidRPr="007D1749" w:rsidRDefault="006A6D1F" w:rsidP="009C1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50E5BE43" w14:textId="3A1A16A0" w:rsidR="006A6D1F" w:rsidRPr="007D1749" w:rsidRDefault="006A6D1F" w:rsidP="009C173F">
            <w:pPr>
              <w:jc w:val="center"/>
              <w:rPr>
                <w:sz w:val="22"/>
                <w:szCs w:val="22"/>
              </w:rPr>
            </w:pPr>
          </w:p>
        </w:tc>
      </w:tr>
      <w:tr w:rsidR="006A6D1F" w:rsidRPr="004E3C23" w14:paraId="4B01CBAA" w14:textId="77777777" w:rsidTr="006A6D1F">
        <w:trPr>
          <w:trHeight w:val="235"/>
        </w:trPr>
        <w:tc>
          <w:tcPr>
            <w:tcW w:w="1199" w:type="dxa"/>
            <w:tcBorders>
              <w:top w:val="double" w:sz="4" w:space="0" w:color="auto"/>
            </w:tcBorders>
          </w:tcPr>
          <w:p w14:paraId="443D41CC" w14:textId="34B18A58" w:rsidR="006A6D1F" w:rsidRDefault="006A6D1F" w:rsidP="006A6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11F7A3" w14:textId="09DE3E28" w:rsidR="006A6D1F" w:rsidRPr="006A6D1F" w:rsidRDefault="006A6D1F" w:rsidP="006A6D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621D3" w14:textId="39AF01A1" w:rsidR="006A6D1F" w:rsidRPr="004E3C23" w:rsidRDefault="006A6D1F" w:rsidP="006A6D1F">
            <w:pPr>
              <w:jc w:val="center"/>
              <w:rPr>
                <w:sz w:val="22"/>
                <w:szCs w:val="22"/>
              </w:rPr>
            </w:pPr>
          </w:p>
        </w:tc>
      </w:tr>
      <w:tr w:rsidR="006A6D1F" w:rsidRPr="004E3C23" w14:paraId="73BFD430" w14:textId="77777777" w:rsidTr="006A6D1F">
        <w:trPr>
          <w:trHeight w:val="235"/>
        </w:trPr>
        <w:tc>
          <w:tcPr>
            <w:tcW w:w="1199" w:type="dxa"/>
          </w:tcPr>
          <w:p w14:paraId="1EEF2003" w14:textId="1A153181" w:rsidR="006A6D1F" w:rsidRDefault="006A6D1F" w:rsidP="006A6D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BD21A" w14:textId="4B212690" w:rsidR="006A6D1F" w:rsidRPr="006A6D1F" w:rsidRDefault="006A6D1F" w:rsidP="006A6D1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8266F" w14:textId="2E032EA4" w:rsidR="006A6D1F" w:rsidRPr="004E3C23" w:rsidRDefault="006A6D1F" w:rsidP="006A6D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AADEFD9" w14:textId="13796272" w:rsidR="00A63DFF" w:rsidRPr="007F32A5" w:rsidRDefault="00A63DFF" w:rsidP="006A6D1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EE4CCAE" w14:textId="140097A5" w:rsidR="00620D28" w:rsidRPr="00D22F00" w:rsidRDefault="004253C9" w:rsidP="00C13C28">
      <w:pPr>
        <w:pStyle w:val="P-NORMAL-TEXT"/>
        <w:ind w:left="680"/>
        <w:rPr>
          <w:rFonts w:ascii="Times New Roman" w:hAnsi="Times New Roman"/>
          <w:sz w:val="22"/>
          <w:szCs w:val="22"/>
        </w:rPr>
      </w:pPr>
      <w:r w:rsidRPr="004E3C23">
        <w:rPr>
          <w:rFonts w:ascii="Times New Roman" w:hAnsi="Times New Roman"/>
          <w:sz w:val="22"/>
          <w:szCs w:val="22"/>
        </w:rPr>
        <w:t xml:space="preserve">Uvedené ceny jsou platné při splnění všech podmínek uvedených v bodě </w:t>
      </w:r>
      <w:r>
        <w:rPr>
          <w:rFonts w:ascii="Times New Roman" w:hAnsi="Times New Roman"/>
          <w:sz w:val="22"/>
          <w:szCs w:val="22"/>
        </w:rPr>
        <w:t>1.</w:t>
      </w:r>
      <w:r w:rsidR="00E41AF5">
        <w:rPr>
          <w:rFonts w:ascii="Times New Roman" w:hAnsi="Times New Roman"/>
          <w:sz w:val="22"/>
          <w:szCs w:val="22"/>
        </w:rPr>
        <w:t>4.1</w:t>
      </w:r>
      <w:r w:rsidRPr="004E3C23">
        <w:rPr>
          <w:rFonts w:ascii="Times New Roman" w:hAnsi="Times New Roman"/>
          <w:sz w:val="22"/>
          <w:szCs w:val="22"/>
        </w:rPr>
        <w:t>.</w:t>
      </w:r>
    </w:p>
    <w:p w14:paraId="3E0A5342" w14:textId="51681769" w:rsidR="00E41AF5" w:rsidRDefault="00E41AF5" w:rsidP="006A6D1F">
      <w:pPr>
        <w:pStyle w:val="P-NORMAL-TEXT"/>
        <w:rPr>
          <w:rFonts w:ascii="Times New Roman" w:hAnsi="Times New Roman"/>
          <w:sz w:val="22"/>
          <w:szCs w:val="22"/>
        </w:rPr>
      </w:pPr>
    </w:p>
    <w:p w14:paraId="2156FB67" w14:textId="77777777" w:rsidR="00C13C28" w:rsidRPr="007D1749" w:rsidRDefault="00C13C28" w:rsidP="006A6D1F">
      <w:pPr>
        <w:pStyle w:val="P-NORMAL-TEXT"/>
        <w:rPr>
          <w:rFonts w:ascii="Times New Roman" w:hAnsi="Times New Roman"/>
          <w:sz w:val="22"/>
          <w:szCs w:val="22"/>
        </w:rPr>
      </w:pPr>
    </w:p>
    <w:p w14:paraId="2D28ED82" w14:textId="76A06084" w:rsidR="007372EA" w:rsidRPr="004253C9" w:rsidRDefault="00331376" w:rsidP="004253C9">
      <w:pPr>
        <w:pStyle w:val="cpodstavecslovan1"/>
      </w:pPr>
      <w:r>
        <w:t xml:space="preserve">Strany </w:t>
      </w:r>
      <w:r w:rsidR="00E43831">
        <w:t>Smlouv</w:t>
      </w:r>
      <w:r>
        <w:t>y</w:t>
      </w:r>
      <w:r w:rsidR="007372EA" w:rsidRPr="004253C9">
        <w:t xml:space="preserve"> se </w:t>
      </w:r>
      <w:r w:rsidR="00E43831">
        <w:t>dohod</w:t>
      </w:r>
      <w:r w:rsidR="007372EA" w:rsidRPr="004253C9">
        <w:t xml:space="preserve">ly, že po skončení </w:t>
      </w:r>
      <w:r w:rsidR="002E0F6A">
        <w:t>S</w:t>
      </w:r>
      <w:r w:rsidR="002E0F6A" w:rsidRPr="004253C9">
        <w:t xml:space="preserve">jednaného </w:t>
      </w:r>
      <w:r w:rsidR="007372EA" w:rsidRPr="004253C9">
        <w:t xml:space="preserve">období ČP vyhodnotí skutečně </w:t>
      </w:r>
      <w:r w:rsidR="00B976A9">
        <w:t>Odesílat</w:t>
      </w:r>
      <w:r w:rsidR="00140CAF">
        <w:t>elem</w:t>
      </w:r>
      <w:r w:rsidR="00140CAF" w:rsidRPr="004253C9">
        <w:t xml:space="preserve"> </w:t>
      </w:r>
      <w:r w:rsidR="007372EA" w:rsidRPr="004253C9">
        <w:t xml:space="preserve">realizovaný objem podání </w:t>
      </w:r>
      <w:r w:rsidR="00D52347">
        <w:t>Zásil</w:t>
      </w:r>
      <w:r w:rsidR="007372EA" w:rsidRPr="004253C9">
        <w:t xml:space="preserve">ek ve </w:t>
      </w:r>
      <w:r w:rsidR="002E0F6A">
        <w:t>S</w:t>
      </w:r>
      <w:r w:rsidR="002E0F6A" w:rsidRPr="004253C9">
        <w:t xml:space="preserve">jednaném </w:t>
      </w:r>
      <w:r w:rsidR="007372EA" w:rsidRPr="004253C9">
        <w:t>období a splnění podmínek uvedených v bodu 1.</w:t>
      </w:r>
      <w:r w:rsidR="00E41AF5">
        <w:t>4.1</w:t>
      </w:r>
      <w:r w:rsidR="007372EA" w:rsidRPr="004253C9">
        <w:t>,</w:t>
      </w:r>
      <w:r w:rsidR="00C13C28">
        <w:t xml:space="preserve"> </w:t>
      </w:r>
      <w:r w:rsidR="007372EA" w:rsidRPr="004253C9">
        <w:t>na základě čehož proběhne vyúčtování (opravný daňový doklad) dále uvedeným způsobem.</w:t>
      </w:r>
    </w:p>
    <w:p w14:paraId="162C6899" w14:textId="01A3A157" w:rsidR="007372EA" w:rsidRPr="00232F78" w:rsidRDefault="00B976A9" w:rsidP="007372EA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Odesílat</w:t>
      </w:r>
      <w:r w:rsidR="00140CAF">
        <w:rPr>
          <w:bCs/>
          <w:sz w:val="22"/>
          <w:szCs w:val="22"/>
        </w:rPr>
        <w:t>el</w:t>
      </w:r>
      <w:r w:rsidR="00140CAF" w:rsidRPr="00232F78">
        <w:rPr>
          <w:bCs/>
          <w:sz w:val="22"/>
          <w:szCs w:val="22"/>
        </w:rPr>
        <w:t xml:space="preserve"> </w:t>
      </w:r>
      <w:r w:rsidR="007372EA" w:rsidRPr="00232F78">
        <w:rPr>
          <w:bCs/>
          <w:sz w:val="22"/>
          <w:szCs w:val="22"/>
        </w:rPr>
        <w:t>se zavazuje, že:</w:t>
      </w:r>
    </w:p>
    <w:p w14:paraId="40B57D4A" w14:textId="5AFECE62" w:rsidR="007372EA" w:rsidRPr="008A6BEC" w:rsidRDefault="007372EA" w:rsidP="006B0910">
      <w:pPr>
        <w:pStyle w:val="cpodrky1"/>
        <w:numPr>
          <w:ilvl w:val="0"/>
          <w:numId w:val="21"/>
        </w:numPr>
        <w:tabs>
          <w:tab w:val="left" w:pos="1418"/>
        </w:tabs>
        <w:ind w:left="1418" w:hanging="284"/>
      </w:pPr>
      <w:r w:rsidRPr="008A6BEC">
        <w:t xml:space="preserve">v případě nedodržení minimálního objemu podání </w:t>
      </w:r>
      <w:r w:rsidR="00A616F8">
        <w:t>v rámci specifikované zakázky</w:t>
      </w:r>
      <w:r w:rsidRPr="008A6BEC">
        <w:t xml:space="preserve"> ve </w:t>
      </w:r>
      <w:r w:rsidR="002E0F6A">
        <w:t>S</w:t>
      </w:r>
      <w:r w:rsidR="002E0F6A" w:rsidRPr="008A6BEC">
        <w:t xml:space="preserve">jednaném </w:t>
      </w:r>
      <w:r w:rsidRPr="008A6BEC">
        <w:t xml:space="preserve">období ve výši nad </w:t>
      </w:r>
      <w:r w:rsidR="00AD0CA8">
        <w:rPr>
          <w:b/>
        </w:rPr>
        <w:t>XXX</w:t>
      </w:r>
      <w:r w:rsidRPr="00C43831">
        <w:rPr>
          <w:b/>
        </w:rPr>
        <w:t xml:space="preserve"> ks</w:t>
      </w:r>
      <w:r w:rsidRPr="008A6BEC">
        <w:t xml:space="preserve"> </w:t>
      </w:r>
      <w:r w:rsidR="00D52347">
        <w:t>Zásil</w:t>
      </w:r>
      <w:r w:rsidRPr="008A6BEC">
        <w:t xml:space="preserve">ek </w:t>
      </w:r>
      <w:r w:rsidR="00B976A9">
        <w:t>Odesílat</w:t>
      </w:r>
      <w:r w:rsidR="00140CAF">
        <w:t>el</w:t>
      </w:r>
      <w:r w:rsidR="00140CAF" w:rsidRPr="008A6BEC">
        <w:t xml:space="preserve"> </w:t>
      </w:r>
      <w:r w:rsidRPr="008A6BEC">
        <w:t xml:space="preserve">uhradí ČP na základě vystavené faktury </w:t>
      </w:r>
      <w:r>
        <w:t>–</w:t>
      </w:r>
      <w:r w:rsidRPr="008A6BEC">
        <w:t xml:space="preserve"> </w:t>
      </w:r>
      <w:r>
        <w:t xml:space="preserve">opravného </w:t>
      </w:r>
      <w:r w:rsidRPr="008A6BEC">
        <w:t>daňového dokladu u</w:t>
      </w:r>
      <w:r>
        <w:t> </w:t>
      </w:r>
      <w:r w:rsidR="00D52347">
        <w:t>Zásil</w:t>
      </w:r>
      <w:r w:rsidRPr="008A6BEC">
        <w:t xml:space="preserve">ek </w:t>
      </w:r>
      <w:r w:rsidR="000562EB">
        <w:t>podaných v rámci specifikované zakázky</w:t>
      </w:r>
      <w:r w:rsidRPr="008A6BEC">
        <w:t xml:space="preserve"> zpo</w:t>
      </w:r>
      <w:r w:rsidR="00331376">
        <w:t>platněných dle této Přílohy</w:t>
      </w:r>
      <w:r w:rsidRPr="008A6BEC">
        <w:t xml:space="preserve"> rozdíl mezi základem pro průběžné účtování a cenou dle Ceníku platného ke dni podání </w:t>
      </w:r>
      <w:r w:rsidR="00D52347">
        <w:t>Zásil</w:t>
      </w:r>
      <w:r w:rsidRPr="008A6BEC">
        <w:t>ek,</w:t>
      </w:r>
    </w:p>
    <w:p w14:paraId="0D945335" w14:textId="5DC95A2C" w:rsidR="007372EA" w:rsidRDefault="007372EA" w:rsidP="006B0910">
      <w:pPr>
        <w:pStyle w:val="cpodrky1"/>
        <w:numPr>
          <w:ilvl w:val="0"/>
          <w:numId w:val="21"/>
        </w:numPr>
        <w:tabs>
          <w:tab w:val="left" w:pos="1418"/>
        </w:tabs>
        <w:ind w:left="1418" w:hanging="284"/>
      </w:pPr>
      <w:r w:rsidRPr="008A6BEC">
        <w:t xml:space="preserve">v případě dodržení minimálního objemu podání </w:t>
      </w:r>
      <w:r w:rsidR="00A616F8">
        <w:t>v rámci specifikované zakázky</w:t>
      </w:r>
      <w:r w:rsidR="00A616F8" w:rsidRPr="008A6BEC">
        <w:t xml:space="preserve"> </w:t>
      </w:r>
      <w:r w:rsidRPr="008A6BEC">
        <w:t xml:space="preserve">ve </w:t>
      </w:r>
      <w:r w:rsidR="002E0F6A">
        <w:t>S</w:t>
      </w:r>
      <w:r w:rsidR="002E0F6A" w:rsidRPr="008A6BEC">
        <w:t xml:space="preserve">jednaném </w:t>
      </w:r>
      <w:r w:rsidRPr="008A6BEC">
        <w:t xml:space="preserve">období ve výši nad </w:t>
      </w:r>
      <w:r w:rsidR="00AD0CA8">
        <w:rPr>
          <w:b/>
        </w:rPr>
        <w:t>XXX</w:t>
      </w:r>
      <w:r w:rsidRPr="00C43831">
        <w:rPr>
          <w:b/>
        </w:rPr>
        <w:t xml:space="preserve"> ks</w:t>
      </w:r>
      <w:r w:rsidRPr="008A6BEC">
        <w:t xml:space="preserve"> </w:t>
      </w:r>
      <w:r w:rsidR="00D52347">
        <w:t>Zásil</w:t>
      </w:r>
      <w:r w:rsidRPr="008A6BEC">
        <w:t xml:space="preserve">ek a nesplnění některé z prvních </w:t>
      </w:r>
      <w:r w:rsidR="0058113D">
        <w:t>pěti</w:t>
      </w:r>
      <w:r w:rsidRPr="008A6BEC">
        <w:t xml:space="preserve"> podmínek specifikace uvedených v bodě </w:t>
      </w:r>
      <w:r>
        <w:t>1.</w:t>
      </w:r>
      <w:r w:rsidR="00E41AF5">
        <w:t>4</w:t>
      </w:r>
      <w:r w:rsidRPr="008A6BEC">
        <w:t xml:space="preserve">.1 </w:t>
      </w:r>
      <w:r w:rsidR="00B976A9">
        <w:t>Odesílat</w:t>
      </w:r>
      <w:r w:rsidR="00140CAF">
        <w:t>el</w:t>
      </w:r>
      <w:r w:rsidR="00140CAF" w:rsidRPr="008A6BEC">
        <w:t xml:space="preserve"> </w:t>
      </w:r>
      <w:r w:rsidRPr="008A6BEC">
        <w:t xml:space="preserve">uhradí ČP na základě vystavené faktury </w:t>
      </w:r>
      <w:r>
        <w:t>–</w:t>
      </w:r>
      <w:r w:rsidRPr="008A6BEC">
        <w:t xml:space="preserve"> </w:t>
      </w:r>
      <w:r>
        <w:t xml:space="preserve">opravného </w:t>
      </w:r>
      <w:r w:rsidRPr="008A6BEC">
        <w:t>daňového dokladu u</w:t>
      </w:r>
      <w:r>
        <w:t> </w:t>
      </w:r>
      <w:r w:rsidR="00D52347">
        <w:t>Zásil</w:t>
      </w:r>
      <w:r w:rsidRPr="008A6BEC">
        <w:t xml:space="preserve">ek </w:t>
      </w:r>
      <w:r w:rsidR="000562EB">
        <w:t>podaných v rámci specifikované zakázky</w:t>
      </w:r>
      <w:r w:rsidR="00331376">
        <w:t xml:space="preserve"> zpoplatněných dle této Přílohy </w:t>
      </w:r>
      <w:r w:rsidRPr="008A6BEC">
        <w:t>rozdíl mezi základem pro průběžné účtování a cenou</w:t>
      </w:r>
      <w:r w:rsidR="00402768">
        <w:t xml:space="preserve"> stanovenou</w:t>
      </w:r>
      <w:r w:rsidRPr="008A6BEC">
        <w:t xml:space="preserve"> </w:t>
      </w:r>
      <w:r w:rsidR="009C173F">
        <w:t>dle následující tabulky</w:t>
      </w:r>
      <w:r w:rsidR="00402768">
        <w:t>:</w:t>
      </w:r>
    </w:p>
    <w:p w14:paraId="398A0CF1" w14:textId="459DB473" w:rsidR="00C13C28" w:rsidRDefault="00C13C28" w:rsidP="00C13C28">
      <w:pPr>
        <w:pStyle w:val="cpodrky1"/>
        <w:numPr>
          <w:ilvl w:val="0"/>
          <w:numId w:val="0"/>
        </w:numPr>
        <w:tabs>
          <w:tab w:val="left" w:pos="1418"/>
        </w:tabs>
        <w:ind w:left="1418"/>
      </w:pPr>
    </w:p>
    <w:p w14:paraId="4E20848E" w14:textId="635C9EAC" w:rsidR="00C13C28" w:rsidRDefault="00C13C28" w:rsidP="00C13C28">
      <w:pPr>
        <w:pStyle w:val="cpodrky1"/>
        <w:numPr>
          <w:ilvl w:val="0"/>
          <w:numId w:val="0"/>
        </w:numPr>
        <w:tabs>
          <w:tab w:val="left" w:pos="1418"/>
        </w:tabs>
        <w:ind w:left="1418"/>
      </w:pPr>
    </w:p>
    <w:p w14:paraId="734022F1" w14:textId="5E7BD4E7" w:rsidR="00C13C28" w:rsidRDefault="00C13C28" w:rsidP="00C13C28">
      <w:pPr>
        <w:pStyle w:val="cpodrky1"/>
        <w:numPr>
          <w:ilvl w:val="0"/>
          <w:numId w:val="0"/>
        </w:numPr>
        <w:tabs>
          <w:tab w:val="left" w:pos="1418"/>
        </w:tabs>
        <w:ind w:left="1418"/>
      </w:pPr>
    </w:p>
    <w:p w14:paraId="4FA38366" w14:textId="43405F25" w:rsidR="00C13C28" w:rsidRDefault="00C13C28" w:rsidP="00C13C28">
      <w:pPr>
        <w:pStyle w:val="cpodrky1"/>
        <w:numPr>
          <w:ilvl w:val="0"/>
          <w:numId w:val="0"/>
        </w:numPr>
        <w:tabs>
          <w:tab w:val="left" w:pos="1418"/>
        </w:tabs>
        <w:ind w:left="1418"/>
      </w:pPr>
    </w:p>
    <w:p w14:paraId="178EF9D1" w14:textId="77777777" w:rsidR="00C13C28" w:rsidRDefault="00C13C28" w:rsidP="00C13C28">
      <w:pPr>
        <w:pStyle w:val="cpodrky1"/>
        <w:numPr>
          <w:ilvl w:val="0"/>
          <w:numId w:val="0"/>
        </w:numPr>
        <w:tabs>
          <w:tab w:val="left" w:pos="1418"/>
        </w:tabs>
        <w:ind w:left="1418"/>
      </w:pPr>
    </w:p>
    <w:p w14:paraId="0E48CB22" w14:textId="77777777" w:rsidR="009C173F" w:rsidRDefault="009C173F" w:rsidP="00B47940">
      <w:pPr>
        <w:pStyle w:val="Zkladntextodsazen"/>
        <w:tabs>
          <w:tab w:val="left" w:pos="602"/>
        </w:tabs>
        <w:spacing w:after="120"/>
        <w:ind w:left="1637" w:firstLine="0"/>
        <w:jc w:val="both"/>
        <w:rPr>
          <w:bCs/>
          <w:sz w:val="22"/>
          <w:szCs w:val="22"/>
        </w:rPr>
      </w:pPr>
    </w:p>
    <w:tbl>
      <w:tblPr>
        <w:tblW w:w="3892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9"/>
        <w:gridCol w:w="2693"/>
      </w:tblGrid>
      <w:tr w:rsidR="009C173F" w:rsidRPr="004E3C23" w14:paraId="1181CCA2" w14:textId="77777777" w:rsidTr="00B47940">
        <w:trPr>
          <w:trHeight w:val="250"/>
        </w:trPr>
        <w:tc>
          <w:tcPr>
            <w:tcW w:w="1199" w:type="dxa"/>
            <w:tcBorders>
              <w:bottom w:val="nil"/>
            </w:tcBorders>
            <w:shd w:val="clear" w:color="auto" w:fill="F2F2F2"/>
          </w:tcPr>
          <w:p w14:paraId="19A597A5" w14:textId="77777777" w:rsidR="009C173F" w:rsidRPr="004E3C23" w:rsidRDefault="009C173F" w:rsidP="009C173F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lastRenderedPageBreak/>
              <w:t xml:space="preserve">Hmotnost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/>
          </w:tcPr>
          <w:p w14:paraId="00B74294" w14:textId="77777777" w:rsidR="009C173F" w:rsidRPr="007D1749" w:rsidRDefault="009C173F" w:rsidP="009C173F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Cena v Kč/1 ks</w:t>
            </w:r>
            <w:r>
              <w:rPr>
                <w:sz w:val="22"/>
                <w:szCs w:val="22"/>
              </w:rPr>
              <w:t xml:space="preserve"> (bez DPH)</w:t>
            </w:r>
            <w:r w:rsidRPr="007D1749">
              <w:rPr>
                <w:sz w:val="22"/>
                <w:szCs w:val="22"/>
              </w:rPr>
              <w:t xml:space="preserve"> </w:t>
            </w:r>
          </w:p>
        </w:tc>
      </w:tr>
      <w:tr w:rsidR="009C173F" w:rsidRPr="004E3C23" w14:paraId="3BB11862" w14:textId="77777777" w:rsidTr="00B47940">
        <w:trPr>
          <w:trHeight w:val="232"/>
        </w:trPr>
        <w:tc>
          <w:tcPr>
            <w:tcW w:w="1199" w:type="dxa"/>
            <w:tcBorders>
              <w:top w:val="nil"/>
              <w:bottom w:val="double" w:sz="4" w:space="0" w:color="auto"/>
            </w:tcBorders>
            <w:shd w:val="clear" w:color="auto" w:fill="F2F2F2"/>
          </w:tcPr>
          <w:p w14:paraId="3B94246A" w14:textId="77777777" w:rsidR="009C173F" w:rsidRPr="004E3C23" w:rsidRDefault="009C173F" w:rsidP="009C173F">
            <w:pPr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od - do (g)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</w:tcPr>
          <w:p w14:paraId="3D45D960" w14:textId="1F00C20E" w:rsidR="009C173F" w:rsidRPr="007D1749" w:rsidRDefault="009C173F" w:rsidP="009C173F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29D66E39" w14:textId="77777777" w:rsidTr="00B47940">
        <w:trPr>
          <w:trHeight w:val="235"/>
        </w:trPr>
        <w:tc>
          <w:tcPr>
            <w:tcW w:w="1199" w:type="dxa"/>
            <w:tcBorders>
              <w:top w:val="double" w:sz="4" w:space="0" w:color="auto"/>
            </w:tcBorders>
          </w:tcPr>
          <w:p w14:paraId="14013FA5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do 50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0EF360D4" w14:textId="7B214C41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30CC40DD" w14:textId="77777777" w:rsidTr="00B47940">
        <w:trPr>
          <w:trHeight w:val="235"/>
        </w:trPr>
        <w:tc>
          <w:tcPr>
            <w:tcW w:w="1199" w:type="dxa"/>
          </w:tcPr>
          <w:p w14:paraId="224F45F1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51-100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63B0218" w14:textId="47774A28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389FB958" w14:textId="77777777" w:rsidTr="00B47940">
        <w:trPr>
          <w:trHeight w:val="235"/>
        </w:trPr>
        <w:tc>
          <w:tcPr>
            <w:tcW w:w="1199" w:type="dxa"/>
          </w:tcPr>
          <w:p w14:paraId="26E13893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101-200 g</w:t>
            </w:r>
            <w:r w:rsidRPr="0028669D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29443486" w14:textId="4664B3C7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3939FC12" w14:textId="77777777" w:rsidTr="00B47940">
        <w:trPr>
          <w:trHeight w:val="235"/>
        </w:trPr>
        <w:tc>
          <w:tcPr>
            <w:tcW w:w="1199" w:type="dxa"/>
          </w:tcPr>
          <w:p w14:paraId="62963571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201-300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378D0D0A" w14:textId="2051AB91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5E577356" w14:textId="77777777" w:rsidTr="00B47940">
        <w:trPr>
          <w:trHeight w:val="235"/>
        </w:trPr>
        <w:tc>
          <w:tcPr>
            <w:tcW w:w="1199" w:type="dxa"/>
          </w:tcPr>
          <w:p w14:paraId="0088044D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301-400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D19B591" w14:textId="782F9E15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79C3D4EE" w14:textId="77777777" w:rsidTr="00B47940">
        <w:trPr>
          <w:trHeight w:val="235"/>
        </w:trPr>
        <w:tc>
          <w:tcPr>
            <w:tcW w:w="1199" w:type="dxa"/>
          </w:tcPr>
          <w:p w14:paraId="5BF092C4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401-500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373B51F4" w14:textId="55D0859C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2596E21C" w14:textId="77777777" w:rsidTr="00B47940">
        <w:trPr>
          <w:trHeight w:val="235"/>
        </w:trPr>
        <w:tc>
          <w:tcPr>
            <w:tcW w:w="1199" w:type="dxa"/>
          </w:tcPr>
          <w:p w14:paraId="68CC9FC0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501-600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0D197B2B" w14:textId="3BA2A6C9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4D2C7E01" w14:textId="77777777" w:rsidTr="00B47940">
        <w:trPr>
          <w:trHeight w:val="235"/>
        </w:trPr>
        <w:tc>
          <w:tcPr>
            <w:tcW w:w="1199" w:type="dxa"/>
          </w:tcPr>
          <w:p w14:paraId="286D1C92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601-700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CEDE30E" w14:textId="69E5432F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574DD576" w14:textId="77777777" w:rsidTr="00B47940">
        <w:trPr>
          <w:trHeight w:val="235"/>
        </w:trPr>
        <w:tc>
          <w:tcPr>
            <w:tcW w:w="1199" w:type="dxa"/>
          </w:tcPr>
          <w:p w14:paraId="3EEAD82F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701-800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2746B86" w14:textId="1B4F5DEF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517A5CB1" w14:textId="77777777" w:rsidTr="00B47940">
        <w:trPr>
          <w:trHeight w:val="235"/>
        </w:trPr>
        <w:tc>
          <w:tcPr>
            <w:tcW w:w="1199" w:type="dxa"/>
          </w:tcPr>
          <w:p w14:paraId="6002EB47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801-900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B08F3B5" w14:textId="4ED356F7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  <w:tr w:rsidR="00614FC8" w:rsidRPr="004E3C23" w14:paraId="7EA58E62" w14:textId="77777777" w:rsidTr="00B47940">
        <w:trPr>
          <w:trHeight w:val="235"/>
        </w:trPr>
        <w:tc>
          <w:tcPr>
            <w:tcW w:w="1199" w:type="dxa"/>
          </w:tcPr>
          <w:p w14:paraId="5E42C88B" w14:textId="77777777" w:rsidR="00614FC8" w:rsidRDefault="00614FC8" w:rsidP="00614FC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901-1000 g</w:t>
            </w:r>
            <w:r w:rsidRPr="00286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31458F5" w14:textId="1CBC23F7" w:rsidR="00614FC8" w:rsidRPr="00FB1FA9" w:rsidRDefault="00614FC8" w:rsidP="00614FC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0544E92" w14:textId="77777777" w:rsidR="009C173F" w:rsidRPr="008A6BEC" w:rsidRDefault="009C173F" w:rsidP="00B47940">
      <w:pPr>
        <w:pStyle w:val="cpodrky1"/>
        <w:numPr>
          <w:ilvl w:val="0"/>
          <w:numId w:val="0"/>
        </w:numPr>
        <w:tabs>
          <w:tab w:val="left" w:pos="1418"/>
        </w:tabs>
        <w:ind w:left="1418"/>
      </w:pPr>
    </w:p>
    <w:p w14:paraId="2D571261" w14:textId="4AFEC4C7" w:rsidR="007372EA" w:rsidRPr="008A6BEC" w:rsidRDefault="007372EA" w:rsidP="006B0910">
      <w:pPr>
        <w:pStyle w:val="cpodrky1"/>
        <w:numPr>
          <w:ilvl w:val="0"/>
          <w:numId w:val="21"/>
        </w:numPr>
        <w:tabs>
          <w:tab w:val="left" w:pos="1418"/>
        </w:tabs>
        <w:ind w:left="1418" w:hanging="284"/>
      </w:pPr>
      <w:r w:rsidRPr="008A6BEC">
        <w:t xml:space="preserve">v případě splnění podmínek </w:t>
      </w:r>
      <w:r w:rsidR="0030746B">
        <w:t xml:space="preserve">č. 1 – 5 </w:t>
      </w:r>
      <w:r w:rsidRPr="008A6BEC">
        <w:t xml:space="preserve">specifikace uvedených v bodu </w:t>
      </w:r>
      <w:r>
        <w:t>1.</w:t>
      </w:r>
      <w:r w:rsidR="00E41AF5">
        <w:t>4</w:t>
      </w:r>
      <w:r w:rsidRPr="008A6BEC">
        <w:t>.1</w:t>
      </w:r>
      <w:r w:rsidR="00C13C28">
        <w:t>,</w:t>
      </w:r>
      <w:r w:rsidRPr="008A6BEC">
        <w:t xml:space="preserve"> a nedosažení objemu podání nad </w:t>
      </w:r>
      <w:r w:rsidR="00B13A20">
        <w:rPr>
          <w:b/>
        </w:rPr>
        <w:t>XXX</w:t>
      </w:r>
      <w:r w:rsidR="004932E1" w:rsidRPr="0028669D">
        <w:t xml:space="preserve"> </w:t>
      </w:r>
      <w:r w:rsidR="004932E1" w:rsidRPr="0028669D">
        <w:rPr>
          <w:b/>
        </w:rPr>
        <w:t>ks</w:t>
      </w:r>
      <w:r w:rsidR="004932E1" w:rsidRPr="0028669D">
        <w:t xml:space="preserve"> </w:t>
      </w:r>
      <w:r w:rsidR="00D52347">
        <w:t>Zásil</w:t>
      </w:r>
      <w:r w:rsidRPr="008A6BEC">
        <w:t xml:space="preserve">ek </w:t>
      </w:r>
      <w:r w:rsidR="00B976A9">
        <w:t>Odesílat</w:t>
      </w:r>
      <w:r w:rsidR="00140CAF">
        <w:t>el</w:t>
      </w:r>
      <w:r w:rsidR="00140CAF" w:rsidRPr="008A6BEC">
        <w:t xml:space="preserve"> </w:t>
      </w:r>
      <w:r w:rsidRPr="008A6BEC">
        <w:t>uhradí ČP na základě vystavené faktury</w:t>
      </w:r>
      <w:r>
        <w:t xml:space="preserve"> –</w:t>
      </w:r>
      <w:r w:rsidRPr="008A6BEC">
        <w:t xml:space="preserve"> </w:t>
      </w:r>
      <w:r>
        <w:t xml:space="preserve">opravného </w:t>
      </w:r>
      <w:r w:rsidRPr="008A6BEC">
        <w:t xml:space="preserve">daňového dokladu u </w:t>
      </w:r>
      <w:r w:rsidR="00D52347">
        <w:t>Zásil</w:t>
      </w:r>
      <w:r w:rsidRPr="008A6BEC">
        <w:t xml:space="preserve">ek </w:t>
      </w:r>
      <w:r w:rsidR="000562EB">
        <w:t>podaných v rámci specifikované zakázky</w:t>
      </w:r>
      <w:r w:rsidRPr="008A6BEC">
        <w:t xml:space="preserve"> zpoplatněných dle této </w:t>
      </w:r>
      <w:r w:rsidR="00331376">
        <w:t>Přílohy</w:t>
      </w:r>
      <w:r w:rsidRPr="008A6BEC">
        <w:t xml:space="preserve"> rozdíl mezi základem pro průběžné účtování a cenou, která dle bodu </w:t>
      </w:r>
      <w:proofErr w:type="gramStart"/>
      <w:r>
        <w:t>1.</w:t>
      </w:r>
      <w:r w:rsidR="00E41AF5">
        <w:t>4</w:t>
      </w:r>
      <w:r w:rsidRPr="008A6BEC">
        <w:t>.2</w:t>
      </w:r>
      <w:r w:rsidR="00C13C28">
        <w:t xml:space="preserve">  a</w:t>
      </w:r>
      <w:r w:rsidRPr="008A6BEC">
        <w:t xml:space="preserve"> odpovídá</w:t>
      </w:r>
      <w:proofErr w:type="gramEnd"/>
      <w:r w:rsidRPr="008A6BEC">
        <w:t xml:space="preserve"> výši skutečného objemu podání ve </w:t>
      </w:r>
      <w:r w:rsidR="002E0F6A">
        <w:t>S</w:t>
      </w:r>
      <w:r w:rsidR="002E0F6A" w:rsidRPr="008A6BEC">
        <w:t xml:space="preserve">jednaném </w:t>
      </w:r>
      <w:r w:rsidRPr="008A6BEC">
        <w:t xml:space="preserve">období. </w:t>
      </w:r>
    </w:p>
    <w:p w14:paraId="0068D6D4" w14:textId="77777777" w:rsidR="007372EA" w:rsidRPr="00A92A6B" w:rsidRDefault="007372EA" w:rsidP="007372EA">
      <w:pPr>
        <w:ind w:left="360"/>
        <w:jc w:val="both"/>
        <w:rPr>
          <w:bCs/>
          <w:sz w:val="22"/>
          <w:szCs w:val="22"/>
        </w:rPr>
      </w:pPr>
    </w:p>
    <w:p w14:paraId="51063059" w14:textId="414CF76A" w:rsidR="00693FA4" w:rsidRDefault="007372EA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Cs/>
          <w:sz w:val="22"/>
          <w:szCs w:val="22"/>
        </w:rPr>
      </w:pPr>
      <w:r w:rsidRPr="00A92A6B">
        <w:rPr>
          <w:bCs/>
          <w:sz w:val="22"/>
          <w:szCs w:val="22"/>
        </w:rPr>
        <w:t xml:space="preserve">ČP se zavazuje, že v případě splnění podmínek uvedených v bodu </w:t>
      </w:r>
      <w:r w:rsidRPr="004253C9">
        <w:rPr>
          <w:bCs/>
          <w:sz w:val="22"/>
          <w:szCs w:val="22"/>
        </w:rPr>
        <w:t>1.</w:t>
      </w:r>
      <w:r w:rsidR="00E41AF5">
        <w:rPr>
          <w:bCs/>
          <w:sz w:val="22"/>
          <w:szCs w:val="22"/>
        </w:rPr>
        <w:t>4</w:t>
      </w:r>
      <w:r w:rsidRPr="004253C9">
        <w:rPr>
          <w:bCs/>
          <w:sz w:val="22"/>
          <w:szCs w:val="22"/>
        </w:rPr>
        <w:t>.1</w:t>
      </w:r>
      <w:r w:rsidR="00C13C28">
        <w:rPr>
          <w:bCs/>
          <w:sz w:val="22"/>
          <w:szCs w:val="22"/>
        </w:rPr>
        <w:t xml:space="preserve"> </w:t>
      </w:r>
      <w:r w:rsidRPr="00A92A6B">
        <w:rPr>
          <w:bCs/>
          <w:sz w:val="22"/>
          <w:szCs w:val="22"/>
        </w:rPr>
        <w:t xml:space="preserve">a překročení objemu podání </w:t>
      </w:r>
      <w:r w:rsidR="00D52347">
        <w:rPr>
          <w:bCs/>
          <w:sz w:val="22"/>
          <w:szCs w:val="22"/>
        </w:rPr>
        <w:t>Zásil</w:t>
      </w:r>
      <w:r w:rsidRPr="00A92A6B">
        <w:rPr>
          <w:bCs/>
          <w:sz w:val="22"/>
          <w:szCs w:val="22"/>
        </w:rPr>
        <w:t xml:space="preserve">ek ve </w:t>
      </w:r>
      <w:r w:rsidR="002E0F6A">
        <w:rPr>
          <w:bCs/>
          <w:sz w:val="22"/>
          <w:szCs w:val="22"/>
        </w:rPr>
        <w:t>S</w:t>
      </w:r>
      <w:r w:rsidR="002E0F6A" w:rsidRPr="00A92A6B">
        <w:rPr>
          <w:bCs/>
          <w:sz w:val="22"/>
          <w:szCs w:val="22"/>
        </w:rPr>
        <w:t xml:space="preserve">jednaném </w:t>
      </w:r>
      <w:r w:rsidRPr="00A92A6B">
        <w:rPr>
          <w:bCs/>
          <w:sz w:val="22"/>
          <w:szCs w:val="22"/>
        </w:rPr>
        <w:t xml:space="preserve">období nad </w:t>
      </w:r>
      <w:r w:rsidR="00B13A20">
        <w:rPr>
          <w:b/>
          <w:sz w:val="22"/>
          <w:szCs w:val="22"/>
        </w:rPr>
        <w:t>XXX</w:t>
      </w:r>
      <w:r w:rsidRPr="004253C9">
        <w:rPr>
          <w:bCs/>
          <w:sz w:val="22"/>
          <w:szCs w:val="22"/>
        </w:rPr>
        <w:t>,</w:t>
      </w:r>
      <w:r w:rsidRPr="00A92A6B">
        <w:rPr>
          <w:bCs/>
          <w:sz w:val="22"/>
          <w:szCs w:val="22"/>
        </w:rPr>
        <w:t xml:space="preserve"> uhradí </w:t>
      </w:r>
      <w:r w:rsidR="00B976A9">
        <w:rPr>
          <w:bCs/>
          <w:sz w:val="22"/>
          <w:szCs w:val="22"/>
        </w:rPr>
        <w:t>Odesílat</w:t>
      </w:r>
      <w:r w:rsidR="00140CAF" w:rsidRPr="00A92A6B">
        <w:rPr>
          <w:bCs/>
          <w:sz w:val="22"/>
          <w:szCs w:val="22"/>
        </w:rPr>
        <w:t>eli</w:t>
      </w:r>
      <w:r w:rsidR="00140CAF">
        <w:rPr>
          <w:bCs/>
          <w:sz w:val="22"/>
          <w:szCs w:val="22"/>
        </w:rPr>
        <w:t xml:space="preserve"> </w:t>
      </w:r>
      <w:r w:rsidR="0030746B">
        <w:rPr>
          <w:bCs/>
          <w:sz w:val="22"/>
          <w:szCs w:val="22"/>
        </w:rPr>
        <w:t>dle bodu 1.4.2</w:t>
      </w:r>
      <w:r w:rsidR="00C13C28">
        <w:rPr>
          <w:bCs/>
          <w:sz w:val="22"/>
          <w:szCs w:val="22"/>
        </w:rPr>
        <w:t xml:space="preserve"> </w:t>
      </w:r>
      <w:r w:rsidR="00EA0914">
        <w:rPr>
          <w:bCs/>
          <w:sz w:val="22"/>
          <w:szCs w:val="22"/>
        </w:rPr>
        <w:t xml:space="preserve">na základě opravného daňového dokladu </w:t>
      </w:r>
      <w:r w:rsidRPr="004253C9">
        <w:rPr>
          <w:bCs/>
          <w:sz w:val="22"/>
          <w:szCs w:val="22"/>
        </w:rPr>
        <w:t>u </w:t>
      </w:r>
      <w:r w:rsidR="00D52347">
        <w:rPr>
          <w:bCs/>
          <w:sz w:val="22"/>
          <w:szCs w:val="22"/>
        </w:rPr>
        <w:t>Zásil</w:t>
      </w:r>
      <w:r w:rsidRPr="004253C9">
        <w:rPr>
          <w:bCs/>
          <w:sz w:val="22"/>
          <w:szCs w:val="22"/>
        </w:rPr>
        <w:t xml:space="preserve">ek zpoplatněných dle této </w:t>
      </w:r>
      <w:r w:rsidR="00331376">
        <w:rPr>
          <w:bCs/>
          <w:sz w:val="22"/>
          <w:szCs w:val="22"/>
        </w:rPr>
        <w:t>Přílohy</w:t>
      </w:r>
      <w:r w:rsidRPr="004253C9">
        <w:rPr>
          <w:bCs/>
          <w:sz w:val="22"/>
          <w:szCs w:val="22"/>
        </w:rPr>
        <w:t xml:space="preserve"> </w:t>
      </w:r>
      <w:r w:rsidRPr="00A92A6B">
        <w:rPr>
          <w:bCs/>
          <w:sz w:val="22"/>
          <w:szCs w:val="22"/>
        </w:rPr>
        <w:t xml:space="preserve">rozdíl mezi cenou již fakturovanou (základem pro průběžné účtování) a cenou, která dle </w:t>
      </w:r>
      <w:r>
        <w:rPr>
          <w:bCs/>
          <w:sz w:val="22"/>
          <w:szCs w:val="22"/>
        </w:rPr>
        <w:t xml:space="preserve">této </w:t>
      </w:r>
      <w:r w:rsidRPr="00A92A6B">
        <w:rPr>
          <w:bCs/>
          <w:sz w:val="22"/>
          <w:szCs w:val="22"/>
        </w:rPr>
        <w:t>P</w:t>
      </w:r>
      <w:r>
        <w:rPr>
          <w:bCs/>
          <w:sz w:val="22"/>
          <w:szCs w:val="22"/>
        </w:rPr>
        <w:t>řílohy</w:t>
      </w:r>
      <w:r w:rsidRPr="00A92A6B">
        <w:rPr>
          <w:bCs/>
          <w:sz w:val="22"/>
          <w:szCs w:val="22"/>
        </w:rPr>
        <w:t xml:space="preserve"> odpovídá výši skutečného objemu podání ve </w:t>
      </w:r>
      <w:r w:rsidR="002E0F6A">
        <w:rPr>
          <w:bCs/>
          <w:sz w:val="22"/>
          <w:szCs w:val="22"/>
        </w:rPr>
        <w:t>S</w:t>
      </w:r>
      <w:r w:rsidR="002E0F6A" w:rsidRPr="00A92A6B">
        <w:rPr>
          <w:bCs/>
          <w:sz w:val="22"/>
          <w:szCs w:val="22"/>
        </w:rPr>
        <w:t xml:space="preserve">jednaném </w:t>
      </w:r>
      <w:r w:rsidRPr="00A92A6B">
        <w:rPr>
          <w:bCs/>
          <w:sz w:val="22"/>
          <w:szCs w:val="22"/>
        </w:rPr>
        <w:t>období.</w:t>
      </w:r>
    </w:p>
    <w:p w14:paraId="75799C0C" w14:textId="38B63E6A" w:rsidR="00693FA4" w:rsidRDefault="00693FA4" w:rsidP="00614FC8">
      <w:pPr>
        <w:pStyle w:val="Zkladntextodsazen"/>
        <w:tabs>
          <w:tab w:val="left" w:pos="284"/>
        </w:tabs>
        <w:spacing w:after="120"/>
        <w:ind w:left="0" w:firstLine="0"/>
        <w:rPr>
          <w:b/>
          <w:sz w:val="22"/>
          <w:highlight w:val="lightGray"/>
        </w:rPr>
      </w:pPr>
    </w:p>
    <w:p w14:paraId="55647F28" w14:textId="7319DB1F" w:rsidR="00BC4584" w:rsidRPr="00215D3F" w:rsidRDefault="00B976A9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Odesílat</w:t>
      </w:r>
      <w:r w:rsidR="00140CAF">
        <w:rPr>
          <w:rFonts w:eastAsia="Times New Roman"/>
        </w:rPr>
        <w:t>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 xml:space="preserve">Strany </w:t>
      </w:r>
      <w:r w:rsidR="00E43831">
        <w:rPr>
          <w:rFonts w:eastAsia="Times New Roman"/>
        </w:rPr>
        <w:t>Smlouv</w:t>
      </w:r>
      <w:r w:rsidR="00331376">
        <w:rPr>
          <w:rFonts w:eastAsia="Times New Roman"/>
        </w:rPr>
        <w:t>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ele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A7478C" w:rsidRPr="00A7478C">
        <w:rPr>
          <w:rFonts w:eastAsia="Times New Roman"/>
        </w:rPr>
        <w:t>1.</w:t>
      </w:r>
      <w:r w:rsidR="00E24E36">
        <w:rPr>
          <w:rFonts w:eastAsia="Times New Roman"/>
        </w:rPr>
        <w:t>7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Odesílat</w:t>
      </w:r>
      <w:r w:rsidR="00140CAF">
        <w:rPr>
          <w:rFonts w:eastAsia="Times New Roman"/>
        </w:rPr>
        <w:t>ele</w:t>
      </w:r>
      <w:r w:rsidR="00BC4584" w:rsidRPr="00215D3F">
        <w:rPr>
          <w:rFonts w:eastAsia="Times New Roman"/>
        </w:rPr>
        <w:t>.</w:t>
      </w:r>
    </w:p>
    <w:p w14:paraId="0B6EF2AF" w14:textId="52644B74"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proofErr w:type="gramStart"/>
      <w:r w:rsidR="00A7478C" w:rsidRPr="00A7478C">
        <w:rPr>
          <w:bCs/>
        </w:rPr>
        <w:t>1.</w:t>
      </w:r>
      <w:r w:rsidR="003D1039">
        <w:rPr>
          <w:bCs/>
        </w:rPr>
        <w:t>6</w:t>
      </w:r>
      <w:r w:rsidR="00E24E36">
        <w:rPr>
          <w:rFonts w:eastAsia="Times New Roman"/>
        </w:rPr>
        <w:t xml:space="preserve"> </w:t>
      </w:r>
      <w:r w:rsidR="003D1039" w:rsidRPr="00232F78">
        <w:rPr>
          <w:bCs/>
        </w:rPr>
        <w:t xml:space="preserve"> </w:t>
      </w:r>
      <w:r w:rsidRPr="00232F78">
        <w:rPr>
          <w:bCs/>
        </w:rPr>
        <w:t>je</w:t>
      </w:r>
      <w:proofErr w:type="gramEnd"/>
      <w:r w:rsidRPr="00232F78">
        <w:rPr>
          <w:bCs/>
        </w:rPr>
        <w:t xml:space="preserve"> </w:t>
      </w:r>
      <w:r w:rsidR="00B976A9">
        <w:rPr>
          <w:bCs/>
        </w:rPr>
        <w:t>Odesílat</w:t>
      </w:r>
      <w:r w:rsidR="00140CAF">
        <w:rPr>
          <w:bCs/>
        </w:rPr>
        <w:t>el</w:t>
      </w:r>
      <w:r w:rsidR="00140CAF" w:rsidRPr="00232F78">
        <w:rPr>
          <w:bCs/>
        </w:rPr>
        <w:t xml:space="preserve"> </w:t>
      </w:r>
      <w:r w:rsidRPr="00232F78">
        <w:rPr>
          <w:bCs/>
        </w:rPr>
        <w:t xml:space="preserve">povinen zaplatit ČP smluvní pokutu ve výši Kč </w:t>
      </w:r>
      <w:r w:rsidR="00B13A20">
        <w:rPr>
          <w:bCs/>
        </w:rPr>
        <w:t>XXX</w:t>
      </w:r>
      <w:r w:rsidRPr="00232F78">
        <w:rPr>
          <w:bCs/>
        </w:rPr>
        <w:t xml:space="preserve"> za každé takové porušení. Smluvní pokuta je splatná do 15 dnů ode dne doručení písemné výzvy k její úhradě. Tím není dotčen nebo omezen nárok na náhradu vzniklé škody.</w:t>
      </w:r>
    </w:p>
    <w:p w14:paraId="3A60CC30" w14:textId="3236E88F"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</w:t>
      </w:r>
      <w:r w:rsidR="00E43831">
        <w:t>dohod</w:t>
      </w:r>
      <w:r w:rsidRPr="00215D3F">
        <w:t xml:space="preserve">ou </w:t>
      </w:r>
      <w:r w:rsidR="00331376">
        <w:t xml:space="preserve">stran </w:t>
      </w:r>
      <w:r w:rsidR="00E43831">
        <w:t>Smlouv</w:t>
      </w:r>
      <w:r w:rsidR="00331376">
        <w:t>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 xml:space="preserve">6.3 </w:t>
      </w:r>
      <w:r w:rsidR="00E43831">
        <w:t>Smlouv</w:t>
      </w:r>
      <w:r w:rsidR="00C518C3">
        <w:t>y</w:t>
      </w:r>
      <w:r w:rsidRPr="00A7478C">
        <w:t xml:space="preserve"> nová Příloha</w:t>
      </w:r>
      <w:r w:rsidRPr="00215D3F">
        <w:t xml:space="preserve">. V případě, že se </w:t>
      </w:r>
      <w:r w:rsidR="00331376">
        <w:t xml:space="preserve">strany </w:t>
      </w:r>
      <w:r w:rsidR="00E43831">
        <w:t>Smlouv</w:t>
      </w:r>
      <w:r w:rsidR="00331376">
        <w:t>y</w:t>
      </w:r>
      <w:r w:rsidRPr="00215D3F">
        <w:t xml:space="preserve"> ne</w:t>
      </w:r>
      <w:r w:rsidR="00922408">
        <w:t>dohod</w:t>
      </w:r>
      <w:r w:rsidRPr="00215D3F">
        <w:t>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14:paraId="2E861226" w14:textId="7F8486CB" w:rsidR="00A466FE" w:rsidRPr="0004164E" w:rsidRDefault="00A466FE" w:rsidP="00A466FE">
      <w:pPr>
        <w:pStyle w:val="cpodstavecslovan1"/>
      </w:pPr>
      <w:r w:rsidRPr="0004164E">
        <w:lastRenderedPageBreak/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976A9">
        <w:t>Odesílat</w:t>
      </w:r>
      <w:r w:rsidR="00B86521">
        <w:t>el je povinen uhradit cenu s připočítanou DPH.</w:t>
      </w:r>
    </w:p>
    <w:p w14:paraId="687304EF" w14:textId="77777777" w:rsidR="003E33C4" w:rsidRPr="004C39CF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14:paraId="7CDAB29A" w14:textId="77777777" w:rsidTr="00F32F38">
        <w:trPr>
          <w:trHeight w:val="709"/>
        </w:trPr>
        <w:tc>
          <w:tcPr>
            <w:tcW w:w="4889" w:type="dxa"/>
          </w:tcPr>
          <w:p w14:paraId="1F912975" w14:textId="37F4A4A9" w:rsidR="003E33C4" w:rsidRDefault="003E33C4" w:rsidP="000F590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90B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1EF01ECF" w14:textId="6E9608B5" w:rsidR="003E33C4" w:rsidRDefault="003E33C4" w:rsidP="000F590B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0F590B">
              <w:t>Praze</w:t>
            </w:r>
            <w:r>
              <w:t xml:space="preserve"> dne </w:t>
            </w:r>
          </w:p>
        </w:tc>
      </w:tr>
      <w:tr w:rsidR="003E33C4" w:rsidRPr="002E4508" w14:paraId="644BD2FD" w14:textId="77777777" w:rsidTr="00F32F38">
        <w:trPr>
          <w:trHeight w:val="703"/>
        </w:trPr>
        <w:tc>
          <w:tcPr>
            <w:tcW w:w="4889" w:type="dxa"/>
          </w:tcPr>
          <w:p w14:paraId="6D02C21E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1DDDE2A0" w14:textId="1A341994"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B976A9">
              <w:t>Odesílat</w:t>
            </w:r>
            <w:r w:rsidR="00D93E96">
              <w:t>ele</w:t>
            </w:r>
            <w:r>
              <w:t>:</w:t>
            </w:r>
          </w:p>
        </w:tc>
      </w:tr>
      <w:tr w:rsidR="003E33C4" w:rsidRPr="002E4508" w14:paraId="1F7C905B" w14:textId="77777777" w:rsidTr="00F32F38">
        <w:trPr>
          <w:trHeight w:val="583"/>
        </w:trPr>
        <w:tc>
          <w:tcPr>
            <w:tcW w:w="4889" w:type="dxa"/>
          </w:tcPr>
          <w:p w14:paraId="4BEA1CF6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F65D62B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30D6106E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F411984" w14:textId="77777777"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14:paraId="4E1F0FE1" w14:textId="77777777" w:rsidTr="00F32F38">
        <w:tc>
          <w:tcPr>
            <w:tcW w:w="4889" w:type="dxa"/>
          </w:tcPr>
          <w:p w14:paraId="5202AE07" w14:textId="77777777" w:rsidR="003E33C4" w:rsidRDefault="000F590B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Richard Gajdoš</w:t>
            </w:r>
          </w:p>
          <w:p w14:paraId="7F0EBF59" w14:textId="5BC5F1BF" w:rsidR="000F590B" w:rsidRDefault="00B131CE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manažer </w:t>
            </w:r>
            <w:r w:rsidR="000F590B">
              <w:t>specializovaného útvaru VIP obchod</w:t>
            </w:r>
          </w:p>
        </w:tc>
        <w:tc>
          <w:tcPr>
            <w:tcW w:w="4889" w:type="dxa"/>
          </w:tcPr>
          <w:p w14:paraId="01FEB210" w14:textId="34A5C934" w:rsidR="00D63E5A" w:rsidRDefault="00677988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2301C5FD" w14:textId="4FB2AB5A" w:rsidR="00D63E5A" w:rsidRDefault="00677988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16153AE7" w14:textId="77777777" w:rsidR="00D63E5A" w:rsidRDefault="00D63E5A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7817F0B" w14:textId="77777777" w:rsidR="00D63E5A" w:rsidRDefault="00D63E5A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73"/>
            </w:tblGrid>
            <w:tr w:rsidR="00D63E5A" w14:paraId="3A99AF65" w14:textId="77777777" w:rsidTr="00B80BC8">
              <w:trPr>
                <w:trHeight w:val="583"/>
              </w:trPr>
              <w:tc>
                <w:tcPr>
                  <w:tcW w:w="4889" w:type="dxa"/>
                </w:tcPr>
                <w:p w14:paraId="4DF39BA4" w14:textId="77777777" w:rsidR="00D63E5A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15A6C9D5" w14:textId="77777777" w:rsidR="00D63E5A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D63E5A" w14:paraId="5099C61A" w14:textId="77777777" w:rsidTr="00B80BC8">
              <w:tc>
                <w:tcPr>
                  <w:tcW w:w="4889" w:type="dxa"/>
                </w:tcPr>
                <w:p w14:paraId="34EA8651" w14:textId="54D9FF8F" w:rsidR="00D63E5A" w:rsidRPr="00BF15F3" w:rsidRDefault="00D63E5A" w:rsidP="00D63E5A">
                  <w:pPr>
                    <w:pStyle w:val="cpodstavecslovan1"/>
                    <w:numPr>
                      <w:ilvl w:val="0"/>
                      <w:numId w:val="0"/>
                    </w:numPr>
                    <w:ind w:left="624"/>
                  </w:pPr>
                  <w:r>
                    <w:t xml:space="preserve">              </w:t>
                  </w:r>
                  <w:r w:rsidR="00677988">
                    <w:t>XXX</w:t>
                  </w:r>
                </w:p>
                <w:p w14:paraId="242F95FD" w14:textId="2F6A0737" w:rsidR="00D63E5A" w:rsidRDefault="00677988" w:rsidP="00D63E5A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XXX</w:t>
                  </w:r>
                </w:p>
              </w:tc>
            </w:tr>
          </w:tbl>
          <w:p w14:paraId="0141A336" w14:textId="2BA29C6C" w:rsidR="000F590B" w:rsidRDefault="000F590B" w:rsidP="00D63E5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17A9A686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0C1C99C7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7A392444" w14:textId="77777777" w:rsidR="00614FC8" w:rsidRDefault="00614FC8" w:rsidP="00772894">
      <w:pPr>
        <w:pStyle w:val="P-HLTITULEK"/>
        <w:outlineLvl w:val="0"/>
        <w:rPr>
          <w:highlight w:val="lightGray"/>
        </w:rPr>
      </w:pPr>
      <w:bookmarkStart w:id="0" w:name="_GoBack"/>
      <w:bookmarkEnd w:id="0"/>
    </w:p>
    <w:p w14:paraId="4F53534E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4AC57F59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p w14:paraId="0FA4D6F9" w14:textId="77777777" w:rsidR="00614FC8" w:rsidRDefault="00614FC8" w:rsidP="00772894">
      <w:pPr>
        <w:pStyle w:val="P-HLTITULEK"/>
        <w:outlineLvl w:val="0"/>
        <w:rPr>
          <w:highlight w:val="lightGray"/>
        </w:rPr>
      </w:pPr>
    </w:p>
    <w:sectPr w:rsidR="00614FC8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EBB8" w14:textId="77777777" w:rsidR="00A90582" w:rsidRDefault="00A90582">
      <w:r>
        <w:separator/>
      </w:r>
    </w:p>
  </w:endnote>
  <w:endnote w:type="continuationSeparator" w:id="0">
    <w:p w14:paraId="6014EA63" w14:textId="77777777" w:rsidR="00A90582" w:rsidRDefault="00A9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217D" w14:textId="19CB36AA" w:rsidR="002B1EFB" w:rsidRDefault="002B1EFB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Pr="004C39CF">
      <w:rPr>
        <w:sz w:val="18"/>
        <w:szCs w:val="18"/>
      </w:rPr>
      <w:fldChar w:fldCharType="separate"/>
    </w:r>
    <w:r w:rsidR="00677988">
      <w:rPr>
        <w:noProof/>
        <w:sz w:val="18"/>
        <w:szCs w:val="18"/>
      </w:rPr>
      <w:t>1</w:t>
    </w:r>
    <w:r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SECTIONPAGES   \* MERGEFORMAT </w:instrText>
    </w:r>
    <w:r>
      <w:rPr>
        <w:noProof/>
        <w:sz w:val="18"/>
        <w:szCs w:val="18"/>
      </w:rPr>
      <w:fldChar w:fldCharType="separate"/>
    </w:r>
    <w:r w:rsidR="00677988">
      <w:rPr>
        <w:noProof/>
        <w:sz w:val="18"/>
        <w:szCs w:val="18"/>
      </w:rPr>
      <w:t>4</w:t>
    </w:r>
    <w:r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BC13B" w14:textId="77777777" w:rsidR="00A90582" w:rsidRDefault="00A90582">
      <w:r>
        <w:separator/>
      </w:r>
    </w:p>
  </w:footnote>
  <w:footnote w:type="continuationSeparator" w:id="0">
    <w:p w14:paraId="12D7EB1C" w14:textId="77777777" w:rsidR="00A90582" w:rsidRDefault="00A9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FF4E" w14:textId="77777777" w:rsidR="002B1EFB" w:rsidRPr="00E6080F" w:rsidRDefault="002B1EFB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2441C" wp14:editId="36CBD5F7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EE56F" w14:textId="77777777" w:rsidR="002B1EFB" w:rsidRDefault="002B1EFB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2441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14:paraId="618EE56F" w14:textId="77777777" w:rsidR="002B1EFB" w:rsidRDefault="002B1EFB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44DC3EDF" wp14:editId="5064B83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7" distR="114297" simplePos="0" relativeHeight="251660288" behindDoc="0" locked="0" layoutInCell="1" allowOverlap="1" wp14:anchorId="42FB1F12" wp14:editId="36E3C543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0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EDC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E0A1E43" w14:textId="509051DF" w:rsidR="002B1EFB" w:rsidRPr="0044164B" w:rsidRDefault="00BB5D5B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 xml:space="preserve">Dodatek č. </w:t>
    </w:r>
    <w:r w:rsidR="00346EA7">
      <w:rPr>
        <w:rFonts w:ascii="Arial" w:hAnsi="Arial" w:cs="Arial"/>
        <w:noProof/>
        <w:sz w:val="22"/>
        <w:szCs w:val="22"/>
      </w:rPr>
      <w:t>XXX</w:t>
    </w:r>
    <w:r w:rsidR="002B1EFB">
      <w:rPr>
        <w:rFonts w:ascii="Arial" w:hAnsi="Arial" w:cs="Arial"/>
        <w:noProof/>
        <w:sz w:val="22"/>
        <w:szCs w:val="22"/>
      </w:rPr>
      <w:t xml:space="preserve"> ke </w:t>
    </w:r>
    <w:r w:rsidR="002B1EFB" w:rsidRPr="00426652">
      <w:rPr>
        <w:rFonts w:ascii="Arial" w:hAnsi="Arial" w:cs="Arial"/>
        <w:noProof/>
        <w:sz w:val="22"/>
        <w:szCs w:val="22"/>
      </w:rPr>
      <w:t>Smlouvě o ceně za podávané zásilky Obchodní psaní  č</w:t>
    </w:r>
    <w:r w:rsidR="002B1EFB">
      <w:rPr>
        <w:rFonts w:ascii="Arial" w:hAnsi="Arial" w:cs="Arial"/>
        <w:noProof/>
        <w:sz w:val="22"/>
        <w:szCs w:val="22"/>
      </w:rPr>
      <w:t xml:space="preserve">. </w:t>
    </w:r>
  </w:p>
  <w:p w14:paraId="1537E2C2" w14:textId="0DF83A45" w:rsidR="002B1EFB" w:rsidRPr="000027B8" w:rsidRDefault="00346EA7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XXX</w:t>
    </w:r>
    <w:r w:rsidR="00955C8C">
      <w:rPr>
        <w:rFonts w:ascii="Arial" w:hAnsi="Arial" w:cs="Arial"/>
        <w:noProof/>
        <w:sz w:val="22"/>
        <w:szCs w:val="22"/>
      </w:rPr>
      <w:t xml:space="preserve"> </w:t>
    </w:r>
    <w:r w:rsidR="002B1EFB">
      <w:rPr>
        <w:rFonts w:ascii="Arial" w:hAnsi="Arial" w:cs="Arial"/>
        <w:noProof/>
        <w:sz w:val="22"/>
        <w:szCs w:val="22"/>
      </w:rPr>
      <w:t>– Příloha č. 1</w:t>
    </w:r>
  </w:p>
  <w:p w14:paraId="1C02EE0B" w14:textId="77777777" w:rsidR="002B1EFB" w:rsidRDefault="002B1EFB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B137F5E" wp14:editId="160A25CC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8C520" wp14:editId="4E8F1113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AEEBE" w14:textId="77777777" w:rsidR="002B1EFB" w:rsidRPr="00DE79B2" w:rsidRDefault="002B1EFB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8C520"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14:paraId="4BDAEEBE" w14:textId="77777777" w:rsidR="002B1EFB" w:rsidRPr="00DE79B2" w:rsidRDefault="002B1EFB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72CD00" w14:textId="77777777" w:rsidR="002B1EFB" w:rsidRDefault="002B1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 w15:restartNumberingAfterBreak="0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E5"/>
    <w:rsid w:val="00002401"/>
    <w:rsid w:val="00003E6C"/>
    <w:rsid w:val="0000474D"/>
    <w:rsid w:val="00005FBA"/>
    <w:rsid w:val="00006031"/>
    <w:rsid w:val="00010E33"/>
    <w:rsid w:val="00016AEC"/>
    <w:rsid w:val="00016F75"/>
    <w:rsid w:val="000251B4"/>
    <w:rsid w:val="00026E5E"/>
    <w:rsid w:val="00035DD1"/>
    <w:rsid w:val="00037022"/>
    <w:rsid w:val="00040EA4"/>
    <w:rsid w:val="000414D5"/>
    <w:rsid w:val="000457BE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E74"/>
    <w:rsid w:val="000E371B"/>
    <w:rsid w:val="000E3942"/>
    <w:rsid w:val="000F0013"/>
    <w:rsid w:val="000F590B"/>
    <w:rsid w:val="00100D6B"/>
    <w:rsid w:val="00104058"/>
    <w:rsid w:val="00111F24"/>
    <w:rsid w:val="001149FB"/>
    <w:rsid w:val="00123FDA"/>
    <w:rsid w:val="0013572C"/>
    <w:rsid w:val="001369D1"/>
    <w:rsid w:val="00140CAF"/>
    <w:rsid w:val="00142021"/>
    <w:rsid w:val="001654C2"/>
    <w:rsid w:val="001717C8"/>
    <w:rsid w:val="00171F3C"/>
    <w:rsid w:val="00173F20"/>
    <w:rsid w:val="00174D12"/>
    <w:rsid w:val="00174DA1"/>
    <w:rsid w:val="00174DC5"/>
    <w:rsid w:val="001817EC"/>
    <w:rsid w:val="00181EB6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1F4069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026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6DD2"/>
    <w:rsid w:val="002B1EFB"/>
    <w:rsid w:val="002B2183"/>
    <w:rsid w:val="002C0842"/>
    <w:rsid w:val="002C6C9C"/>
    <w:rsid w:val="002D1CB2"/>
    <w:rsid w:val="002D3902"/>
    <w:rsid w:val="002D5FE3"/>
    <w:rsid w:val="002D788A"/>
    <w:rsid w:val="002E0F6A"/>
    <w:rsid w:val="002E4C28"/>
    <w:rsid w:val="002F136F"/>
    <w:rsid w:val="002F6D03"/>
    <w:rsid w:val="002F6D7D"/>
    <w:rsid w:val="00303115"/>
    <w:rsid w:val="00306592"/>
    <w:rsid w:val="0030746B"/>
    <w:rsid w:val="00312170"/>
    <w:rsid w:val="00322B0E"/>
    <w:rsid w:val="00331376"/>
    <w:rsid w:val="0033369F"/>
    <w:rsid w:val="00334C48"/>
    <w:rsid w:val="003468BB"/>
    <w:rsid w:val="00346EA7"/>
    <w:rsid w:val="00353471"/>
    <w:rsid w:val="00355E42"/>
    <w:rsid w:val="00361584"/>
    <w:rsid w:val="00366051"/>
    <w:rsid w:val="00366EC9"/>
    <w:rsid w:val="00367140"/>
    <w:rsid w:val="0037432B"/>
    <w:rsid w:val="00380116"/>
    <w:rsid w:val="00385138"/>
    <w:rsid w:val="00387F45"/>
    <w:rsid w:val="00396D12"/>
    <w:rsid w:val="003A0AA5"/>
    <w:rsid w:val="003A2A80"/>
    <w:rsid w:val="003A71EE"/>
    <w:rsid w:val="003B6489"/>
    <w:rsid w:val="003B7227"/>
    <w:rsid w:val="003C1D1A"/>
    <w:rsid w:val="003C28F3"/>
    <w:rsid w:val="003D1039"/>
    <w:rsid w:val="003E2D12"/>
    <w:rsid w:val="003E33C4"/>
    <w:rsid w:val="003E787D"/>
    <w:rsid w:val="003F2775"/>
    <w:rsid w:val="003F698D"/>
    <w:rsid w:val="00402768"/>
    <w:rsid w:val="004057B8"/>
    <w:rsid w:val="00405F0F"/>
    <w:rsid w:val="00414869"/>
    <w:rsid w:val="004253C9"/>
    <w:rsid w:val="00426652"/>
    <w:rsid w:val="004339D7"/>
    <w:rsid w:val="0043435C"/>
    <w:rsid w:val="00435507"/>
    <w:rsid w:val="00435A19"/>
    <w:rsid w:val="00441B0B"/>
    <w:rsid w:val="0044296E"/>
    <w:rsid w:val="00450E6C"/>
    <w:rsid w:val="00455D55"/>
    <w:rsid w:val="00461817"/>
    <w:rsid w:val="004749DA"/>
    <w:rsid w:val="00482133"/>
    <w:rsid w:val="00484ACA"/>
    <w:rsid w:val="00487053"/>
    <w:rsid w:val="0048726A"/>
    <w:rsid w:val="004932E1"/>
    <w:rsid w:val="00494FFD"/>
    <w:rsid w:val="004971C5"/>
    <w:rsid w:val="00497CFC"/>
    <w:rsid w:val="004A2E3F"/>
    <w:rsid w:val="004A5BDA"/>
    <w:rsid w:val="004C39CF"/>
    <w:rsid w:val="004D1963"/>
    <w:rsid w:val="004D1B2C"/>
    <w:rsid w:val="004D24B4"/>
    <w:rsid w:val="004D6952"/>
    <w:rsid w:val="004D7F79"/>
    <w:rsid w:val="00505A99"/>
    <w:rsid w:val="00513A45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7C7F"/>
    <w:rsid w:val="005B0A5A"/>
    <w:rsid w:val="005B14E9"/>
    <w:rsid w:val="005E41CD"/>
    <w:rsid w:val="005E7FA2"/>
    <w:rsid w:val="005F276A"/>
    <w:rsid w:val="0060709F"/>
    <w:rsid w:val="00612EC9"/>
    <w:rsid w:val="00614FC8"/>
    <w:rsid w:val="0062073D"/>
    <w:rsid w:val="00620D28"/>
    <w:rsid w:val="00630730"/>
    <w:rsid w:val="00631375"/>
    <w:rsid w:val="006347ED"/>
    <w:rsid w:val="00637C98"/>
    <w:rsid w:val="006453FF"/>
    <w:rsid w:val="00646EB2"/>
    <w:rsid w:val="00651E3A"/>
    <w:rsid w:val="00660EB4"/>
    <w:rsid w:val="00677988"/>
    <w:rsid w:val="006866FF"/>
    <w:rsid w:val="00693FA4"/>
    <w:rsid w:val="00695D4A"/>
    <w:rsid w:val="00696BC2"/>
    <w:rsid w:val="006A4D5E"/>
    <w:rsid w:val="006A6D1F"/>
    <w:rsid w:val="006B0910"/>
    <w:rsid w:val="006B5C1C"/>
    <w:rsid w:val="006B6A0E"/>
    <w:rsid w:val="006C46F8"/>
    <w:rsid w:val="006C4D58"/>
    <w:rsid w:val="006C7937"/>
    <w:rsid w:val="006D1E70"/>
    <w:rsid w:val="006D5EB8"/>
    <w:rsid w:val="006E14E2"/>
    <w:rsid w:val="006E2010"/>
    <w:rsid w:val="006E4A96"/>
    <w:rsid w:val="007021AF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5FDB"/>
    <w:rsid w:val="0073660E"/>
    <w:rsid w:val="007372EA"/>
    <w:rsid w:val="00757612"/>
    <w:rsid w:val="00763377"/>
    <w:rsid w:val="00771D1C"/>
    <w:rsid w:val="00771D62"/>
    <w:rsid w:val="00772894"/>
    <w:rsid w:val="007758BD"/>
    <w:rsid w:val="00790FA8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2F28"/>
    <w:rsid w:val="00814B88"/>
    <w:rsid w:val="008172E9"/>
    <w:rsid w:val="008213A5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92E"/>
    <w:rsid w:val="008D3716"/>
    <w:rsid w:val="008D7422"/>
    <w:rsid w:val="008E582D"/>
    <w:rsid w:val="008F21D2"/>
    <w:rsid w:val="00906AE7"/>
    <w:rsid w:val="009139F9"/>
    <w:rsid w:val="00916128"/>
    <w:rsid w:val="0092174D"/>
    <w:rsid w:val="00922408"/>
    <w:rsid w:val="00944C45"/>
    <w:rsid w:val="00944E68"/>
    <w:rsid w:val="00955C8C"/>
    <w:rsid w:val="0096357D"/>
    <w:rsid w:val="0096657C"/>
    <w:rsid w:val="00970CA3"/>
    <w:rsid w:val="009749F3"/>
    <w:rsid w:val="009807A3"/>
    <w:rsid w:val="009835CA"/>
    <w:rsid w:val="00993B7A"/>
    <w:rsid w:val="00993BBA"/>
    <w:rsid w:val="00993D3B"/>
    <w:rsid w:val="009A1F53"/>
    <w:rsid w:val="009B2772"/>
    <w:rsid w:val="009B4953"/>
    <w:rsid w:val="009C13C8"/>
    <w:rsid w:val="009C173F"/>
    <w:rsid w:val="009C17A2"/>
    <w:rsid w:val="009D09B7"/>
    <w:rsid w:val="009D4EBE"/>
    <w:rsid w:val="009E58DF"/>
    <w:rsid w:val="009F15F0"/>
    <w:rsid w:val="009F7C9B"/>
    <w:rsid w:val="00A030F2"/>
    <w:rsid w:val="00A045C2"/>
    <w:rsid w:val="00A13DB0"/>
    <w:rsid w:val="00A13F91"/>
    <w:rsid w:val="00A17669"/>
    <w:rsid w:val="00A226B4"/>
    <w:rsid w:val="00A325A2"/>
    <w:rsid w:val="00A35884"/>
    <w:rsid w:val="00A44CD4"/>
    <w:rsid w:val="00A466FE"/>
    <w:rsid w:val="00A46C5E"/>
    <w:rsid w:val="00A554E2"/>
    <w:rsid w:val="00A616F8"/>
    <w:rsid w:val="00A63DFF"/>
    <w:rsid w:val="00A7478C"/>
    <w:rsid w:val="00A754EF"/>
    <w:rsid w:val="00A90582"/>
    <w:rsid w:val="00A9235C"/>
    <w:rsid w:val="00A93802"/>
    <w:rsid w:val="00AA2F78"/>
    <w:rsid w:val="00AA6568"/>
    <w:rsid w:val="00AB7043"/>
    <w:rsid w:val="00AC3171"/>
    <w:rsid w:val="00AC79FB"/>
    <w:rsid w:val="00AD0CA8"/>
    <w:rsid w:val="00AD2C0E"/>
    <w:rsid w:val="00AD4F1E"/>
    <w:rsid w:val="00AE0514"/>
    <w:rsid w:val="00AE4B82"/>
    <w:rsid w:val="00AE50BF"/>
    <w:rsid w:val="00AE5B9B"/>
    <w:rsid w:val="00B07E10"/>
    <w:rsid w:val="00B11E82"/>
    <w:rsid w:val="00B12080"/>
    <w:rsid w:val="00B12978"/>
    <w:rsid w:val="00B12F8C"/>
    <w:rsid w:val="00B131CE"/>
    <w:rsid w:val="00B13A20"/>
    <w:rsid w:val="00B23A5F"/>
    <w:rsid w:val="00B263F0"/>
    <w:rsid w:val="00B27054"/>
    <w:rsid w:val="00B435E5"/>
    <w:rsid w:val="00B44372"/>
    <w:rsid w:val="00B44BA5"/>
    <w:rsid w:val="00B47940"/>
    <w:rsid w:val="00B500CF"/>
    <w:rsid w:val="00B50157"/>
    <w:rsid w:val="00B66A27"/>
    <w:rsid w:val="00B70379"/>
    <w:rsid w:val="00B71CAA"/>
    <w:rsid w:val="00B72AB2"/>
    <w:rsid w:val="00B74C96"/>
    <w:rsid w:val="00B844D2"/>
    <w:rsid w:val="00B86521"/>
    <w:rsid w:val="00B94B83"/>
    <w:rsid w:val="00B976A9"/>
    <w:rsid w:val="00BA3F17"/>
    <w:rsid w:val="00BB1EFA"/>
    <w:rsid w:val="00BB4518"/>
    <w:rsid w:val="00BB5D5B"/>
    <w:rsid w:val="00BC0A9E"/>
    <w:rsid w:val="00BC0B9E"/>
    <w:rsid w:val="00BC4584"/>
    <w:rsid w:val="00BC7177"/>
    <w:rsid w:val="00BF2287"/>
    <w:rsid w:val="00BF6887"/>
    <w:rsid w:val="00BF6E72"/>
    <w:rsid w:val="00BF7241"/>
    <w:rsid w:val="00C06632"/>
    <w:rsid w:val="00C13C28"/>
    <w:rsid w:val="00C20AA2"/>
    <w:rsid w:val="00C20B13"/>
    <w:rsid w:val="00C2115E"/>
    <w:rsid w:val="00C27FD5"/>
    <w:rsid w:val="00C3079D"/>
    <w:rsid w:val="00C37156"/>
    <w:rsid w:val="00C3715A"/>
    <w:rsid w:val="00C37195"/>
    <w:rsid w:val="00C43831"/>
    <w:rsid w:val="00C47023"/>
    <w:rsid w:val="00C518C3"/>
    <w:rsid w:val="00C6674C"/>
    <w:rsid w:val="00C73974"/>
    <w:rsid w:val="00C81426"/>
    <w:rsid w:val="00C91F5C"/>
    <w:rsid w:val="00C9326E"/>
    <w:rsid w:val="00C93BBF"/>
    <w:rsid w:val="00CA206B"/>
    <w:rsid w:val="00CA67EF"/>
    <w:rsid w:val="00CB160D"/>
    <w:rsid w:val="00CB183B"/>
    <w:rsid w:val="00CB4123"/>
    <w:rsid w:val="00CC6FD8"/>
    <w:rsid w:val="00CD7E40"/>
    <w:rsid w:val="00CE2373"/>
    <w:rsid w:val="00D00ED9"/>
    <w:rsid w:val="00D023F8"/>
    <w:rsid w:val="00D03EF9"/>
    <w:rsid w:val="00D22F00"/>
    <w:rsid w:val="00D30688"/>
    <w:rsid w:val="00D4542F"/>
    <w:rsid w:val="00D52347"/>
    <w:rsid w:val="00D578DB"/>
    <w:rsid w:val="00D63E5A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8A7"/>
    <w:rsid w:val="00DE3BAD"/>
    <w:rsid w:val="00DF30A9"/>
    <w:rsid w:val="00DF49D4"/>
    <w:rsid w:val="00E019F4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43831"/>
    <w:rsid w:val="00E46767"/>
    <w:rsid w:val="00E50986"/>
    <w:rsid w:val="00E5239F"/>
    <w:rsid w:val="00E575E4"/>
    <w:rsid w:val="00E60553"/>
    <w:rsid w:val="00E6372D"/>
    <w:rsid w:val="00E70D89"/>
    <w:rsid w:val="00E74C93"/>
    <w:rsid w:val="00E800F1"/>
    <w:rsid w:val="00E80491"/>
    <w:rsid w:val="00E90CBC"/>
    <w:rsid w:val="00E91867"/>
    <w:rsid w:val="00EA0914"/>
    <w:rsid w:val="00EA7BE8"/>
    <w:rsid w:val="00EB05B5"/>
    <w:rsid w:val="00EB1B5A"/>
    <w:rsid w:val="00EC6C98"/>
    <w:rsid w:val="00ED3F61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70D7D"/>
    <w:rsid w:val="00F7750A"/>
    <w:rsid w:val="00F84971"/>
    <w:rsid w:val="00F92E81"/>
    <w:rsid w:val="00F95373"/>
    <w:rsid w:val="00F96CA5"/>
    <w:rsid w:val="00FA06A7"/>
    <w:rsid w:val="00FA1C0F"/>
    <w:rsid w:val="00FA3F97"/>
    <w:rsid w:val="00FA5294"/>
    <w:rsid w:val="00FB1FA9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1AC1"/>
    <w:rsid w:val="00FF6947"/>
    <w:rsid w:val="00FF6D7F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704D89"/>
  <w15:docId w15:val="{B5BC0731-BF20-43DB-B79D-8EA186D6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nadpis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d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qFormat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00007-483A-4D65-A2A1-8FCFD90A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1080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Hakr Michal</cp:lastModifiedBy>
  <cp:revision>8</cp:revision>
  <cp:lastPrinted>2009-12-21T09:43:00Z</cp:lastPrinted>
  <dcterms:created xsi:type="dcterms:W3CDTF">2020-12-11T12:40:00Z</dcterms:created>
  <dcterms:modified xsi:type="dcterms:W3CDTF">2020-12-11T12:45:00Z</dcterms:modified>
</cp:coreProperties>
</file>