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3A4C7867" w:rsidR="00AD64B2" w:rsidRPr="00456759" w:rsidRDefault="00CB44F1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56/49534971/2020</w:t>
      </w: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45F73525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4FB5260A" w14:textId="69C28E3D" w:rsidR="00557B4F" w:rsidRDefault="00CB44F1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Domov Mladá, poskytovatel sociálních služeb</w:t>
      </w:r>
    </w:p>
    <w:p w14:paraId="73812260" w14:textId="05A0CB55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B44F1">
        <w:rPr>
          <w:rFonts w:ascii="Arial" w:hAnsi="Arial" w:cs="Arial"/>
        </w:rPr>
        <w:t>Rakouská 552, 289 24 Milovice - Mladá</w:t>
      </w:r>
    </w:p>
    <w:p w14:paraId="3C10A76C" w14:textId="4F4A70E9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B44F1">
        <w:rPr>
          <w:rFonts w:ascii="Arial" w:hAnsi="Arial" w:cs="Arial"/>
        </w:rPr>
        <w:t>49534971</w:t>
      </w:r>
    </w:p>
    <w:p w14:paraId="65F3BF76" w14:textId="573628E1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B44F1" w:rsidRPr="00CB44F1">
        <w:rPr>
          <w:rFonts w:ascii="Arial" w:hAnsi="Arial" w:cs="Arial"/>
        </w:rPr>
        <w:t>CZ49534971</w:t>
      </w:r>
    </w:p>
    <w:p w14:paraId="5304FAEA" w14:textId="5C5E0948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</w:t>
      </w:r>
      <w:proofErr w:type="gramStart"/>
      <w:r w:rsidRPr="00942780">
        <w:rPr>
          <w:rFonts w:ascii="Arial" w:hAnsi="Arial" w:cs="Arial"/>
        </w:rPr>
        <w:t xml:space="preserve">vedeném </w:t>
      </w:r>
      <w:r>
        <w:rPr>
          <w:rFonts w:ascii="Arial" w:hAnsi="Arial" w:cs="Arial"/>
        </w:rPr>
        <w:t xml:space="preserve"> </w:t>
      </w:r>
      <w:r w:rsidR="00CB44F1">
        <w:rPr>
          <w:rFonts w:ascii="Arial" w:hAnsi="Arial" w:cs="Arial"/>
        </w:rPr>
        <w:t>u Městského</w:t>
      </w:r>
      <w:proofErr w:type="gramEnd"/>
      <w:r w:rsidR="00CB44F1">
        <w:rPr>
          <w:rFonts w:ascii="Arial" w:hAnsi="Arial" w:cs="Arial"/>
        </w:rPr>
        <w:t xml:space="preserve"> soudu v Praze v oddílu </w:t>
      </w:r>
      <w:proofErr w:type="spellStart"/>
      <w:r w:rsidR="00CB44F1">
        <w:rPr>
          <w:rFonts w:ascii="Arial" w:hAnsi="Arial" w:cs="Arial"/>
        </w:rPr>
        <w:t>Pr</w:t>
      </w:r>
      <w:proofErr w:type="spellEnd"/>
      <w:r w:rsidR="00CB44F1">
        <w:rPr>
          <w:rFonts w:ascii="Arial" w:hAnsi="Arial" w:cs="Arial"/>
        </w:rPr>
        <w:t>, vložce číslo 942</w:t>
      </w:r>
    </w:p>
    <w:p w14:paraId="011AD62D" w14:textId="4B514D77" w:rsidR="00557B4F" w:rsidRPr="00942780" w:rsidRDefault="00557B4F" w:rsidP="00557B4F">
      <w:pPr>
        <w:widowControl w:val="0"/>
        <w:suppressAutoHyphens/>
        <w:ind w:left="2127" w:hanging="2127"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níž jedná:</w:t>
      </w:r>
      <w:r>
        <w:rPr>
          <w:rFonts w:ascii="Arial" w:hAnsi="Arial" w:cs="Arial"/>
        </w:rPr>
        <w:tab/>
      </w:r>
      <w:r w:rsidR="00CB44F1">
        <w:rPr>
          <w:rFonts w:ascii="Arial" w:hAnsi="Arial" w:cs="Arial"/>
        </w:rPr>
        <w:t>ředitel PO</w:t>
      </w:r>
    </w:p>
    <w:p w14:paraId="7D9736CA" w14:textId="1DBB3946" w:rsidR="00557B4F" w:rsidRDefault="00557B4F" w:rsidP="00557B4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B44F1">
        <w:rPr>
          <w:rFonts w:ascii="Arial" w:hAnsi="Arial" w:cs="Arial"/>
        </w:rPr>
        <w:t>KB a.s., pobočka Milovice</w:t>
      </w:r>
    </w:p>
    <w:p w14:paraId="2D1DD74D" w14:textId="3C51F0C9" w:rsidR="00557B4F" w:rsidRDefault="00CB44F1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          usp.milovice@tiscali.cz</w:t>
      </w:r>
    </w:p>
    <w:p w14:paraId="6CD963FC" w14:textId="3291060D" w:rsidR="00557B4F" w:rsidRPr="00942780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DB188" w14:textId="6BB9601E" w:rsidR="00557B4F" w:rsidRDefault="005752EE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14:paraId="55F09954" w14:textId="41A94DDE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370D27" w14:textId="171D17F1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03847" w14:textId="6931DCBF" w:rsidR="00557B4F" w:rsidRDefault="00557B4F" w:rsidP="00557B4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B44F1">
        <w:rPr>
          <w:rFonts w:ascii="Arial" w:hAnsi="Arial" w:cs="Arial"/>
        </w:rPr>
        <w:t>uazkib3</w:t>
      </w:r>
    </w:p>
    <w:p w14:paraId="2AE6C26E" w14:textId="7EE16F58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32111E2B" w14:textId="2844F002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4FE93A42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</w:t>
      </w:r>
      <w:r w:rsidR="005752EE">
        <w:rPr>
          <w:rFonts w:ascii="Arial" w:hAnsi="Arial" w:cs="Arial"/>
        </w:rPr>
        <w:t>á:</w:t>
      </w:r>
      <w:r w:rsidR="005752EE">
        <w:rPr>
          <w:rFonts w:ascii="Arial" w:hAnsi="Arial" w:cs="Arial"/>
        </w:rPr>
        <w:tab/>
      </w:r>
      <w:r w:rsidRPr="00DE07DE">
        <w:rPr>
          <w:rFonts w:ascii="Arial" w:hAnsi="Arial" w:cs="Arial"/>
        </w:rPr>
        <w:t>jednatel</w:t>
      </w:r>
    </w:p>
    <w:p w14:paraId="3AE14E82" w14:textId="469FDCAD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>MONETA Mo</w:t>
      </w:r>
      <w:r w:rsidR="005752EE">
        <w:rPr>
          <w:rFonts w:ascii="Arial" w:hAnsi="Arial" w:cs="Arial"/>
        </w:rPr>
        <w:t>ney Bank</w:t>
      </w:r>
      <w:r w:rsidRPr="00DE07DE">
        <w:rPr>
          <w:rFonts w:ascii="Arial" w:hAnsi="Arial" w:cs="Arial"/>
        </w:rPr>
        <w:t xml:space="preserve"> </w:t>
      </w:r>
    </w:p>
    <w:p w14:paraId="708D98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03141D71" w14:textId="574E9313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</w:t>
      </w:r>
      <w:r w:rsidR="005752EE">
        <w:rPr>
          <w:rFonts w:ascii="Arial" w:hAnsi="Arial" w:cs="Arial"/>
        </w:rPr>
        <w:t>ntaktní osoba:</w:t>
      </w:r>
      <w:r w:rsidR="005752EE">
        <w:rPr>
          <w:rFonts w:ascii="Arial" w:hAnsi="Arial" w:cs="Arial"/>
        </w:rPr>
        <w:tab/>
      </w:r>
    </w:p>
    <w:p w14:paraId="35BA2DED" w14:textId="7FEBE66B" w:rsidR="0087764E" w:rsidRPr="00DE07DE" w:rsidRDefault="005752E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80A79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dkavbnj</w:t>
      </w:r>
      <w:proofErr w:type="spellEnd"/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0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17F386E4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2A81C537" w14:textId="03B7FB0E" w:rsidR="005752EE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 w:rsidR="005752EE">
        <w:rPr>
          <w:rFonts w:ascii="Arial" w:hAnsi="Arial" w:cs="Arial"/>
        </w:rPr>
        <w:tab/>
      </w:r>
      <w:r w:rsidR="005752EE">
        <w:rPr>
          <w:rFonts w:ascii="Arial" w:hAnsi="Arial" w:cs="Arial"/>
        </w:rPr>
        <w:tab/>
      </w:r>
    </w:p>
    <w:p w14:paraId="54AB8E51" w14:textId="4F77A273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547F9510" w14:textId="25CA1DC8" w:rsidR="0087764E" w:rsidRDefault="005752E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3D866646" w14:textId="56E357A0" w:rsidR="0087764E" w:rsidRDefault="005752E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E4EA3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0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66E6D3AD" w:rsidR="0087764E" w:rsidRPr="002E5B92" w:rsidRDefault="005752EE" w:rsidP="0087764E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něhož jedná:</w:t>
      </w:r>
    </w:p>
    <w:p w14:paraId="33C2ACF9" w14:textId="609A5172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>Banka CREDI</w:t>
      </w:r>
      <w:r w:rsidR="005752EE">
        <w:rPr>
          <w:rFonts w:ascii="Arial" w:hAnsi="Arial" w:cs="Arial"/>
          <w:bCs/>
        </w:rPr>
        <w:t>TAS a.s.</w:t>
      </w:r>
      <w:r w:rsidRPr="002E5B92">
        <w:rPr>
          <w:rFonts w:ascii="Arial" w:hAnsi="Arial" w:cs="Arial"/>
          <w:bCs/>
        </w:rPr>
        <w:t xml:space="preserve">  </w:t>
      </w:r>
    </w:p>
    <w:p w14:paraId="4E72985C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1D4BDB57" w14:textId="1F5259AA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</w:t>
      </w:r>
      <w:r w:rsidR="005752EE">
        <w:rPr>
          <w:rFonts w:ascii="Arial" w:hAnsi="Arial" w:cs="Arial"/>
          <w:bCs/>
        </w:rPr>
        <w:t>ontaktní osoba:</w:t>
      </w:r>
      <w:r w:rsidR="005752EE">
        <w:rPr>
          <w:rFonts w:ascii="Arial" w:hAnsi="Arial" w:cs="Arial"/>
          <w:bCs/>
        </w:rPr>
        <w:tab/>
      </w:r>
    </w:p>
    <w:p w14:paraId="022A4AE3" w14:textId="7B5B82B3" w:rsidR="0087764E" w:rsidRPr="002E5B92" w:rsidRDefault="005752EE" w:rsidP="0087764E">
      <w:pPr>
        <w:widowControl w:val="0"/>
        <w:suppressAutoHyphen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bookmarkStart w:id="1" w:name="_GoBack"/>
      <w:bookmarkEnd w:id="1"/>
    </w:p>
    <w:p w14:paraId="2B87955F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0FADAC0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44167BB5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CB44F1">
        <w:rPr>
          <w:rFonts w:eastAsia="Calibri"/>
          <w:sz w:val="24"/>
          <w:lang w:eastAsia="en-US"/>
        </w:rPr>
        <w:t>Domov Mladá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2042DDF8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CB44F1">
        <w:rPr>
          <w:rFonts w:eastAsia="Calibri"/>
          <w:sz w:val="24"/>
          <w:lang w:eastAsia="en-US"/>
        </w:rPr>
        <w:t>Domov Mladá</w:t>
      </w:r>
      <w:r>
        <w:rPr>
          <w:rFonts w:cs="Arial"/>
          <w:sz w:val="24"/>
        </w:rPr>
        <w:t xml:space="preserve">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5BAF2274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CB44F1">
        <w:rPr>
          <w:rFonts w:eastAsia="Calibri"/>
          <w:sz w:val="24"/>
          <w:lang w:eastAsia="en-US"/>
        </w:rPr>
        <w:t>Domov Mladá</w:t>
      </w:r>
      <w:r w:rsidRPr="00BC5BCE">
        <w:rPr>
          <w:rFonts w:cs="Arial"/>
          <w:sz w:val="24"/>
        </w:rPr>
        <w:t xml:space="preserve"> 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</w:t>
      </w:r>
      <w:r w:rsidRPr="002C4DCC">
        <w:rPr>
          <w:rFonts w:cs="Arial"/>
          <w:sz w:val="24"/>
        </w:rPr>
        <w:lastRenderedPageBreak/>
        <w:t xml:space="preserve">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39701C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532BB19D" w14:textId="4E49C613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7F40B245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lastRenderedPageBreak/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58556382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ED74D7D" w14:textId="04C49765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lastRenderedPageBreak/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lastRenderedPageBreak/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62228D47" w:rsidR="00E0575A" w:rsidRPr="00443F06" w:rsidRDefault="00C7503F" w:rsidP="00E0575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7503F">
              <w:rPr>
                <w:rFonts w:ascii="Arial" w:eastAsia="Calibri" w:hAnsi="Arial" w:cs="Arial"/>
                <w:color w:val="000000"/>
                <w:highlight w:val="yellow"/>
              </w:rPr>
              <w:t>……………………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10144F0B" w14:textId="0DC71A67" w:rsidR="00C33CEE" w:rsidRDefault="00C33CEE" w:rsidP="004D38F0">
      <w:pPr>
        <w:jc w:val="both"/>
        <w:rPr>
          <w:rFonts w:ascii="Arial" w:hAnsi="Arial" w:cs="Arial"/>
          <w:b/>
        </w:rPr>
      </w:pPr>
    </w:p>
    <w:sectPr w:rsidR="00C33CEE" w:rsidSect="004D38F0">
      <w:headerReference w:type="first" r:id="rId8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F9DDE" w14:textId="77777777" w:rsidR="00640A20" w:rsidRDefault="00640A20" w:rsidP="00E02BCE">
      <w:r>
        <w:separator/>
      </w:r>
    </w:p>
  </w:endnote>
  <w:endnote w:type="continuationSeparator" w:id="0">
    <w:p w14:paraId="13C4BC15" w14:textId="77777777" w:rsidR="00640A20" w:rsidRDefault="00640A20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C7FD3" w14:textId="77777777" w:rsidR="00640A20" w:rsidRDefault="00640A20" w:rsidP="00E02BCE">
      <w:r>
        <w:separator/>
      </w:r>
    </w:p>
  </w:footnote>
  <w:footnote w:type="continuationSeparator" w:id="0">
    <w:p w14:paraId="25A46F2A" w14:textId="77777777" w:rsidR="00640A20" w:rsidRDefault="00640A20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D2BC" w14:textId="77777777" w:rsidR="007F34BA" w:rsidRDefault="00640A20">
    <w:pPr>
      <w:pStyle w:val="Zhlav"/>
    </w:pPr>
  </w:p>
  <w:p w14:paraId="398D3756" w14:textId="77777777" w:rsidR="007F34BA" w:rsidRDefault="00A1654C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38F0"/>
    <w:rsid w:val="004D4785"/>
    <w:rsid w:val="004D6A35"/>
    <w:rsid w:val="004E32FC"/>
    <w:rsid w:val="004E5E51"/>
    <w:rsid w:val="004E5F53"/>
    <w:rsid w:val="004E62ED"/>
    <w:rsid w:val="004F07B6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2279"/>
    <w:rsid w:val="005738B3"/>
    <w:rsid w:val="005752EE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A20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694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44F1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747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EA9D-FDC1-4568-B190-633E4883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Ředitel</cp:lastModifiedBy>
  <cp:revision>5</cp:revision>
  <cp:lastPrinted>2020-04-03T07:54:00Z</cp:lastPrinted>
  <dcterms:created xsi:type="dcterms:W3CDTF">2020-11-10T08:30:00Z</dcterms:created>
  <dcterms:modified xsi:type="dcterms:W3CDTF">2020-12-09T08:52:00Z</dcterms:modified>
</cp:coreProperties>
</file>