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C9359B5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B12CDE">
        <w:rPr>
          <w:b/>
          <w:sz w:val="24"/>
          <w:szCs w:val="24"/>
        </w:rPr>
        <w:t>2</w:t>
      </w:r>
      <w:r w:rsidR="004D7BCC">
        <w:rPr>
          <w:b/>
          <w:sz w:val="24"/>
          <w:szCs w:val="24"/>
        </w:rPr>
        <w:t>6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287F26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287F2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287F2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287F26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287F26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03956">
        <w:rPr>
          <w:sz w:val="24"/>
          <w:szCs w:val="24"/>
        </w:rPr>
        <w:t>pliskova.sb@boskovice.cz</w:t>
      </w:r>
    </w:p>
    <w:p w14:paraId="31A34B59" w14:textId="77777777" w:rsidR="00E61A30" w:rsidRPr="00A53093" w:rsidRDefault="00E61A30" w:rsidP="00287F26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287F2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C277D34" w14:textId="77777777" w:rsidR="00AC0363" w:rsidRDefault="00F365FE" w:rsidP="00287F26">
      <w:pPr>
        <w:spacing w:after="12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AC0363" w:rsidRPr="00AC0363">
        <w:rPr>
          <w:b/>
          <w:bCs/>
          <w:sz w:val="24"/>
          <w:szCs w:val="24"/>
        </w:rPr>
        <w:t xml:space="preserve">Společenství vlastníků jednotek pro dům Bílkova č.p. 2390, </w:t>
      </w:r>
    </w:p>
    <w:p w14:paraId="6DF2FE1E" w14:textId="01FB0F75" w:rsidR="00AC0363" w:rsidRPr="00AC0363" w:rsidRDefault="00AC0363" w:rsidP="00287F26">
      <w:pPr>
        <w:spacing w:after="120"/>
        <w:ind w:left="2124" w:firstLine="708"/>
        <w:rPr>
          <w:b/>
          <w:bCs/>
          <w:sz w:val="24"/>
          <w:szCs w:val="24"/>
        </w:rPr>
      </w:pPr>
      <w:r w:rsidRPr="00AC0363">
        <w:rPr>
          <w:b/>
          <w:bCs/>
          <w:sz w:val="24"/>
          <w:szCs w:val="24"/>
        </w:rPr>
        <w:t>Boskovice</w:t>
      </w:r>
    </w:p>
    <w:p w14:paraId="1AEED129" w14:textId="77777777" w:rsidR="002106AD" w:rsidRDefault="002106AD" w:rsidP="00287F26">
      <w:pPr>
        <w:spacing w:after="120"/>
        <w:rPr>
          <w:sz w:val="24"/>
          <w:szCs w:val="24"/>
        </w:rPr>
      </w:pPr>
    </w:p>
    <w:p w14:paraId="04784E38" w14:textId="165D62F5" w:rsidR="00AC0363" w:rsidRDefault="00F365FE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363" w:rsidRPr="00AC0363">
        <w:rPr>
          <w:sz w:val="24"/>
          <w:szCs w:val="24"/>
        </w:rPr>
        <w:t>Bílkova 2390/70, 680 01 Boskovice</w:t>
      </w:r>
    </w:p>
    <w:p w14:paraId="178CADA2" w14:textId="77777777" w:rsidR="00AC0363" w:rsidRPr="00AC0363" w:rsidRDefault="00AC0363" w:rsidP="00287F26">
      <w:pPr>
        <w:spacing w:after="120"/>
        <w:rPr>
          <w:rFonts w:ascii="Verdana" w:hAnsi="Verdana" w:cs="Calibri"/>
          <w:color w:val="333333"/>
          <w:sz w:val="18"/>
          <w:szCs w:val="18"/>
        </w:rPr>
      </w:pPr>
    </w:p>
    <w:p w14:paraId="514C4D55" w14:textId="786DEBCE" w:rsidR="00243504" w:rsidRDefault="00F365FE" w:rsidP="00287F2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>
        <w:rPr>
          <w:sz w:val="24"/>
          <w:szCs w:val="24"/>
        </w:rPr>
        <w:t>Bc. Oldřichem Grulichem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2BFC2C95" w14:textId="66B94062" w:rsidR="00CE38D4" w:rsidRDefault="00CE38D4" w:rsidP="00287F2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Martinem Štěpánem, místopředsedou výboru</w:t>
      </w:r>
    </w:p>
    <w:p w14:paraId="52DDCF61" w14:textId="3810BF48" w:rsidR="00AC0363" w:rsidRPr="003F375A" w:rsidRDefault="00F365FE" w:rsidP="00287F2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363" w:rsidRPr="003F375A">
        <w:rPr>
          <w:sz w:val="24"/>
          <w:szCs w:val="24"/>
        </w:rPr>
        <w:t>283</w:t>
      </w:r>
      <w:r w:rsidR="008D4048">
        <w:rPr>
          <w:sz w:val="24"/>
          <w:szCs w:val="24"/>
        </w:rPr>
        <w:t xml:space="preserve"> </w:t>
      </w:r>
      <w:r w:rsidR="00AC0363" w:rsidRPr="003F375A">
        <w:rPr>
          <w:sz w:val="24"/>
          <w:szCs w:val="24"/>
        </w:rPr>
        <w:t>35</w:t>
      </w:r>
      <w:r w:rsidR="008D4048">
        <w:rPr>
          <w:sz w:val="24"/>
          <w:szCs w:val="24"/>
        </w:rPr>
        <w:t xml:space="preserve"> </w:t>
      </w:r>
      <w:r w:rsidR="00AC0363" w:rsidRPr="003F375A">
        <w:rPr>
          <w:sz w:val="24"/>
          <w:szCs w:val="24"/>
        </w:rPr>
        <w:t>422</w:t>
      </w:r>
    </w:p>
    <w:p w14:paraId="7BD44A9B" w14:textId="60A327A1" w:rsidR="00D74EE2" w:rsidRDefault="00D74EE2" w:rsidP="00287F2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60F04">
        <w:rPr>
          <w:sz w:val="24"/>
          <w:szCs w:val="24"/>
        </w:rPr>
        <w:t>2</w:t>
      </w:r>
      <w:r w:rsidR="00AC0363">
        <w:rPr>
          <w:sz w:val="24"/>
          <w:szCs w:val="24"/>
        </w:rPr>
        <w:t>28335422</w:t>
      </w:r>
    </w:p>
    <w:p w14:paraId="7ED77036" w14:textId="793D72E4" w:rsidR="00F365FE" w:rsidRDefault="00F365FE" w:rsidP="00287F2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6F8458AF" w:rsidR="00F365FE" w:rsidRDefault="00F365FE" w:rsidP="00287F26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E38D4">
        <w:rPr>
          <w:sz w:val="24"/>
          <w:szCs w:val="24"/>
        </w:rPr>
        <w:t>608 075 836, 723 133 256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482D85E" w:rsidR="007A5C29" w:rsidRPr="00303956" w:rsidRDefault="00F365FE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 w:rsidRPr="00CE38D4">
        <w:rPr>
          <w:sz w:val="24"/>
          <w:szCs w:val="24"/>
        </w:rPr>
        <w:t>grulich.o@tiscali.cz</w:t>
      </w:r>
    </w:p>
    <w:p w14:paraId="7F6F5902" w14:textId="3C1FD860" w:rsidR="00FD07A7" w:rsidRDefault="00F365FE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 w:rsidRPr="00CE38D4">
        <w:rPr>
          <w:sz w:val="24"/>
          <w:szCs w:val="24"/>
        </w:rPr>
        <w:t xml:space="preserve">229213864/0300                          </w:t>
      </w:r>
    </w:p>
    <w:p w14:paraId="3F59A931" w14:textId="62AE0BFF" w:rsidR="006152DA" w:rsidRDefault="00B50ADB" w:rsidP="00287F2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C0363">
        <w:rPr>
          <w:sz w:val="24"/>
          <w:szCs w:val="24"/>
        </w:rPr>
        <w:t>7020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6DBC8494" w:rsidR="002B2B54" w:rsidRPr="006152DA" w:rsidRDefault="002B2B54" w:rsidP="00287F2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39724D57" w14:textId="02F1658E" w:rsidR="00525BCA" w:rsidRPr="00093DBD" w:rsidRDefault="00E61A30" w:rsidP="00C03E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1493C4F9" w14:textId="77777777" w:rsidR="004B6564" w:rsidRDefault="004B656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0E2C9D21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287F26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5509E72D" w:rsidR="00F365FE" w:rsidRDefault="007C28E9" w:rsidP="00F83531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2D14A906" w14:textId="77777777" w:rsidR="00FD07A7" w:rsidRDefault="00FD07A7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0CA51D01" w14:textId="77777777" w:rsidR="00FD07A7" w:rsidRDefault="00FD07A7" w:rsidP="00F124CA">
      <w:pPr>
        <w:pStyle w:val="Normlnweb"/>
        <w:spacing w:after="180"/>
      </w:pPr>
    </w:p>
    <w:p w14:paraId="35567054" w14:textId="77777777" w:rsidR="00FD07A7" w:rsidRDefault="00FD07A7" w:rsidP="00F124CA">
      <w:pPr>
        <w:pStyle w:val="Normlnweb"/>
        <w:spacing w:after="180"/>
      </w:pPr>
    </w:p>
    <w:p w14:paraId="56161513" w14:textId="77777777" w:rsidR="000E62C9" w:rsidRDefault="000E62C9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1A99F1BD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B12CDE">
        <w:rPr>
          <w:b/>
        </w:rPr>
        <w:t>2</w:t>
      </w:r>
      <w:r w:rsidR="004D7BCC">
        <w:rPr>
          <w:b/>
        </w:rPr>
        <w:t>6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6881EB78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7BCC">
        <w:rPr>
          <w:b/>
          <w:sz w:val="24"/>
          <w:szCs w:val="24"/>
        </w:rPr>
        <w:t>Bílkova 70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407B342A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4D7BCC">
        <w:rPr>
          <w:sz w:val="24"/>
          <w:szCs w:val="24"/>
        </w:rPr>
        <w:t>065</w:t>
      </w:r>
      <w:r w:rsidR="00525BCA">
        <w:rPr>
          <w:sz w:val="24"/>
          <w:szCs w:val="24"/>
        </w:rPr>
        <w:t xml:space="preserve">    </w:t>
      </w:r>
      <w:r w:rsidR="00497B51">
        <w:rPr>
          <w:sz w:val="24"/>
          <w:szCs w:val="24"/>
        </w:rPr>
        <w:t xml:space="preserve">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456EE817" w14:textId="6CD8CBEB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4D7BCC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5E5E133C" w14:textId="77777777" w:rsidR="00093DBD" w:rsidRDefault="00093DBD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0DD0B9C7" w14:textId="77777777" w:rsidR="00C96415" w:rsidRPr="00227826" w:rsidRDefault="00C96415" w:rsidP="005C358A">
      <w:pPr>
        <w:rPr>
          <w:sz w:val="24"/>
          <w:szCs w:val="24"/>
        </w:rPr>
      </w:pPr>
    </w:p>
    <w:p w14:paraId="1700689F" w14:textId="77777777" w:rsidR="00E66466" w:rsidRPr="00E66466" w:rsidRDefault="00227826" w:rsidP="00E66466">
      <w:pPr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E66466" w:rsidRPr="00E66466">
        <w:rPr>
          <w:sz w:val="24"/>
          <w:szCs w:val="24"/>
        </w:rPr>
        <w:t xml:space="preserve">Společenství vlastníků jednotek pro dům Bílkova č.p. 2390, </w:t>
      </w:r>
    </w:p>
    <w:p w14:paraId="05BA6053" w14:textId="0092786C" w:rsidR="00E66466" w:rsidRDefault="00E66466" w:rsidP="00E66466">
      <w:pPr>
        <w:ind w:left="2124" w:firstLine="708"/>
        <w:rPr>
          <w:sz w:val="24"/>
          <w:szCs w:val="24"/>
        </w:rPr>
      </w:pPr>
      <w:r w:rsidRPr="00E66466">
        <w:rPr>
          <w:sz w:val="24"/>
          <w:szCs w:val="24"/>
        </w:rPr>
        <w:t>Boskovice,</w:t>
      </w:r>
      <w:r>
        <w:rPr>
          <w:sz w:val="24"/>
          <w:szCs w:val="24"/>
        </w:rPr>
        <w:t xml:space="preserve"> </w:t>
      </w:r>
      <w:r w:rsidRPr="00AC0363">
        <w:rPr>
          <w:sz w:val="24"/>
          <w:szCs w:val="24"/>
        </w:rPr>
        <w:t>Bílkova 2390/70, 680 01 Boskovice</w:t>
      </w:r>
    </w:p>
    <w:p w14:paraId="0E2282E1" w14:textId="77777777" w:rsidR="00E66466" w:rsidRPr="00E66466" w:rsidRDefault="00E66466" w:rsidP="00E66466">
      <w:pPr>
        <w:ind w:left="2124" w:firstLine="708"/>
        <w:rPr>
          <w:b/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F36637E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4B6564">
        <w:rPr>
          <w:sz w:val="24"/>
          <w:szCs w:val="24"/>
        </w:rPr>
        <w:t>180 996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093DBD" w:rsidRPr="00093DBD" w14:paraId="388E5BAA" w14:textId="77777777" w:rsidTr="00093DBD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12726" w14:textId="77777777" w:rsidR="00093DBD" w:rsidRPr="00093DBD" w:rsidRDefault="00093DBD" w:rsidP="00093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DB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BB70" w14:textId="77777777" w:rsidR="00093DBD" w:rsidRPr="00093DBD" w:rsidRDefault="00093DBD" w:rsidP="00093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DBD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EA155" w14:textId="77777777" w:rsidR="00093DBD" w:rsidRPr="00093DBD" w:rsidRDefault="00093DBD" w:rsidP="00093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DB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3E6D" w14:textId="77777777" w:rsidR="00093DBD" w:rsidRPr="00093DBD" w:rsidRDefault="00093DBD" w:rsidP="00093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DBD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87C1DF" w14:textId="77777777" w:rsidR="00093DBD" w:rsidRPr="00093DBD" w:rsidRDefault="00093DBD" w:rsidP="00093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DBD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85E5" w14:textId="77777777" w:rsidR="00093DBD" w:rsidRPr="00093DBD" w:rsidRDefault="00093DBD" w:rsidP="00093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DBD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093DBD" w:rsidRPr="00093DBD" w14:paraId="17730349" w14:textId="77777777" w:rsidTr="00093DB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4872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B2664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23 657,00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9029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359D3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12 126,00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C0D5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7624E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11 239,00</w:t>
            </w:r>
          </w:p>
        </w:tc>
      </w:tr>
      <w:tr w:rsidR="00093DBD" w:rsidRPr="00093DBD" w14:paraId="622A7F01" w14:textId="77777777" w:rsidTr="00093DB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1BCCB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49735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20 110,00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8F78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19F73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9 465,00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EC2BC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9CD6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13 900,00</w:t>
            </w:r>
          </w:p>
        </w:tc>
      </w:tr>
      <w:tr w:rsidR="00093DBD" w:rsidRPr="00093DBD" w14:paraId="07A008DB" w14:textId="77777777" w:rsidTr="00093DB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2B39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E5BA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18 336,00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D701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1150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9 465,00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FCA3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7B323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17 449,00</w:t>
            </w:r>
          </w:p>
        </w:tc>
      </w:tr>
      <w:tr w:rsidR="00093DBD" w:rsidRPr="00093DBD" w14:paraId="1144CA3A" w14:textId="77777777" w:rsidTr="00093DBD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06372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D47E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13 900,00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BDBEF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14AD2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10 352,00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42D0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00E63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20 997,00</w:t>
            </w:r>
          </w:p>
        </w:tc>
      </w:tr>
    </w:tbl>
    <w:p w14:paraId="3FFF96D7" w14:textId="3FF69E94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750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490"/>
      </w:tblGrid>
      <w:tr w:rsidR="00093DBD" w:rsidRPr="00093DBD" w14:paraId="45D8E979" w14:textId="77777777" w:rsidTr="00093DBD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3505" w14:textId="77777777" w:rsidR="00093DBD" w:rsidRPr="00093DBD" w:rsidRDefault="00093DBD" w:rsidP="00093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DCE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EB45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6A22F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093DBD" w:rsidRPr="00093DBD" w14:paraId="09C9D5DE" w14:textId="77777777" w:rsidTr="00093DBD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19F4D" w14:textId="77777777" w:rsidR="00093DBD" w:rsidRPr="00093DBD" w:rsidRDefault="00093DBD" w:rsidP="00093D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Bílkova 2390/70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65E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233C" w14:textId="77777777" w:rsidR="00093DBD" w:rsidRPr="00093DBD" w:rsidRDefault="00093DBD" w:rsidP="00093D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3DB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27B87" w14:textId="77777777" w:rsidR="00093DBD" w:rsidRPr="00093DBD" w:rsidRDefault="00093DBD" w:rsidP="00093DBD">
            <w:pPr>
              <w:jc w:val="center"/>
              <w:rPr>
                <w:rFonts w:ascii="Arial" w:hAnsi="Arial" w:cs="Arial"/>
              </w:rPr>
            </w:pPr>
            <w:r w:rsidRPr="00093DBD">
              <w:rPr>
                <w:rFonts w:ascii="Arial" w:hAnsi="Arial" w:cs="Arial"/>
              </w:rPr>
              <w:t>180 996,50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E978E2" w:rsidRPr="00E978E2" w14:paraId="00DA8455" w14:textId="77777777" w:rsidTr="00E978E2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D2BB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0E6C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31CF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8D3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627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01B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</w:tr>
      <w:tr w:rsidR="00E978E2" w:rsidRPr="00E978E2" w14:paraId="573310BE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6E18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77EC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5894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CFF3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813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9A1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12</w:t>
            </w:r>
          </w:p>
        </w:tc>
      </w:tr>
      <w:tr w:rsidR="00E978E2" w:rsidRPr="00E978E2" w14:paraId="0750CF6E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2A6E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9CE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DC5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366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A86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ED28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22</w:t>
            </w:r>
          </w:p>
        </w:tc>
      </w:tr>
      <w:tr w:rsidR="00E978E2" w:rsidRPr="00E978E2" w14:paraId="01D34D0A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75C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2FF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3E9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7C1A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C957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C48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34</w:t>
            </w:r>
          </w:p>
        </w:tc>
      </w:tr>
      <w:tr w:rsidR="00E978E2" w:rsidRPr="00E978E2" w14:paraId="68849B49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16D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A493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78E9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76DB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A546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2F9E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46</w:t>
            </w:r>
          </w:p>
        </w:tc>
      </w:tr>
      <w:tr w:rsidR="00E978E2" w:rsidRPr="00E978E2" w14:paraId="23B749A2" w14:textId="77777777" w:rsidTr="00E978E2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62606" w14:textId="77777777" w:rsidR="00E978E2" w:rsidRPr="00E978E2" w:rsidRDefault="00E978E2" w:rsidP="00E978E2">
            <w:pPr>
              <w:jc w:val="center"/>
              <w:rPr>
                <w:color w:val="000000"/>
                <w:sz w:val="24"/>
                <w:szCs w:val="24"/>
              </w:rPr>
            </w:pPr>
            <w:r w:rsidRPr="00E978E2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7A3E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8E2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</w:tr>
      <w:tr w:rsidR="00E978E2" w:rsidRPr="00E978E2" w14:paraId="16EB2A5E" w14:textId="77777777" w:rsidTr="00E978E2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08CAA" w14:textId="77777777" w:rsidR="00E978E2" w:rsidRPr="00E978E2" w:rsidRDefault="00E978E2" w:rsidP="00E978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1342B" w14:textId="77777777" w:rsidR="00E978E2" w:rsidRPr="00E978E2" w:rsidRDefault="00E978E2" w:rsidP="00E978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  <w:bookmarkStart w:id="0" w:name="_GoBack"/>
      <w:bookmarkEnd w:id="0"/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03451B28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32E45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26C5" w14:textId="77777777" w:rsidR="00016D8E" w:rsidRDefault="00016D8E">
      <w:pPr>
        <w:rPr>
          <w:sz w:val="24"/>
        </w:rPr>
      </w:pPr>
      <w:r>
        <w:separator/>
      </w:r>
    </w:p>
  </w:endnote>
  <w:endnote w:type="continuationSeparator" w:id="0">
    <w:p w14:paraId="7099CE17" w14:textId="77777777" w:rsidR="00016D8E" w:rsidRDefault="00016D8E">
      <w:pPr>
        <w:rPr>
          <w:sz w:val="24"/>
        </w:rPr>
      </w:pPr>
      <w:r>
        <w:continuationSeparator/>
      </w:r>
    </w:p>
  </w:endnote>
  <w:endnote w:type="continuationNotice" w:id="1">
    <w:p w14:paraId="04B5F79B" w14:textId="77777777" w:rsidR="00016D8E" w:rsidRDefault="00016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95C0" w14:textId="523D2887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87F26">
      <w:rPr>
        <w:noProof/>
      </w:rPr>
      <w:t>7</w:t>
    </w:r>
    <w:r>
      <w:fldChar w:fldCharType="end"/>
    </w:r>
    <w:r>
      <w:t xml:space="preserve"> z</w:t>
    </w:r>
    <w:r w:rsidR="00287F26">
      <w:t> 7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7F2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933A9" w14:textId="77777777" w:rsidR="00016D8E" w:rsidRDefault="00016D8E">
      <w:pPr>
        <w:rPr>
          <w:sz w:val="24"/>
        </w:rPr>
      </w:pPr>
      <w:r>
        <w:separator/>
      </w:r>
    </w:p>
  </w:footnote>
  <w:footnote w:type="continuationSeparator" w:id="0">
    <w:p w14:paraId="6A5D4720" w14:textId="77777777" w:rsidR="00016D8E" w:rsidRDefault="00016D8E">
      <w:pPr>
        <w:rPr>
          <w:sz w:val="24"/>
        </w:rPr>
      </w:pPr>
      <w:r>
        <w:continuationSeparator/>
      </w:r>
    </w:p>
  </w:footnote>
  <w:footnote w:type="continuationNotice" w:id="1">
    <w:p w14:paraId="6A7F01F3" w14:textId="77777777" w:rsidR="00016D8E" w:rsidRDefault="00016D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5E"/>
    <w:rsid w:val="00001F58"/>
    <w:rsid w:val="0000205B"/>
    <w:rsid w:val="00005020"/>
    <w:rsid w:val="000116A8"/>
    <w:rsid w:val="00013BBC"/>
    <w:rsid w:val="00015433"/>
    <w:rsid w:val="00016D8E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93DB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87F26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375A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B6564"/>
    <w:rsid w:val="004C245F"/>
    <w:rsid w:val="004C2BC9"/>
    <w:rsid w:val="004C2D2C"/>
    <w:rsid w:val="004C315B"/>
    <w:rsid w:val="004C3C9D"/>
    <w:rsid w:val="004C67F9"/>
    <w:rsid w:val="004D129C"/>
    <w:rsid w:val="004D7BCC"/>
    <w:rsid w:val="004E3717"/>
    <w:rsid w:val="004F70FA"/>
    <w:rsid w:val="00501AB7"/>
    <w:rsid w:val="005035C1"/>
    <w:rsid w:val="00520C1D"/>
    <w:rsid w:val="0052303C"/>
    <w:rsid w:val="00525BCA"/>
    <w:rsid w:val="00532076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82571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587F"/>
    <w:rsid w:val="00740590"/>
    <w:rsid w:val="0074114A"/>
    <w:rsid w:val="00741A04"/>
    <w:rsid w:val="007446CA"/>
    <w:rsid w:val="00761A42"/>
    <w:rsid w:val="00766A14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5C3C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D4048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616E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C0363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27912"/>
    <w:rsid w:val="00C32E45"/>
    <w:rsid w:val="00C33251"/>
    <w:rsid w:val="00C35719"/>
    <w:rsid w:val="00C364B8"/>
    <w:rsid w:val="00C37F28"/>
    <w:rsid w:val="00C453A9"/>
    <w:rsid w:val="00C5703D"/>
    <w:rsid w:val="00C63552"/>
    <w:rsid w:val="00C81C71"/>
    <w:rsid w:val="00C94DEC"/>
    <w:rsid w:val="00C96415"/>
    <w:rsid w:val="00CB3481"/>
    <w:rsid w:val="00CB3EED"/>
    <w:rsid w:val="00CB5949"/>
    <w:rsid w:val="00CB6920"/>
    <w:rsid w:val="00CB73D5"/>
    <w:rsid w:val="00CE38D4"/>
    <w:rsid w:val="00D100E4"/>
    <w:rsid w:val="00D13B92"/>
    <w:rsid w:val="00D16B18"/>
    <w:rsid w:val="00D23903"/>
    <w:rsid w:val="00D24271"/>
    <w:rsid w:val="00D27712"/>
    <w:rsid w:val="00D307AE"/>
    <w:rsid w:val="00D55176"/>
    <w:rsid w:val="00D661CB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66466"/>
    <w:rsid w:val="00E73C61"/>
    <w:rsid w:val="00E81B92"/>
    <w:rsid w:val="00E951F1"/>
    <w:rsid w:val="00E965D2"/>
    <w:rsid w:val="00E978E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4071BC0F-E818-41A4-82F4-4FAB8EDE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D0D7-96CB-4966-8127-12FB554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Jiří Vopařil</cp:lastModifiedBy>
  <cp:revision>16</cp:revision>
  <cp:lastPrinted>2013-12-10T18:28:00Z</cp:lastPrinted>
  <dcterms:created xsi:type="dcterms:W3CDTF">2020-11-20T10:52:00Z</dcterms:created>
  <dcterms:modified xsi:type="dcterms:W3CDTF">2020-11-30T22:56:00Z</dcterms:modified>
</cp:coreProperties>
</file>