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91" w:rsidRDefault="00CE39A7">
      <w:pPr>
        <w:pStyle w:val="Titulekobrzku0"/>
        <w:framePr w:w="2827" w:h="278" w:wrap="none" w:hAnchor="page" w:x="7220" w:y="2118"/>
        <w:shd w:val="clear" w:color="auto" w:fill="auto"/>
      </w:pPr>
      <w:r>
        <w:t>Číslo smlouvy: 15889/SVSL/20</w:t>
      </w:r>
    </w:p>
    <w:p w:rsidR="00377F91" w:rsidRDefault="00CE39A7">
      <w:pPr>
        <w:spacing w:line="360" w:lineRule="exact"/>
      </w:pPr>
      <w:r>
        <w:rPr>
          <w:noProof/>
          <w:lang w:bidi="ar-SA"/>
        </w:rPr>
        <w:lastRenderedPageBreak/>
        <w:drawing>
          <wp:anchor distT="0" distB="247015" distL="0" distR="0" simplePos="0" relativeHeight="62914690" behindDoc="1" locked="0" layoutInCell="1" allowOverlap="1">
            <wp:simplePos x="0" y="0"/>
            <wp:positionH relativeFrom="page">
              <wp:posOffset>0</wp:posOffset>
            </wp:positionH>
            <wp:positionV relativeFrom="margin">
              <wp:posOffset>0</wp:posOffset>
            </wp:positionV>
            <wp:extent cx="6766560" cy="12738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766560" cy="1273810"/>
                    </a:xfrm>
                    <a:prstGeom prst="rect">
                      <a:avLst/>
                    </a:prstGeom>
                  </pic:spPr>
                </pic:pic>
              </a:graphicData>
            </a:graphic>
          </wp:anchor>
        </w:drawing>
      </w:r>
    </w:p>
    <w:p w:rsidR="00377F91" w:rsidRDefault="00377F91">
      <w:pPr>
        <w:spacing w:line="360" w:lineRule="exact"/>
      </w:pPr>
    </w:p>
    <w:p w:rsidR="00377F91" w:rsidRDefault="00377F91">
      <w:pPr>
        <w:spacing w:line="360" w:lineRule="exact"/>
      </w:pPr>
    </w:p>
    <w:p w:rsidR="00377F91" w:rsidRDefault="00377F91">
      <w:pPr>
        <w:spacing w:line="360" w:lineRule="exact"/>
      </w:pPr>
    </w:p>
    <w:p w:rsidR="00377F91" w:rsidRDefault="00377F91">
      <w:pPr>
        <w:spacing w:line="360" w:lineRule="exact"/>
      </w:pPr>
    </w:p>
    <w:p w:rsidR="00377F91" w:rsidRDefault="00377F91">
      <w:pPr>
        <w:spacing w:after="594" w:line="1" w:lineRule="exact"/>
      </w:pPr>
    </w:p>
    <w:p w:rsidR="00377F91" w:rsidRDefault="00377F91">
      <w:pPr>
        <w:spacing w:line="1" w:lineRule="exact"/>
        <w:sectPr w:rsidR="00377F91">
          <w:footerReference w:type="default" r:id="rId9"/>
          <w:footerReference w:type="first" r:id="rId10"/>
          <w:pgSz w:w="11900" w:h="16840"/>
          <w:pgMar w:top="39" w:right="1244" w:bottom="2503" w:left="0" w:header="0" w:footer="3" w:gutter="0"/>
          <w:pgNumType w:start="1"/>
          <w:cols w:space="720"/>
          <w:noEndnote/>
          <w:titlePg/>
          <w:docGrid w:linePitch="360"/>
        </w:sectPr>
      </w:pPr>
    </w:p>
    <w:p w:rsidR="00377F91" w:rsidRDefault="00CE39A7">
      <w:pPr>
        <w:pStyle w:val="Nadpis10"/>
        <w:keepNext/>
        <w:keepLines/>
        <w:shd w:val="clear" w:color="auto" w:fill="auto"/>
      </w:pPr>
      <w:bookmarkStart w:id="0" w:name="bookmark0"/>
      <w:bookmarkStart w:id="1" w:name="bookmark1"/>
      <w:r>
        <w:lastRenderedPageBreak/>
        <w:t>SMLOUVA O DODÁVCE SOFTWARE</w:t>
      </w:r>
      <w:bookmarkEnd w:id="0"/>
      <w:bookmarkEnd w:id="1"/>
    </w:p>
    <w:p w:rsidR="00377F91" w:rsidRDefault="00CE39A7">
      <w:pPr>
        <w:pStyle w:val="Nadpis30"/>
        <w:keepNext/>
        <w:keepLines/>
        <w:shd w:val="clear" w:color="auto" w:fill="auto"/>
        <w:spacing w:after="500" w:line="240" w:lineRule="auto"/>
        <w:jc w:val="both"/>
      </w:pPr>
      <w:bookmarkStart w:id="2" w:name="bookmark2"/>
      <w:bookmarkStart w:id="3" w:name="bookmark3"/>
      <w:r>
        <w:t>UZAVŘENÁ DLE USTANOVENÍ § 1746 ODST. 2 ZÁK. Č. 89/2012 SB., OBČANSKÉHO ZÁKONÍKU</w:t>
      </w:r>
      <w:bookmarkEnd w:id="2"/>
      <w:bookmarkEnd w:id="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5102"/>
      </w:tblGrid>
      <w:tr w:rsidR="00377F91">
        <w:trPr>
          <w:trHeight w:hRule="exact" w:val="418"/>
        </w:trPr>
        <w:tc>
          <w:tcPr>
            <w:tcW w:w="1987" w:type="dxa"/>
            <w:shd w:val="clear" w:color="auto" w:fill="FFFFFF"/>
          </w:tcPr>
          <w:p w:rsidR="00377F91" w:rsidRDefault="00377F91">
            <w:pPr>
              <w:rPr>
                <w:sz w:val="10"/>
                <w:szCs w:val="10"/>
              </w:rPr>
            </w:pPr>
          </w:p>
        </w:tc>
        <w:tc>
          <w:tcPr>
            <w:tcW w:w="5102" w:type="dxa"/>
            <w:shd w:val="clear" w:color="auto" w:fill="FFFFFF"/>
          </w:tcPr>
          <w:p w:rsidR="00377F91" w:rsidRDefault="00CE39A7">
            <w:pPr>
              <w:pStyle w:val="Jin0"/>
              <w:shd w:val="clear" w:color="auto" w:fill="auto"/>
              <w:spacing w:after="0" w:line="240" w:lineRule="auto"/>
              <w:jc w:val="center"/>
            </w:pPr>
            <w:r>
              <w:rPr>
                <w:b/>
                <w:bCs/>
              </w:rPr>
              <w:t>1. Smluvní strany</w:t>
            </w:r>
          </w:p>
        </w:tc>
      </w:tr>
      <w:tr w:rsidR="00377F91">
        <w:trPr>
          <w:trHeight w:hRule="exact" w:val="893"/>
        </w:trPr>
        <w:tc>
          <w:tcPr>
            <w:tcW w:w="1987" w:type="dxa"/>
            <w:shd w:val="clear" w:color="auto" w:fill="FFFFFF"/>
            <w:vAlign w:val="bottom"/>
          </w:tcPr>
          <w:p w:rsidR="00377F91" w:rsidRDefault="00CE39A7">
            <w:pPr>
              <w:pStyle w:val="Jin0"/>
              <w:shd w:val="clear" w:color="auto" w:fill="auto"/>
              <w:spacing w:after="140" w:line="240" w:lineRule="auto"/>
              <w:ind w:firstLine="360"/>
            </w:pPr>
            <w:r>
              <w:t xml:space="preserve">1.1. </w:t>
            </w:r>
            <w:r>
              <w:rPr>
                <w:b/>
                <w:bCs/>
              </w:rPr>
              <w:t>Objednatel</w:t>
            </w:r>
          </w:p>
          <w:p w:rsidR="00377F91" w:rsidRDefault="00CE39A7">
            <w:pPr>
              <w:pStyle w:val="Jin0"/>
              <w:shd w:val="clear" w:color="auto" w:fill="auto"/>
              <w:spacing w:after="0" w:line="240" w:lineRule="auto"/>
            </w:pPr>
            <w:r>
              <w:rPr>
                <w:b/>
                <w:bCs/>
              </w:rPr>
              <w:t>Česká republika -</w:t>
            </w:r>
          </w:p>
        </w:tc>
        <w:tc>
          <w:tcPr>
            <w:tcW w:w="5102" w:type="dxa"/>
            <w:shd w:val="clear" w:color="auto" w:fill="FFFFFF"/>
            <w:vAlign w:val="bottom"/>
          </w:tcPr>
          <w:p w:rsidR="00377F91" w:rsidRDefault="00CE39A7">
            <w:pPr>
              <w:pStyle w:val="Jin0"/>
              <w:shd w:val="clear" w:color="auto" w:fill="auto"/>
              <w:spacing w:after="0" w:line="240" w:lineRule="auto"/>
              <w:ind w:firstLine="140"/>
            </w:pPr>
            <w:r>
              <w:rPr>
                <w:b/>
                <w:bCs/>
              </w:rPr>
              <w:t>Agentura ochrany přírody a krajiny České republiky</w:t>
            </w:r>
          </w:p>
        </w:tc>
      </w:tr>
      <w:tr w:rsidR="00377F91">
        <w:trPr>
          <w:trHeight w:hRule="exact" w:val="336"/>
        </w:trPr>
        <w:tc>
          <w:tcPr>
            <w:tcW w:w="1987" w:type="dxa"/>
            <w:shd w:val="clear" w:color="auto" w:fill="FFFFFF"/>
            <w:vAlign w:val="bottom"/>
          </w:tcPr>
          <w:p w:rsidR="00377F91" w:rsidRDefault="00CE39A7">
            <w:pPr>
              <w:pStyle w:val="Jin0"/>
              <w:shd w:val="clear" w:color="auto" w:fill="auto"/>
              <w:spacing w:after="0" w:line="240" w:lineRule="auto"/>
            </w:pPr>
            <w:r>
              <w:t>Sídlo:</w:t>
            </w:r>
          </w:p>
        </w:tc>
        <w:tc>
          <w:tcPr>
            <w:tcW w:w="5102" w:type="dxa"/>
            <w:shd w:val="clear" w:color="auto" w:fill="FFFFFF"/>
            <w:vAlign w:val="bottom"/>
          </w:tcPr>
          <w:p w:rsidR="00377F91" w:rsidRDefault="00CE39A7">
            <w:pPr>
              <w:pStyle w:val="Jin0"/>
              <w:shd w:val="clear" w:color="auto" w:fill="auto"/>
              <w:spacing w:after="0" w:line="240" w:lineRule="auto"/>
              <w:ind w:firstLine="140"/>
            </w:pPr>
            <w:r>
              <w:t>Kaplanova 1931/1, 148 00 Praha 11 - Chodov</w:t>
            </w:r>
          </w:p>
        </w:tc>
      </w:tr>
    </w:tbl>
    <w:p w:rsidR="00377F91" w:rsidRDefault="00CE39A7">
      <w:pPr>
        <w:pStyle w:val="Titulektabulky0"/>
        <w:shd w:val="clear" w:color="auto" w:fill="auto"/>
      </w:pPr>
      <w:r>
        <w:t>Jednající:</w:t>
      </w:r>
    </w:p>
    <w:p w:rsidR="00377F91" w:rsidRDefault="00377F91">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5098"/>
      </w:tblGrid>
      <w:tr w:rsidR="00377F91">
        <w:trPr>
          <w:trHeight w:hRule="exact" w:val="274"/>
        </w:trPr>
        <w:tc>
          <w:tcPr>
            <w:tcW w:w="1987" w:type="dxa"/>
            <w:shd w:val="clear" w:color="auto" w:fill="FFFFFF"/>
            <w:vAlign w:val="bottom"/>
          </w:tcPr>
          <w:p w:rsidR="00377F91" w:rsidRDefault="00CE39A7">
            <w:pPr>
              <w:pStyle w:val="Jin0"/>
              <w:shd w:val="clear" w:color="auto" w:fill="auto"/>
              <w:spacing w:after="0" w:line="240" w:lineRule="auto"/>
            </w:pPr>
            <w:r>
              <w:t>IČO:</w:t>
            </w:r>
          </w:p>
        </w:tc>
        <w:tc>
          <w:tcPr>
            <w:tcW w:w="5098" w:type="dxa"/>
            <w:shd w:val="clear" w:color="auto" w:fill="FFFFFF"/>
            <w:vAlign w:val="bottom"/>
          </w:tcPr>
          <w:p w:rsidR="00377F91" w:rsidRDefault="00CE39A7">
            <w:pPr>
              <w:pStyle w:val="Jin0"/>
              <w:shd w:val="clear" w:color="auto" w:fill="auto"/>
              <w:spacing w:after="0" w:line="240" w:lineRule="auto"/>
              <w:ind w:firstLine="140"/>
            </w:pPr>
            <w:r>
              <w:t>629 335 91</w:t>
            </w:r>
          </w:p>
        </w:tc>
      </w:tr>
      <w:tr w:rsidR="00377F91">
        <w:trPr>
          <w:trHeight w:hRule="exact" w:val="274"/>
        </w:trPr>
        <w:tc>
          <w:tcPr>
            <w:tcW w:w="1987" w:type="dxa"/>
            <w:shd w:val="clear" w:color="auto" w:fill="FFFFFF"/>
            <w:vAlign w:val="bottom"/>
          </w:tcPr>
          <w:p w:rsidR="00377F91" w:rsidRDefault="00CE39A7">
            <w:pPr>
              <w:pStyle w:val="Jin0"/>
              <w:shd w:val="clear" w:color="auto" w:fill="auto"/>
              <w:spacing w:after="0" w:line="240" w:lineRule="auto"/>
            </w:pPr>
            <w:r>
              <w:t>Bankovní spojení:</w:t>
            </w:r>
          </w:p>
        </w:tc>
        <w:tc>
          <w:tcPr>
            <w:tcW w:w="5098" w:type="dxa"/>
            <w:shd w:val="clear" w:color="auto" w:fill="FFFFFF"/>
            <w:vAlign w:val="bottom"/>
          </w:tcPr>
          <w:p w:rsidR="00377F91" w:rsidRDefault="00CE39A7">
            <w:pPr>
              <w:pStyle w:val="Jin0"/>
              <w:shd w:val="clear" w:color="auto" w:fill="auto"/>
              <w:spacing w:after="0" w:line="240" w:lineRule="auto"/>
              <w:ind w:firstLine="140"/>
            </w:pPr>
            <w:r>
              <w:t>ČNB Praha, Číslo účtu: 18228011/0710</w:t>
            </w:r>
          </w:p>
        </w:tc>
      </w:tr>
    </w:tbl>
    <w:p w:rsidR="00377F91" w:rsidRDefault="00CE39A7">
      <w:pPr>
        <w:pStyle w:val="Titulektabulky0"/>
        <w:shd w:val="clear" w:color="auto" w:fill="auto"/>
      </w:pPr>
      <w:r>
        <w:t>Kontaktní osoba pro věci technické:</w:t>
      </w:r>
    </w:p>
    <w:p w:rsidR="00377F91" w:rsidRDefault="00377F91">
      <w:pPr>
        <w:spacing w:after="499" w:line="1" w:lineRule="exact"/>
      </w:pPr>
    </w:p>
    <w:p w:rsidR="00377F91" w:rsidRDefault="00CE39A7">
      <w:pPr>
        <w:pStyle w:val="Zkladntext1"/>
        <w:shd w:val="clear" w:color="auto" w:fill="auto"/>
        <w:spacing w:after="760" w:line="240" w:lineRule="auto"/>
      </w:pPr>
      <w:r>
        <w:t xml:space="preserve">(dále jen </w:t>
      </w:r>
      <w:r>
        <w:rPr>
          <w:u w:val="single"/>
        </w:rPr>
        <w:t>„objednatel</w:t>
      </w:r>
      <w:r>
        <w:t>“)</w:t>
      </w:r>
    </w:p>
    <w:p w:rsidR="00377F91" w:rsidRDefault="00CE39A7">
      <w:pPr>
        <w:pStyle w:val="Zkladntext1"/>
        <w:shd w:val="clear" w:color="auto" w:fill="auto"/>
        <w:spacing w:after="400" w:line="240" w:lineRule="auto"/>
        <w:ind w:firstLine="380"/>
      </w:pPr>
      <w:r>
        <w:t xml:space="preserve">1.2. </w:t>
      </w:r>
      <w:r>
        <w:rPr>
          <w:b/>
          <w:bCs/>
        </w:rPr>
        <w:t>Dodavatel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26"/>
        <w:gridCol w:w="6307"/>
      </w:tblGrid>
      <w:tr w:rsidR="00377F91">
        <w:trPr>
          <w:trHeight w:hRule="exact" w:val="490"/>
        </w:trPr>
        <w:tc>
          <w:tcPr>
            <w:tcW w:w="2026" w:type="dxa"/>
            <w:shd w:val="clear" w:color="auto" w:fill="FFFFFF"/>
            <w:vAlign w:val="bottom"/>
          </w:tcPr>
          <w:p w:rsidR="00377F91" w:rsidRDefault="00CE39A7">
            <w:pPr>
              <w:pStyle w:val="Jin0"/>
              <w:shd w:val="clear" w:color="auto" w:fill="auto"/>
              <w:spacing w:after="0" w:line="240" w:lineRule="auto"/>
            </w:pPr>
            <w:r>
              <w:rPr>
                <w:b/>
                <w:bCs/>
              </w:rPr>
              <w:t>BusinessCom, a.s.</w:t>
            </w:r>
          </w:p>
          <w:p w:rsidR="00377F91" w:rsidRDefault="00CE39A7">
            <w:pPr>
              <w:pStyle w:val="Jin0"/>
              <w:shd w:val="clear" w:color="auto" w:fill="auto"/>
              <w:spacing w:after="0" w:line="240" w:lineRule="auto"/>
            </w:pPr>
            <w:r>
              <w:t>Sídlo:</w:t>
            </w:r>
          </w:p>
        </w:tc>
        <w:tc>
          <w:tcPr>
            <w:tcW w:w="6307" w:type="dxa"/>
            <w:shd w:val="clear" w:color="auto" w:fill="FFFFFF"/>
            <w:vAlign w:val="bottom"/>
          </w:tcPr>
          <w:p w:rsidR="00377F91" w:rsidRDefault="00CE39A7">
            <w:pPr>
              <w:pStyle w:val="Jin0"/>
              <w:shd w:val="clear" w:color="auto" w:fill="auto"/>
              <w:spacing w:after="0" w:line="240" w:lineRule="auto"/>
            </w:pPr>
            <w:r>
              <w:t>Dobrušská 1797/1, 147 00, Praha 4</w:t>
            </w:r>
          </w:p>
        </w:tc>
      </w:tr>
      <w:tr w:rsidR="00377F91">
        <w:trPr>
          <w:trHeight w:hRule="exact" w:val="269"/>
        </w:trPr>
        <w:tc>
          <w:tcPr>
            <w:tcW w:w="2026" w:type="dxa"/>
            <w:shd w:val="clear" w:color="auto" w:fill="FFFFFF"/>
            <w:vAlign w:val="bottom"/>
          </w:tcPr>
          <w:p w:rsidR="00377F91" w:rsidRDefault="00CE39A7">
            <w:pPr>
              <w:pStyle w:val="Jin0"/>
              <w:shd w:val="clear" w:color="auto" w:fill="auto"/>
              <w:spacing w:after="0" w:line="240" w:lineRule="auto"/>
            </w:pPr>
            <w:r>
              <w:t>Jednající:</w:t>
            </w:r>
          </w:p>
        </w:tc>
        <w:tc>
          <w:tcPr>
            <w:tcW w:w="6307" w:type="dxa"/>
            <w:shd w:val="clear" w:color="auto" w:fill="FFFFFF"/>
            <w:vAlign w:val="bottom"/>
          </w:tcPr>
          <w:p w:rsidR="00377F91" w:rsidRDefault="00CE39A7">
            <w:pPr>
              <w:pStyle w:val="Jin0"/>
              <w:shd w:val="clear" w:color="auto" w:fill="auto"/>
              <w:spacing w:after="0" w:line="240" w:lineRule="auto"/>
            </w:pPr>
            <w:r>
              <w:t>Michal Parkos</w:t>
            </w:r>
          </w:p>
        </w:tc>
      </w:tr>
      <w:tr w:rsidR="00377F91">
        <w:trPr>
          <w:trHeight w:hRule="exact" w:val="250"/>
        </w:trPr>
        <w:tc>
          <w:tcPr>
            <w:tcW w:w="2026" w:type="dxa"/>
            <w:shd w:val="clear" w:color="auto" w:fill="FFFFFF"/>
            <w:vAlign w:val="bottom"/>
          </w:tcPr>
          <w:p w:rsidR="00377F91" w:rsidRDefault="00CE39A7">
            <w:pPr>
              <w:pStyle w:val="Jin0"/>
              <w:shd w:val="clear" w:color="auto" w:fill="auto"/>
              <w:spacing w:after="0" w:line="240" w:lineRule="auto"/>
            </w:pPr>
            <w:r>
              <w:t>IČO:</w:t>
            </w:r>
          </w:p>
        </w:tc>
        <w:tc>
          <w:tcPr>
            <w:tcW w:w="6307" w:type="dxa"/>
            <w:shd w:val="clear" w:color="auto" w:fill="FFFFFF"/>
            <w:vAlign w:val="bottom"/>
          </w:tcPr>
          <w:p w:rsidR="00377F91" w:rsidRDefault="00CE39A7">
            <w:pPr>
              <w:pStyle w:val="Jin0"/>
              <w:shd w:val="clear" w:color="auto" w:fill="auto"/>
              <w:spacing w:after="0" w:line="240" w:lineRule="auto"/>
            </w:pPr>
            <w:r>
              <w:t>27426653</w:t>
            </w:r>
          </w:p>
        </w:tc>
      </w:tr>
      <w:tr w:rsidR="00377F91">
        <w:trPr>
          <w:trHeight w:hRule="exact" w:val="259"/>
        </w:trPr>
        <w:tc>
          <w:tcPr>
            <w:tcW w:w="2026" w:type="dxa"/>
            <w:shd w:val="clear" w:color="auto" w:fill="FFFFFF"/>
            <w:vAlign w:val="bottom"/>
          </w:tcPr>
          <w:p w:rsidR="00377F91" w:rsidRDefault="00CE39A7">
            <w:pPr>
              <w:pStyle w:val="Jin0"/>
              <w:shd w:val="clear" w:color="auto" w:fill="auto"/>
              <w:spacing w:after="0" w:line="240" w:lineRule="auto"/>
            </w:pPr>
            <w:r>
              <w:t>DIČ:</w:t>
            </w:r>
          </w:p>
        </w:tc>
        <w:tc>
          <w:tcPr>
            <w:tcW w:w="6307" w:type="dxa"/>
            <w:shd w:val="clear" w:color="auto" w:fill="FFFFFF"/>
            <w:vAlign w:val="bottom"/>
          </w:tcPr>
          <w:p w:rsidR="00377F91" w:rsidRDefault="00CE39A7">
            <w:pPr>
              <w:pStyle w:val="Jin0"/>
              <w:shd w:val="clear" w:color="auto" w:fill="auto"/>
              <w:spacing w:after="0" w:line="240" w:lineRule="auto"/>
            </w:pPr>
            <w:r>
              <w:t>CZ27426653</w:t>
            </w:r>
          </w:p>
        </w:tc>
      </w:tr>
      <w:tr w:rsidR="00377F91">
        <w:trPr>
          <w:trHeight w:hRule="exact" w:val="274"/>
        </w:trPr>
        <w:tc>
          <w:tcPr>
            <w:tcW w:w="2026" w:type="dxa"/>
            <w:shd w:val="clear" w:color="auto" w:fill="FFFFFF"/>
            <w:vAlign w:val="bottom"/>
          </w:tcPr>
          <w:p w:rsidR="00377F91" w:rsidRDefault="00CE39A7">
            <w:pPr>
              <w:pStyle w:val="Jin0"/>
              <w:shd w:val="clear" w:color="auto" w:fill="auto"/>
              <w:spacing w:after="0" w:line="240" w:lineRule="auto"/>
            </w:pPr>
            <w:r>
              <w:t>Bankovní spojení:</w:t>
            </w:r>
          </w:p>
        </w:tc>
        <w:tc>
          <w:tcPr>
            <w:tcW w:w="6307" w:type="dxa"/>
            <w:shd w:val="clear" w:color="auto" w:fill="FFFFFF"/>
            <w:vAlign w:val="bottom"/>
          </w:tcPr>
          <w:p w:rsidR="00377F91" w:rsidRDefault="00CE39A7">
            <w:pPr>
              <w:pStyle w:val="Jin0"/>
              <w:shd w:val="clear" w:color="auto" w:fill="auto"/>
              <w:spacing w:after="0" w:line="240" w:lineRule="auto"/>
            </w:pPr>
            <w:r>
              <w:t>Česká Spořitelna, a.s., Číslo účtu: 101020369/0800</w:t>
            </w:r>
          </w:p>
        </w:tc>
      </w:tr>
    </w:tbl>
    <w:p w:rsidR="00377F91" w:rsidRDefault="00CE39A7">
      <w:pPr>
        <w:pStyle w:val="Zkladntext1"/>
        <w:shd w:val="clear" w:color="auto" w:fill="auto"/>
        <w:spacing w:after="0"/>
      </w:pPr>
      <w:r>
        <w:t xml:space="preserve">zapsaná v obchodním rejstříku vedeném Městským soudem v Praze, oddíl B, vložka č. 10552 E-mail: </w:t>
      </w:r>
      <w:hyperlink r:id="rId11" w:history="1">
        <w:r>
          <w:t>info@businesscom.cz</w:t>
        </w:r>
      </w:hyperlink>
    </w:p>
    <w:p w:rsidR="00377F91" w:rsidRDefault="00CE39A7">
      <w:pPr>
        <w:pStyle w:val="Zkladntext1"/>
        <w:shd w:val="clear" w:color="auto" w:fill="auto"/>
        <w:spacing w:after="0"/>
        <w:jc w:val="both"/>
      </w:pPr>
      <w:r>
        <w:t>Telefon: 261303303</w:t>
      </w:r>
    </w:p>
    <w:p w:rsidR="00377F91" w:rsidRDefault="00CE39A7">
      <w:pPr>
        <w:pStyle w:val="Zkladntext1"/>
        <w:shd w:val="clear" w:color="auto" w:fill="auto"/>
        <w:spacing w:after="240"/>
        <w:jc w:val="both"/>
      </w:pPr>
      <w:r>
        <w:t xml:space="preserve">Kontaktní osoba pro věci technické: </w:t>
      </w:r>
      <w:bookmarkStart w:id="4" w:name="_GoBack"/>
      <w:bookmarkEnd w:id="4"/>
    </w:p>
    <w:p w:rsidR="00377F91" w:rsidRDefault="00CE39A7">
      <w:pPr>
        <w:pStyle w:val="Zkladntext1"/>
        <w:shd w:val="clear" w:color="auto" w:fill="auto"/>
        <w:spacing w:after="500"/>
      </w:pPr>
      <w:r>
        <w:t xml:space="preserve">(dále jen </w:t>
      </w:r>
      <w:r>
        <w:rPr>
          <w:u w:val="single"/>
        </w:rPr>
        <w:t>„dodavatel</w:t>
      </w:r>
      <w:r>
        <w:t>“)</w:t>
      </w:r>
    </w:p>
    <w:p w:rsidR="00377F91" w:rsidRDefault="00CE39A7">
      <w:pPr>
        <w:pStyle w:val="Nadpis30"/>
        <w:keepNext/>
        <w:keepLines/>
        <w:numPr>
          <w:ilvl w:val="0"/>
          <w:numId w:val="1"/>
        </w:numPr>
        <w:shd w:val="clear" w:color="auto" w:fill="auto"/>
        <w:tabs>
          <w:tab w:val="left" w:pos="382"/>
        </w:tabs>
      </w:pPr>
      <w:bookmarkStart w:id="5" w:name="bookmark4"/>
      <w:bookmarkStart w:id="6" w:name="bookmark5"/>
      <w:r>
        <w:t>Předmět smlouvy</w:t>
      </w:r>
      <w:bookmarkEnd w:id="5"/>
      <w:bookmarkEnd w:id="6"/>
    </w:p>
    <w:p w:rsidR="00377F91" w:rsidRDefault="00CE39A7">
      <w:pPr>
        <w:pStyle w:val="Zkladntext1"/>
        <w:numPr>
          <w:ilvl w:val="1"/>
          <w:numId w:val="1"/>
        </w:numPr>
        <w:shd w:val="clear" w:color="auto" w:fill="auto"/>
        <w:tabs>
          <w:tab w:val="left" w:pos="911"/>
        </w:tabs>
        <w:spacing w:after="440"/>
        <w:ind w:left="800" w:hanging="420"/>
        <w:jc w:val="both"/>
      </w:pPr>
      <w:r>
        <w:t>Předmětem této smlouvy je závazek dodavatele dodat objednateli věc, která je předmětem dodávky, a umožnit objednateli nabýt právo k užívání předmětu dodávky (licence pro telefonní pobočky), a to na dobu neurčitou, bez územního omezení, pro účely provozu IP telefonů, a závazek objednatele, že zaplatí dodavateli cenu sjednanou v čl.</w:t>
      </w:r>
      <w:hyperlink w:anchor="bookmark8" w:tooltip="Current Document">
        <w:r>
          <w:t xml:space="preserve"> 4.</w:t>
        </w:r>
      </w:hyperlink>
      <w:r>
        <w:t xml:space="preserve"> této smlouvy.</w:t>
      </w:r>
    </w:p>
    <w:p w:rsidR="00377F91" w:rsidRDefault="00CE39A7">
      <w:pPr>
        <w:pStyle w:val="Nadpis30"/>
        <w:keepNext/>
        <w:keepLines/>
        <w:numPr>
          <w:ilvl w:val="0"/>
          <w:numId w:val="1"/>
        </w:numPr>
        <w:shd w:val="clear" w:color="auto" w:fill="auto"/>
        <w:tabs>
          <w:tab w:val="left" w:pos="360"/>
        </w:tabs>
        <w:spacing w:line="240" w:lineRule="auto"/>
      </w:pPr>
      <w:bookmarkStart w:id="7" w:name="bookmark6"/>
      <w:bookmarkStart w:id="8" w:name="bookmark7"/>
      <w:r>
        <w:lastRenderedPageBreak/>
        <w:t>Předmět dodávky</w:t>
      </w:r>
      <w:bookmarkEnd w:id="7"/>
      <w:bookmarkEnd w:id="8"/>
    </w:p>
    <w:p w:rsidR="00377F91" w:rsidRDefault="00CE39A7">
      <w:pPr>
        <w:pStyle w:val="Zkladntext1"/>
        <w:numPr>
          <w:ilvl w:val="1"/>
          <w:numId w:val="1"/>
        </w:numPr>
        <w:shd w:val="clear" w:color="auto" w:fill="auto"/>
        <w:tabs>
          <w:tab w:val="left" w:pos="851"/>
        </w:tabs>
        <w:spacing w:after="100"/>
        <w:ind w:left="800" w:hanging="420"/>
        <w:jc w:val="both"/>
      </w:pPr>
      <w:r>
        <w:t>Předmětem dodávky dle této smlouvy jsou následující věci (licence pro telefonní pobočky ústředny Mitel MXOne 7.0 SP0 HF2):</w:t>
      </w:r>
    </w:p>
    <w:p w:rsidR="00377F91" w:rsidRDefault="00CE39A7">
      <w:pPr>
        <w:pStyle w:val="Zkladntext1"/>
        <w:numPr>
          <w:ilvl w:val="0"/>
          <w:numId w:val="2"/>
        </w:numPr>
        <w:shd w:val="clear" w:color="auto" w:fill="auto"/>
        <w:tabs>
          <w:tab w:val="left" w:pos="1242"/>
        </w:tabs>
        <w:spacing w:after="100" w:line="276" w:lineRule="auto"/>
        <w:ind w:left="1300" w:hanging="480"/>
      </w:pPr>
      <w:r>
        <w:t>34 ks licence pro telefonní pobočky ústředny Mitel MXONE. Tyto licence jsou pořizovány z projektu LIFE Jedna příroda (Integrovaný projekt LIFE pro soustavu Natura 2000 v České republice - LIFE17 IPE/CZ/000005 LIFE-IP: N2K revisited) financovaného Evropskou unií a Ministerstvem životního prostředí;</w:t>
      </w:r>
    </w:p>
    <w:p w:rsidR="00377F91" w:rsidRDefault="00CE39A7">
      <w:pPr>
        <w:pStyle w:val="Zkladntext1"/>
        <w:numPr>
          <w:ilvl w:val="0"/>
          <w:numId w:val="2"/>
        </w:numPr>
        <w:shd w:val="clear" w:color="auto" w:fill="auto"/>
        <w:tabs>
          <w:tab w:val="left" w:pos="1242"/>
        </w:tabs>
        <w:spacing w:after="100"/>
        <w:ind w:left="1300" w:hanging="480"/>
      </w:pPr>
      <w:r>
        <w:t>1 ks licence pro telefonní pobočky ústředny Mitel MXONE. Tato licence je pořizována z projektu LIFE Ze života hmyzu (LIFE16 NAT/CZ/000731) financovaného Evropskou unií a Ministerstvem životního prostředí;</w:t>
      </w:r>
    </w:p>
    <w:p w:rsidR="00377F91" w:rsidRDefault="00CE39A7">
      <w:pPr>
        <w:pStyle w:val="Zkladntext1"/>
        <w:numPr>
          <w:ilvl w:val="0"/>
          <w:numId w:val="2"/>
        </w:numPr>
        <w:shd w:val="clear" w:color="auto" w:fill="auto"/>
        <w:tabs>
          <w:tab w:val="left" w:pos="1242"/>
        </w:tabs>
        <w:spacing w:after="100"/>
        <w:ind w:left="1300" w:hanging="480"/>
      </w:pPr>
      <w:r>
        <w:t>2 ks licence pro telefonní pobočky ústředny Mitel MXONE. Tyto licence jsou pořizovány z projektu LIFE České středohoří (LIFE16 NAT/CZ/000639) financovaného Evropskou unií a Ministerstvem životního prostředí;</w:t>
      </w:r>
    </w:p>
    <w:p w:rsidR="00377F91" w:rsidRDefault="00CE39A7">
      <w:pPr>
        <w:pStyle w:val="Zkladntext1"/>
        <w:numPr>
          <w:ilvl w:val="0"/>
          <w:numId w:val="2"/>
        </w:numPr>
        <w:shd w:val="clear" w:color="auto" w:fill="auto"/>
        <w:tabs>
          <w:tab w:val="left" w:pos="1242"/>
        </w:tabs>
        <w:spacing w:after="100"/>
        <w:ind w:left="1300" w:hanging="480"/>
      </w:pPr>
      <w:r>
        <w:t>28 ks licence pro telefonní pobočky ústředny Mitel MXONE. Tyto licence jsou pořizovány pro kmenové zaměstnance AOPK ČR a financovány z rozpočtu AOPK ČR.</w:t>
      </w:r>
    </w:p>
    <w:p w:rsidR="00377F91" w:rsidRDefault="00CE39A7">
      <w:pPr>
        <w:pStyle w:val="Zkladntext1"/>
        <w:shd w:val="clear" w:color="auto" w:fill="auto"/>
        <w:spacing w:after="100"/>
        <w:ind w:firstLine="600"/>
      </w:pPr>
      <w:r>
        <w:t xml:space="preserve">(dále jen </w:t>
      </w:r>
      <w:r>
        <w:rPr>
          <w:u w:val="single"/>
        </w:rPr>
        <w:t>„předmět dodávky</w:t>
      </w:r>
      <w:r>
        <w:t>“)</w:t>
      </w:r>
    </w:p>
    <w:p w:rsidR="00377F91" w:rsidRDefault="00CE39A7">
      <w:pPr>
        <w:pStyle w:val="Zkladntext1"/>
        <w:numPr>
          <w:ilvl w:val="1"/>
          <w:numId w:val="1"/>
        </w:numPr>
        <w:shd w:val="clear" w:color="auto" w:fill="auto"/>
        <w:tabs>
          <w:tab w:val="left" w:pos="851"/>
        </w:tabs>
        <w:spacing w:after="480"/>
        <w:ind w:left="800" w:hanging="420"/>
        <w:jc w:val="both"/>
      </w:pPr>
      <w:bookmarkStart w:id="9" w:name="bookmark8"/>
      <w:r>
        <w:t>Smluvní strany se dohodly, že součástí předmětu dodávky budou veškeré práce potřebné pro zprovoznění dodaných licencí na telefonní ústředně Mitel MXOne, práce na zprovoznění licencí je zahrnuta v ceně předmětu dodávky, stanovené v čl. 4.1 této smlouvy.</w:t>
      </w:r>
      <w:bookmarkEnd w:id="9"/>
    </w:p>
    <w:p w:rsidR="00377F91" w:rsidRDefault="00CE39A7">
      <w:pPr>
        <w:pStyle w:val="Nadpis30"/>
        <w:keepNext/>
        <w:keepLines/>
        <w:numPr>
          <w:ilvl w:val="0"/>
          <w:numId w:val="1"/>
        </w:numPr>
        <w:shd w:val="clear" w:color="auto" w:fill="auto"/>
        <w:tabs>
          <w:tab w:val="left" w:pos="360"/>
        </w:tabs>
      </w:pPr>
      <w:bookmarkStart w:id="10" w:name="bookmark10"/>
      <w:bookmarkStart w:id="11" w:name="bookmark9"/>
      <w:r>
        <w:t>Cena a její splatnost</w:t>
      </w:r>
      <w:bookmarkEnd w:id="10"/>
      <w:bookmarkEnd w:id="11"/>
    </w:p>
    <w:p w:rsidR="00377F91" w:rsidRDefault="00CE39A7">
      <w:pPr>
        <w:pStyle w:val="Zkladntext1"/>
        <w:numPr>
          <w:ilvl w:val="1"/>
          <w:numId w:val="1"/>
        </w:numPr>
        <w:shd w:val="clear" w:color="auto" w:fill="auto"/>
        <w:tabs>
          <w:tab w:val="left" w:pos="832"/>
        </w:tabs>
        <w:spacing w:after="480"/>
        <w:ind w:left="800" w:hanging="420"/>
        <w:jc w:val="both"/>
      </w:pPr>
      <w:bookmarkStart w:id="12" w:name="bookmark11"/>
      <w:r>
        <w:t xml:space="preserve">Cena za předmět dodávky (dále jen </w:t>
      </w:r>
      <w:r>
        <w:rPr>
          <w:u w:val="single"/>
        </w:rPr>
        <w:t>„cena</w:t>
      </w:r>
      <w:r>
        <w:t>“) je stanovena dohodou smluvních stran dle ceníku uvedeného v příloze č. 1 této smlouvy.</w:t>
      </w:r>
      <w:bookmarkEnd w:id="12"/>
    </w:p>
    <w:p w:rsidR="00377F91" w:rsidRDefault="00CE39A7">
      <w:pPr>
        <w:pStyle w:val="Zkladntext1"/>
        <w:shd w:val="clear" w:color="auto" w:fill="auto"/>
        <w:spacing w:after="480"/>
        <w:ind w:firstLine="800"/>
      </w:pPr>
      <w:r>
        <w:t>Dodavatel je plátcem DPH</w:t>
      </w:r>
    </w:p>
    <w:p w:rsidR="00377F91" w:rsidRDefault="00CE39A7">
      <w:pPr>
        <w:pStyle w:val="Zkladntext1"/>
        <w:numPr>
          <w:ilvl w:val="1"/>
          <w:numId w:val="1"/>
        </w:numPr>
        <w:shd w:val="clear" w:color="auto" w:fill="auto"/>
        <w:tabs>
          <w:tab w:val="left" w:pos="832"/>
        </w:tabs>
        <w:spacing w:after="100"/>
        <w:ind w:firstLine="380"/>
      </w:pPr>
      <w:r>
        <w:t>Cena zahrnuje rovněž veškeré náklady dodavatele související s dodávkou objednateli.</w:t>
      </w:r>
    </w:p>
    <w:p w:rsidR="00377F91" w:rsidRDefault="00CE39A7">
      <w:pPr>
        <w:pStyle w:val="Zkladntext1"/>
        <w:numPr>
          <w:ilvl w:val="1"/>
          <w:numId w:val="1"/>
        </w:numPr>
        <w:shd w:val="clear" w:color="auto" w:fill="auto"/>
        <w:tabs>
          <w:tab w:val="left" w:pos="832"/>
        </w:tabs>
        <w:spacing w:after="100" w:line="276" w:lineRule="auto"/>
        <w:ind w:left="800" w:hanging="420"/>
        <w:jc w:val="both"/>
      </w:pPr>
      <w:r>
        <w:t>Cena uvedená v čl.</w:t>
      </w:r>
      <w:hyperlink w:anchor="bookmark11" w:tooltip="Current Document">
        <w:r>
          <w:t xml:space="preserve"> 4.1 </w:t>
        </w:r>
      </w:hyperlink>
      <w:r>
        <w:t>této smlouvy je sjednána smluvními stranami jako cena pevná. Jakékoliv změny ceny mohou být provedeny výhradně písemným dodatkem k této smlouvě, podepsaným oběma smluvními stranami.</w:t>
      </w:r>
    </w:p>
    <w:p w:rsidR="00377F91" w:rsidRDefault="00CE39A7">
      <w:pPr>
        <w:pStyle w:val="Zkladntext1"/>
        <w:numPr>
          <w:ilvl w:val="1"/>
          <w:numId w:val="1"/>
        </w:numPr>
        <w:shd w:val="clear" w:color="auto" w:fill="auto"/>
        <w:tabs>
          <w:tab w:val="left" w:pos="832"/>
        </w:tabs>
        <w:spacing w:after="100"/>
        <w:ind w:left="800" w:hanging="420"/>
        <w:jc w:val="both"/>
      </w:pPr>
      <w:r>
        <w:t>Strany se dohodly na následujících platebních podmínkách. Nejpozději do 14 dnů po instalaci licencí a na základě předávacích protokolů dle čl. 5.2 smlouvy vystaví dodavatel objednateli čtyři (4) faktury, (daňové doklady), kdy každá faktura musí odpovídat počtu licencí pořizovaných pro potřeby jednotlivých projektů včetně jejich identifikace přesně tak, jak je uvedeno v čl. 3.1 této smlouvy. Cena je splatná ve lhůtě třiceti (30) kalendářních dnů ode dne, kdy byly objednateli doručeny faktury (daňové doklady) dodavatele obsahující (i) náležitosti daňového resp. účetního dokladu podle platných obecně závazných právních předpisů, a (ii) odkaz na číslo této smlouvy. Faktury (daňové doklady) musí být zaslány na adresu sídla objednatele uvedenou v záhlaví této smlouvy.</w:t>
      </w:r>
    </w:p>
    <w:p w:rsidR="00377F91" w:rsidRDefault="00CE39A7">
      <w:pPr>
        <w:pStyle w:val="Zkladntext1"/>
        <w:numPr>
          <w:ilvl w:val="1"/>
          <w:numId w:val="1"/>
        </w:numPr>
        <w:shd w:val="clear" w:color="auto" w:fill="auto"/>
        <w:tabs>
          <w:tab w:val="left" w:pos="832"/>
        </w:tabs>
        <w:spacing w:after="100" w:line="276" w:lineRule="auto"/>
        <w:ind w:left="800" w:hanging="420"/>
        <w:jc w:val="both"/>
      </w:pPr>
      <w:r>
        <w:t>Právo dodavatele vystavit faktury (daňové doklady) vzniká ke dni odevzdání předmětu dodávky objednateli, resp. instalace licencí a podpisu předávacích protokolů oprávněným zástupcem objednatele.</w:t>
      </w:r>
    </w:p>
    <w:p w:rsidR="00377F91" w:rsidRDefault="00CE39A7">
      <w:pPr>
        <w:pStyle w:val="Zkladntext1"/>
        <w:numPr>
          <w:ilvl w:val="1"/>
          <w:numId w:val="1"/>
        </w:numPr>
        <w:shd w:val="clear" w:color="auto" w:fill="auto"/>
        <w:tabs>
          <w:tab w:val="left" w:pos="851"/>
        </w:tabs>
        <w:spacing w:after="460" w:line="276" w:lineRule="auto"/>
        <w:ind w:left="800" w:hanging="420"/>
        <w:jc w:val="both"/>
      </w:pPr>
      <w:r>
        <w:t xml:space="preserve">Objednatel má právo fakturu (daňový doklad) dodavateli před uplynutím lhůty splatnosti vrátit, aniž by došlo k prodlení s jeho úhradou, (i) obsahuje-li nesprávné údaje nebo (ii) chybí-li na faktuře (daňovém dokladu) odkaz na číslo této smlouvy nebo identifikační údaje projektu. </w:t>
      </w:r>
      <w:r>
        <w:lastRenderedPageBreak/>
        <w:t>Nová lhůta splatnosti v délce třiceti (30) kalendářních dnů počne plynout ode dne doručení opravené faktury (daňového dokladu) objednateli.</w:t>
      </w:r>
    </w:p>
    <w:p w:rsidR="00377F91" w:rsidRDefault="00CE39A7">
      <w:pPr>
        <w:pStyle w:val="Nadpis30"/>
        <w:keepNext/>
        <w:keepLines/>
        <w:numPr>
          <w:ilvl w:val="0"/>
          <w:numId w:val="1"/>
        </w:numPr>
        <w:shd w:val="clear" w:color="auto" w:fill="auto"/>
        <w:tabs>
          <w:tab w:val="left" w:pos="360"/>
        </w:tabs>
      </w:pPr>
      <w:bookmarkStart w:id="13" w:name="bookmark12"/>
      <w:bookmarkStart w:id="14" w:name="bookmark13"/>
      <w:r>
        <w:t>Místo a čas plnění</w:t>
      </w:r>
      <w:bookmarkEnd w:id="13"/>
      <w:bookmarkEnd w:id="14"/>
    </w:p>
    <w:p w:rsidR="00377F91" w:rsidRDefault="00CE39A7">
      <w:pPr>
        <w:pStyle w:val="Zkladntext1"/>
        <w:numPr>
          <w:ilvl w:val="1"/>
          <w:numId w:val="1"/>
        </w:numPr>
        <w:shd w:val="clear" w:color="auto" w:fill="auto"/>
        <w:tabs>
          <w:tab w:val="left" w:pos="851"/>
        </w:tabs>
        <w:ind w:left="800" w:hanging="420"/>
        <w:jc w:val="both"/>
      </w:pPr>
      <w:bookmarkStart w:id="15" w:name="bookmark14"/>
      <w:r>
        <w:t>Smluvní strany si sjednaly, že dodavatel poskytne objednateli předmět dodávky instalací licencí do ústředny buď dálkovým přístupem prostřednictvím sítě internet, anebo fyzickou instalací do ústředny v sídle objednatele, a to nejpozději do čtrnácti (14) dnů ode dne uzavření této smlouvy.</w:t>
      </w:r>
      <w:bookmarkEnd w:id="15"/>
    </w:p>
    <w:p w:rsidR="00377F91" w:rsidRDefault="00CE39A7">
      <w:pPr>
        <w:pStyle w:val="Zkladntext1"/>
        <w:numPr>
          <w:ilvl w:val="1"/>
          <w:numId w:val="1"/>
        </w:numPr>
        <w:shd w:val="clear" w:color="auto" w:fill="auto"/>
        <w:tabs>
          <w:tab w:val="left" w:pos="851"/>
        </w:tabs>
        <w:spacing w:after="460"/>
        <w:ind w:left="800" w:hanging="420"/>
        <w:jc w:val="both"/>
      </w:pPr>
      <w:r>
        <w:t>Po provedení instalace licencí vystaví dodavatel objednateli čtyři (4) předávací protokoly, každý na odpovídající počet licencí a obsahující identifikační údaje o projektu dle čl. 3.1 smlouvy.</w:t>
      </w:r>
    </w:p>
    <w:p w:rsidR="00377F91" w:rsidRDefault="00CE39A7">
      <w:pPr>
        <w:pStyle w:val="Nadpis30"/>
        <w:keepNext/>
        <w:keepLines/>
        <w:numPr>
          <w:ilvl w:val="0"/>
          <w:numId w:val="1"/>
        </w:numPr>
        <w:shd w:val="clear" w:color="auto" w:fill="auto"/>
        <w:tabs>
          <w:tab w:val="left" w:pos="360"/>
        </w:tabs>
      </w:pPr>
      <w:bookmarkStart w:id="16" w:name="bookmark15"/>
      <w:bookmarkStart w:id="17" w:name="bookmark16"/>
      <w:r>
        <w:t>Nebezpečí škody</w:t>
      </w:r>
      <w:bookmarkEnd w:id="16"/>
      <w:bookmarkEnd w:id="17"/>
    </w:p>
    <w:p w:rsidR="00377F91" w:rsidRDefault="00CE39A7">
      <w:pPr>
        <w:pStyle w:val="Zkladntext1"/>
        <w:numPr>
          <w:ilvl w:val="1"/>
          <w:numId w:val="1"/>
        </w:numPr>
        <w:shd w:val="clear" w:color="auto" w:fill="auto"/>
        <w:tabs>
          <w:tab w:val="left" w:pos="851"/>
        </w:tabs>
        <w:spacing w:after="460" w:line="276" w:lineRule="auto"/>
        <w:ind w:left="800" w:hanging="420"/>
        <w:jc w:val="both"/>
      </w:pPr>
      <w:r>
        <w:t>Dodavatel prohlašuje a odpovídá objednateli za bezvadnost (včetně právní) předmětu dodávky a za skutečnost, že uzavřením této smlouvy není porušena žádná povinnost dodavatele nebo práva či oprávněné zájmy jiných osob.</w:t>
      </w:r>
    </w:p>
    <w:p w:rsidR="00377F91" w:rsidRDefault="00CE39A7">
      <w:pPr>
        <w:pStyle w:val="Nadpis30"/>
        <w:keepNext/>
        <w:keepLines/>
        <w:numPr>
          <w:ilvl w:val="0"/>
          <w:numId w:val="1"/>
        </w:numPr>
        <w:shd w:val="clear" w:color="auto" w:fill="auto"/>
        <w:tabs>
          <w:tab w:val="left" w:pos="360"/>
        </w:tabs>
      </w:pPr>
      <w:bookmarkStart w:id="18" w:name="bookmark17"/>
      <w:bookmarkStart w:id="19" w:name="bookmark18"/>
      <w:r>
        <w:t>Smluvní pokuty a úroky z prodlení</w:t>
      </w:r>
      <w:bookmarkEnd w:id="18"/>
      <w:bookmarkEnd w:id="19"/>
    </w:p>
    <w:p w:rsidR="00377F91" w:rsidRDefault="00CE39A7">
      <w:pPr>
        <w:pStyle w:val="Zkladntext1"/>
        <w:numPr>
          <w:ilvl w:val="1"/>
          <w:numId w:val="1"/>
        </w:numPr>
        <w:shd w:val="clear" w:color="auto" w:fill="auto"/>
        <w:tabs>
          <w:tab w:val="left" w:pos="851"/>
        </w:tabs>
        <w:ind w:left="800" w:hanging="420"/>
        <w:jc w:val="both"/>
      </w:pPr>
      <w:r>
        <w:t>V případě, že dodavatel nedodrží termín plnění sjednaný v bodu</w:t>
      </w:r>
      <w:hyperlink w:anchor="bookmark14" w:tooltip="Current Document">
        <w:r>
          <w:t xml:space="preserve"> 5.1 </w:t>
        </w:r>
      </w:hyperlink>
      <w:r>
        <w:t>této smlouvy, je povinen zaplatit objednateli smluvní pokutu ve výši 0,05 % z celkové ceny (tj. včetně DPH) uvedené v bodu</w:t>
      </w:r>
      <w:hyperlink w:anchor="bookmark11" w:tooltip="Current Document">
        <w:r>
          <w:t xml:space="preserve"> 4.1 </w:t>
        </w:r>
      </w:hyperlink>
      <w:r>
        <w:t>této smlouvy za každý započatý den prodlení.</w:t>
      </w:r>
    </w:p>
    <w:p w:rsidR="00377F91" w:rsidRDefault="00CE39A7">
      <w:pPr>
        <w:pStyle w:val="Zkladntext1"/>
        <w:numPr>
          <w:ilvl w:val="1"/>
          <w:numId w:val="1"/>
        </w:numPr>
        <w:shd w:val="clear" w:color="auto" w:fill="auto"/>
        <w:tabs>
          <w:tab w:val="left" w:pos="851"/>
        </w:tabs>
        <w:spacing w:line="276" w:lineRule="auto"/>
        <w:ind w:left="800" w:hanging="420"/>
        <w:jc w:val="both"/>
      </w:pPr>
      <w:r>
        <w:t>V případě prodlení objednatele s placením řádně vystavené faktury, je objednatel povinen zaplatit dodavateli úrok z prodlení ve výši stanovené příslušnými právními předpisy z nezaplacené částky.</w:t>
      </w:r>
    </w:p>
    <w:p w:rsidR="00377F91" w:rsidRDefault="00CE39A7">
      <w:pPr>
        <w:pStyle w:val="Zkladntext1"/>
        <w:numPr>
          <w:ilvl w:val="1"/>
          <w:numId w:val="1"/>
        </w:numPr>
        <w:shd w:val="clear" w:color="auto" w:fill="auto"/>
        <w:tabs>
          <w:tab w:val="left" w:pos="851"/>
        </w:tabs>
        <w:ind w:left="800" w:hanging="420"/>
        <w:jc w:val="both"/>
      </w:pPr>
      <w:r>
        <w:t>Všechny smluvní sankce uplatněné dle této smlouvy jsou splatné do čtrnácti (14) kalendářních dnů ode dne doručení písemného oznámení o jejich uplatnění stranou oprávněnou straně povinné. Ujednání o úroku z prodlení a smluvních pokutách zůstávají případným odstoupením od této smlouvy nedotčena a trvají i po skončení účinnosti této smlouvy.</w:t>
      </w:r>
    </w:p>
    <w:p w:rsidR="00377F91" w:rsidRDefault="00CE39A7">
      <w:pPr>
        <w:pStyle w:val="Zkladntext1"/>
        <w:numPr>
          <w:ilvl w:val="1"/>
          <w:numId w:val="1"/>
        </w:numPr>
        <w:shd w:val="clear" w:color="auto" w:fill="auto"/>
        <w:tabs>
          <w:tab w:val="left" w:pos="851"/>
        </w:tabs>
        <w:spacing w:after="460"/>
        <w:ind w:left="800" w:hanging="420"/>
        <w:jc w:val="both"/>
      </w:pPr>
      <w:r>
        <w:t>Ustanoveními o smluvní pokutě není dotčen nárok oprávněné smluvní strany žádat náhradu škody v plné výši.</w:t>
      </w:r>
    </w:p>
    <w:p w:rsidR="00377F91" w:rsidRDefault="00CE39A7">
      <w:pPr>
        <w:pStyle w:val="Nadpis30"/>
        <w:keepNext/>
        <w:keepLines/>
        <w:numPr>
          <w:ilvl w:val="0"/>
          <w:numId w:val="1"/>
        </w:numPr>
        <w:shd w:val="clear" w:color="auto" w:fill="auto"/>
        <w:tabs>
          <w:tab w:val="left" w:pos="360"/>
        </w:tabs>
      </w:pPr>
      <w:bookmarkStart w:id="20" w:name="bookmark19"/>
      <w:bookmarkStart w:id="21" w:name="bookmark20"/>
      <w:r>
        <w:t>Závěrečná ustanovení</w:t>
      </w:r>
      <w:bookmarkEnd w:id="20"/>
      <w:bookmarkEnd w:id="21"/>
    </w:p>
    <w:p w:rsidR="00377F91" w:rsidRDefault="00CE39A7">
      <w:pPr>
        <w:pStyle w:val="Zkladntext1"/>
        <w:numPr>
          <w:ilvl w:val="1"/>
          <w:numId w:val="1"/>
        </w:numPr>
        <w:shd w:val="clear" w:color="auto" w:fill="auto"/>
        <w:tabs>
          <w:tab w:val="left" w:pos="851"/>
        </w:tabs>
        <w:ind w:left="800" w:hanging="420"/>
        <w:jc w:val="both"/>
      </w:pPr>
      <w:r>
        <w:t>Tuto smlouvu je možné měnit či doplňovat pouze formou písemných vzestupně číslovaných dodatků.</w:t>
      </w:r>
    </w:p>
    <w:p w:rsidR="00377F91" w:rsidRDefault="00CE39A7">
      <w:pPr>
        <w:pStyle w:val="Zkladntext1"/>
        <w:numPr>
          <w:ilvl w:val="1"/>
          <w:numId w:val="1"/>
        </w:numPr>
        <w:shd w:val="clear" w:color="auto" w:fill="auto"/>
        <w:tabs>
          <w:tab w:val="left" w:pos="851"/>
        </w:tabs>
        <w:spacing w:after="100"/>
        <w:ind w:left="800" w:hanging="420"/>
        <w:jc w:val="both"/>
      </w:pPr>
      <w:r>
        <w:t>Dodavatel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Dodavatel s uveřejněním či zpřístupněním podle výše uvedených právních předpisů bezvýhradně souhlasí.</w:t>
      </w:r>
    </w:p>
    <w:p w:rsidR="00377F91" w:rsidRDefault="00CE39A7">
      <w:pPr>
        <w:pStyle w:val="Zkladntext1"/>
        <w:numPr>
          <w:ilvl w:val="1"/>
          <w:numId w:val="1"/>
        </w:numPr>
        <w:shd w:val="clear" w:color="auto" w:fill="auto"/>
        <w:tabs>
          <w:tab w:val="left" w:pos="836"/>
        </w:tabs>
        <w:spacing w:after="100" w:line="276" w:lineRule="auto"/>
        <w:ind w:left="800" w:hanging="440"/>
        <w:jc w:val="both"/>
      </w:pPr>
      <w:r>
        <w:lastRenderedPageBreak/>
        <w:t>Smluvní strany se zavazují, že v případě sporů o obsah a plnění této smlouvy vynaloží veškeré úsilí, aby tyto spory byly vyřešeny smírnou cestou. Pokud nedojde k dohodě, je příslušný obecný soud žalované strany.</w:t>
      </w:r>
    </w:p>
    <w:p w:rsidR="00377F91" w:rsidRDefault="00CE39A7">
      <w:pPr>
        <w:pStyle w:val="Zkladntext1"/>
        <w:numPr>
          <w:ilvl w:val="1"/>
          <w:numId w:val="1"/>
        </w:numPr>
        <w:shd w:val="clear" w:color="auto" w:fill="auto"/>
        <w:tabs>
          <w:tab w:val="left" w:pos="836"/>
        </w:tabs>
        <w:spacing w:after="100"/>
        <w:ind w:left="800" w:hanging="440"/>
        <w:jc w:val="both"/>
      </w:pPr>
      <w: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377F91" w:rsidRDefault="00CE39A7">
      <w:pPr>
        <w:pStyle w:val="Zkladntext1"/>
        <w:numPr>
          <w:ilvl w:val="1"/>
          <w:numId w:val="1"/>
        </w:numPr>
        <w:shd w:val="clear" w:color="auto" w:fill="auto"/>
        <w:tabs>
          <w:tab w:val="left" w:pos="836"/>
        </w:tabs>
        <w:spacing w:after="100" w:line="276" w:lineRule="auto"/>
        <w:ind w:firstLine="360"/>
        <w:jc w:val="both"/>
      </w:pPr>
      <w:r>
        <w:t>Smlouva nabývá platnosti dnem podpisu oběma smluvními stranami.</w:t>
      </w:r>
    </w:p>
    <w:p w:rsidR="00377F91" w:rsidRDefault="00CE39A7">
      <w:pPr>
        <w:pStyle w:val="Zkladntext1"/>
        <w:numPr>
          <w:ilvl w:val="1"/>
          <w:numId w:val="1"/>
        </w:numPr>
        <w:shd w:val="clear" w:color="auto" w:fill="auto"/>
        <w:tabs>
          <w:tab w:val="left" w:pos="836"/>
        </w:tabs>
        <w:spacing w:after="100" w:line="276" w:lineRule="auto"/>
        <w:ind w:left="800" w:hanging="440"/>
        <w:jc w:val="both"/>
      </w:pPr>
      <w:r>
        <w:t>Tato smlouva nabývá účinnosti dnem podpisu oprávněným zástupcem poslední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77F91" w:rsidRDefault="00CE39A7">
      <w:pPr>
        <w:pStyle w:val="Zkladntext1"/>
        <w:shd w:val="clear" w:color="auto" w:fill="auto"/>
        <w:spacing w:after="480" w:line="276" w:lineRule="auto"/>
      </w:pPr>
      <w:r>
        <w:t>Příloha č. 1: ceník</w:t>
      </w:r>
    </w:p>
    <w:p w:rsidR="00377F91" w:rsidRDefault="00CE39A7">
      <w:pPr>
        <w:pStyle w:val="Zkladntext1"/>
        <w:shd w:val="clear" w:color="auto" w:fill="auto"/>
        <w:tabs>
          <w:tab w:val="left" w:leader="dot" w:pos="2242"/>
        </w:tabs>
        <w:spacing w:after="1660" w:line="240" w:lineRule="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5273040</wp:posOffset>
                </wp:positionH>
                <wp:positionV relativeFrom="paragraph">
                  <wp:posOffset>12700</wp:posOffset>
                </wp:positionV>
                <wp:extent cx="1386840" cy="17081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86840" cy="170815"/>
                        </a:xfrm>
                        <a:prstGeom prst="rect">
                          <a:avLst/>
                        </a:prstGeom>
                        <a:noFill/>
                      </wps:spPr>
                      <wps:txbx>
                        <w:txbxContent>
                          <w:p w:rsidR="00377F91" w:rsidRDefault="00CE39A7">
                            <w:pPr>
                              <w:pStyle w:val="Zkladntext1"/>
                              <w:shd w:val="clear" w:color="auto" w:fill="auto"/>
                              <w:tabs>
                                <w:tab w:val="left" w:leader="dot" w:pos="2117"/>
                              </w:tabs>
                              <w:spacing w:after="0" w:line="240" w:lineRule="auto"/>
                            </w:pPr>
                            <w:r>
                              <w:t>V Praze dne</w:t>
                            </w:r>
                            <w:r>
                              <w:tab/>
                            </w:r>
                          </w:p>
                        </w:txbxContent>
                      </wps:txbx>
                      <wps:bodyPr wrap="none" lIns="0" tIns="0" rIns="0" bIns="0"/>
                    </wps:wsp>
                  </a:graphicData>
                </a:graphic>
              </wp:anchor>
            </w:drawing>
          </mc:Choice>
          <mc:Fallback xmlns:w15="http://schemas.microsoft.com/office/word/2012/wordml">
            <w:pict>
              <v:shape id="_x0000_s1031" type="#_x0000_t202" style="position:absolute;margin-left:415.19999999999999pt;margin-top:1.pt;width:109.2pt;height:13.449999999999999pt;z-index:-125829375;mso-wrap-distance-left:9.pt;mso-wrap-distance-right:9.pt;mso-position-horizontal-relative:page" filled="f" stroked="f">
                <v:textbox inset="0,0,0,0">
                  <w:txbxContent>
                    <w:p>
                      <w:pPr>
                        <w:pStyle w:val="Style4"/>
                        <w:keepNext w:val="0"/>
                        <w:keepLines w:val="0"/>
                        <w:widowControl w:val="0"/>
                        <w:shd w:val="clear" w:color="auto" w:fill="auto"/>
                        <w:tabs>
                          <w:tab w:leader="dot" w:pos="2117"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Praze dne</w:t>
                        <w:tab/>
                      </w:r>
                    </w:p>
                  </w:txbxContent>
                </v:textbox>
                <w10:wrap type="square" side="left" anchorx="page"/>
              </v:shape>
            </w:pict>
          </mc:Fallback>
        </mc:AlternateContent>
      </w:r>
      <w:r>
        <w:t>V Praze, dne</w:t>
      </w:r>
      <w:r>
        <w:tab/>
      </w:r>
    </w:p>
    <w:p w:rsidR="00377F91" w:rsidRDefault="00CE39A7">
      <w:pPr>
        <w:pStyle w:val="Zkladntext1"/>
        <w:shd w:val="clear" w:color="auto" w:fill="auto"/>
        <w:spacing w:after="100" w:line="240" w:lineRule="auto"/>
        <w:jc w:val="right"/>
        <w:sectPr w:rsidR="00377F91">
          <w:type w:val="continuous"/>
          <w:pgSz w:w="11900" w:h="16840"/>
          <w:pgMar w:top="1417" w:right="1374" w:bottom="1342" w:left="1378" w:header="0" w:footer="3" w:gutter="0"/>
          <w:cols w:space="720"/>
          <w:noEndnote/>
          <w:docGrid w:linePitch="360"/>
        </w:sectPr>
      </w:pPr>
      <w:r>
        <w:t>Michal Parkos (dodavatel)</w:t>
      </w:r>
    </w:p>
    <w:p w:rsidR="00377F91" w:rsidRDefault="00CE39A7">
      <w:pPr>
        <w:pStyle w:val="Zkladntext1"/>
        <w:shd w:val="clear" w:color="auto" w:fill="auto"/>
        <w:spacing w:after="460" w:line="240" w:lineRule="auto"/>
        <w:jc w:val="right"/>
      </w:pPr>
      <w:r>
        <w:lastRenderedPageBreak/>
        <w:t>Příloha č. 1</w:t>
      </w:r>
    </w:p>
    <w:p w:rsidR="00377F91" w:rsidRDefault="00CE39A7">
      <w:pPr>
        <w:pStyle w:val="Nadpis20"/>
        <w:keepNext/>
        <w:keepLines/>
        <w:shd w:val="clear" w:color="auto" w:fill="auto"/>
      </w:pPr>
      <w:bookmarkStart w:id="22" w:name="bookmark21"/>
      <w:bookmarkStart w:id="23" w:name="bookmark22"/>
      <w:r>
        <w:t>CENÍK</w:t>
      </w:r>
      <w:bookmarkEnd w:id="22"/>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4123"/>
        <w:gridCol w:w="854"/>
        <w:gridCol w:w="1555"/>
        <w:gridCol w:w="710"/>
        <w:gridCol w:w="1560"/>
        <w:gridCol w:w="1560"/>
        <w:gridCol w:w="1555"/>
        <w:gridCol w:w="1718"/>
      </w:tblGrid>
      <w:tr w:rsidR="00377F91">
        <w:trPr>
          <w:trHeight w:hRule="exact" w:val="835"/>
          <w:jc w:val="center"/>
        </w:trPr>
        <w:tc>
          <w:tcPr>
            <w:tcW w:w="4123" w:type="dxa"/>
            <w:tcBorders>
              <w:top w:val="single" w:sz="4" w:space="0" w:color="auto"/>
              <w:left w:val="single" w:sz="4" w:space="0" w:color="auto"/>
            </w:tcBorders>
            <w:shd w:val="clear" w:color="auto" w:fill="D9D9D9"/>
            <w:vAlign w:val="center"/>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Typ pořízení</w:t>
            </w:r>
          </w:p>
        </w:tc>
        <w:tc>
          <w:tcPr>
            <w:tcW w:w="854" w:type="dxa"/>
            <w:tcBorders>
              <w:top w:val="single" w:sz="4" w:space="0" w:color="auto"/>
              <w:left w:val="single" w:sz="4" w:space="0" w:color="auto"/>
            </w:tcBorders>
            <w:shd w:val="clear" w:color="auto" w:fill="D9D9D9"/>
            <w:vAlign w:val="center"/>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Počet licencí</w:t>
            </w:r>
          </w:p>
        </w:tc>
        <w:tc>
          <w:tcPr>
            <w:tcW w:w="1555" w:type="dxa"/>
            <w:tcBorders>
              <w:top w:val="single" w:sz="4" w:space="0" w:color="auto"/>
              <w:left w:val="single" w:sz="4" w:space="0" w:color="auto"/>
            </w:tcBorders>
            <w:shd w:val="clear" w:color="auto" w:fill="D9D9D9"/>
            <w:vAlign w:val="bottom"/>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Cena 1 licence bez DPH (Kč)</w:t>
            </w:r>
          </w:p>
        </w:tc>
        <w:tc>
          <w:tcPr>
            <w:tcW w:w="710" w:type="dxa"/>
            <w:tcBorders>
              <w:top w:val="single" w:sz="4" w:space="0" w:color="auto"/>
              <w:left w:val="single" w:sz="4" w:space="0" w:color="auto"/>
            </w:tcBorders>
            <w:shd w:val="clear" w:color="auto" w:fill="D9D9D9"/>
            <w:vAlign w:val="center"/>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sazba</w:t>
            </w:r>
          </w:p>
          <w:p w:rsidR="00377F91" w:rsidRDefault="00CE39A7">
            <w:pPr>
              <w:pStyle w:val="Jin0"/>
              <w:shd w:val="clear" w:color="auto" w:fill="auto"/>
              <w:spacing w:after="0" w:line="230" w:lineRule="auto"/>
              <w:jc w:val="center"/>
              <w:rPr>
                <w:sz w:val="22"/>
                <w:szCs w:val="22"/>
              </w:rPr>
            </w:pPr>
            <w:r>
              <w:rPr>
                <w:rFonts w:ascii="Calibri" w:eastAsia="Calibri" w:hAnsi="Calibri" w:cs="Calibri"/>
                <w:b/>
                <w:bCs/>
                <w:sz w:val="22"/>
                <w:szCs w:val="22"/>
              </w:rPr>
              <w:t>DPH</w:t>
            </w:r>
          </w:p>
        </w:tc>
        <w:tc>
          <w:tcPr>
            <w:tcW w:w="1560" w:type="dxa"/>
            <w:tcBorders>
              <w:top w:val="single" w:sz="4" w:space="0" w:color="auto"/>
              <w:left w:val="single" w:sz="4" w:space="0" w:color="auto"/>
            </w:tcBorders>
            <w:shd w:val="clear" w:color="auto" w:fill="D9D9D9"/>
            <w:vAlign w:val="bottom"/>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Cena 1 licence s DPH (Kč)</w:t>
            </w:r>
          </w:p>
        </w:tc>
        <w:tc>
          <w:tcPr>
            <w:tcW w:w="1560" w:type="dxa"/>
            <w:tcBorders>
              <w:top w:val="single" w:sz="4" w:space="0" w:color="auto"/>
              <w:left w:val="single" w:sz="4" w:space="0" w:color="auto"/>
            </w:tcBorders>
            <w:shd w:val="clear" w:color="auto" w:fill="D9D9D9"/>
            <w:vAlign w:val="center"/>
          </w:tcPr>
          <w:p w:rsidR="00377F91" w:rsidRDefault="00CE39A7">
            <w:pPr>
              <w:pStyle w:val="Jin0"/>
              <w:shd w:val="clear" w:color="auto" w:fill="auto"/>
              <w:spacing w:after="0" w:line="233" w:lineRule="auto"/>
              <w:jc w:val="center"/>
              <w:rPr>
                <w:sz w:val="22"/>
                <w:szCs w:val="22"/>
              </w:rPr>
            </w:pPr>
            <w:r>
              <w:rPr>
                <w:rFonts w:ascii="Calibri" w:eastAsia="Calibri" w:hAnsi="Calibri" w:cs="Calibri"/>
                <w:b/>
                <w:bCs/>
                <w:sz w:val="22"/>
                <w:szCs w:val="22"/>
              </w:rPr>
              <w:t>Cena licencí bez DPH (Kč)</w:t>
            </w:r>
          </w:p>
        </w:tc>
        <w:tc>
          <w:tcPr>
            <w:tcW w:w="1555" w:type="dxa"/>
            <w:tcBorders>
              <w:top w:val="single" w:sz="4" w:space="0" w:color="auto"/>
              <w:left w:val="single" w:sz="4" w:space="0" w:color="auto"/>
            </w:tcBorders>
            <w:shd w:val="clear" w:color="auto" w:fill="D9D9D9"/>
            <w:vAlign w:val="center"/>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DPH (Kč)</w:t>
            </w:r>
          </w:p>
        </w:tc>
        <w:tc>
          <w:tcPr>
            <w:tcW w:w="1718" w:type="dxa"/>
            <w:tcBorders>
              <w:top w:val="single" w:sz="4" w:space="0" w:color="auto"/>
              <w:left w:val="single" w:sz="4" w:space="0" w:color="auto"/>
              <w:right w:val="single" w:sz="4" w:space="0" w:color="auto"/>
            </w:tcBorders>
            <w:shd w:val="clear" w:color="auto" w:fill="D9D9D9"/>
            <w:vAlign w:val="bottom"/>
          </w:tcPr>
          <w:p w:rsidR="00377F91" w:rsidRDefault="00CE39A7">
            <w:pPr>
              <w:pStyle w:val="Jin0"/>
              <w:shd w:val="clear" w:color="auto" w:fill="auto"/>
              <w:spacing w:after="0" w:line="240" w:lineRule="auto"/>
              <w:jc w:val="center"/>
              <w:rPr>
                <w:sz w:val="22"/>
                <w:szCs w:val="22"/>
              </w:rPr>
            </w:pPr>
            <w:r>
              <w:rPr>
                <w:rFonts w:ascii="Calibri" w:eastAsia="Calibri" w:hAnsi="Calibri" w:cs="Calibri"/>
                <w:b/>
                <w:bCs/>
                <w:sz w:val="22"/>
                <w:szCs w:val="22"/>
              </w:rPr>
              <w:t>Cena licencí s DPH (Kč)</w:t>
            </w:r>
          </w:p>
        </w:tc>
      </w:tr>
      <w:tr w:rsidR="00377F91">
        <w:trPr>
          <w:trHeight w:hRule="exact" w:val="1627"/>
          <w:jc w:val="center"/>
        </w:trPr>
        <w:tc>
          <w:tcPr>
            <w:tcW w:w="4123" w:type="dxa"/>
            <w:tcBorders>
              <w:top w:val="single" w:sz="4" w:space="0" w:color="auto"/>
              <w:left w:val="single" w:sz="4" w:space="0" w:color="auto"/>
            </w:tcBorders>
            <w:shd w:val="clear" w:color="auto" w:fill="FFFFFF"/>
            <w:vAlign w:val="bottom"/>
          </w:tcPr>
          <w:p w:rsidR="00377F91" w:rsidRDefault="00CE39A7">
            <w:pPr>
              <w:pStyle w:val="Jin0"/>
              <w:shd w:val="clear" w:color="auto" w:fill="auto"/>
              <w:spacing w:after="0" w:line="240" w:lineRule="auto"/>
              <w:rPr>
                <w:sz w:val="22"/>
                <w:szCs w:val="22"/>
              </w:rPr>
            </w:pPr>
            <w:r>
              <w:rPr>
                <w:rFonts w:ascii="Calibri" w:eastAsia="Calibri" w:hAnsi="Calibri" w:cs="Calibri"/>
                <w:sz w:val="22"/>
                <w:szCs w:val="22"/>
              </w:rPr>
              <w:t>pořizováno z projektu LIFE Jedna příroda (Integrovaný projekt LIFE pro soustavu Natura 2000 v České republice - LIFE17 IPE/CZ/000005 LIFE-IP: N2K revisited) financovaného Evropskou unií a Ministerstvem životního prostředí</w:t>
            </w:r>
          </w:p>
        </w:tc>
        <w:tc>
          <w:tcPr>
            <w:tcW w:w="854"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540"/>
              <w:rPr>
                <w:sz w:val="22"/>
                <w:szCs w:val="22"/>
              </w:rPr>
            </w:pPr>
            <w:r>
              <w:rPr>
                <w:rFonts w:ascii="Calibri" w:eastAsia="Calibri" w:hAnsi="Calibri" w:cs="Calibri"/>
                <w:sz w:val="22"/>
                <w:szCs w:val="22"/>
              </w:rPr>
              <w:t>34</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380"/>
              <w:rPr>
                <w:sz w:val="22"/>
                <w:szCs w:val="22"/>
              </w:rPr>
            </w:pPr>
            <w:r>
              <w:rPr>
                <w:rFonts w:ascii="Calibri" w:eastAsia="Calibri" w:hAnsi="Calibri" w:cs="Calibri"/>
                <w:sz w:val="22"/>
                <w:szCs w:val="22"/>
              </w:rPr>
              <w:t>2 340,00 Kč</w:t>
            </w:r>
          </w:p>
        </w:tc>
        <w:tc>
          <w:tcPr>
            <w:tcW w:w="71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21</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440"/>
              <w:rPr>
                <w:sz w:val="22"/>
                <w:szCs w:val="22"/>
              </w:rPr>
            </w:pPr>
            <w:r>
              <w:rPr>
                <w:rFonts w:ascii="Calibri" w:eastAsia="Calibri" w:hAnsi="Calibri" w:cs="Calibri"/>
                <w:sz w:val="22"/>
                <w:szCs w:val="22"/>
              </w:rPr>
              <w:t>2 831,40 Kč</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79 560,00 Kč</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320"/>
              <w:rPr>
                <w:sz w:val="22"/>
                <w:szCs w:val="22"/>
              </w:rPr>
            </w:pPr>
            <w:r>
              <w:rPr>
                <w:rFonts w:ascii="Calibri" w:eastAsia="Calibri" w:hAnsi="Calibri" w:cs="Calibri"/>
                <w:sz w:val="22"/>
                <w:szCs w:val="22"/>
              </w:rPr>
              <w:t>16 707,60 Kč</w:t>
            </w:r>
          </w:p>
        </w:tc>
        <w:tc>
          <w:tcPr>
            <w:tcW w:w="1718" w:type="dxa"/>
            <w:tcBorders>
              <w:top w:val="single" w:sz="4" w:space="0" w:color="auto"/>
              <w:left w:val="single" w:sz="4" w:space="0" w:color="auto"/>
              <w:righ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96 267,60 Kč</w:t>
            </w:r>
          </w:p>
        </w:tc>
      </w:tr>
      <w:tr w:rsidR="00377F91">
        <w:trPr>
          <w:trHeight w:hRule="exact" w:val="1085"/>
          <w:jc w:val="center"/>
        </w:trPr>
        <w:tc>
          <w:tcPr>
            <w:tcW w:w="4123" w:type="dxa"/>
            <w:tcBorders>
              <w:top w:val="single" w:sz="4" w:space="0" w:color="auto"/>
              <w:left w:val="single" w:sz="4" w:space="0" w:color="auto"/>
            </w:tcBorders>
            <w:shd w:val="clear" w:color="auto" w:fill="FFFFFF"/>
            <w:vAlign w:val="bottom"/>
          </w:tcPr>
          <w:p w:rsidR="00377F91" w:rsidRDefault="00CE39A7">
            <w:pPr>
              <w:pStyle w:val="Jin0"/>
              <w:shd w:val="clear" w:color="auto" w:fill="auto"/>
              <w:spacing w:after="0" w:line="240" w:lineRule="auto"/>
              <w:rPr>
                <w:sz w:val="22"/>
                <w:szCs w:val="22"/>
              </w:rPr>
            </w:pPr>
            <w:r>
              <w:rPr>
                <w:rFonts w:ascii="Calibri" w:eastAsia="Calibri" w:hAnsi="Calibri" w:cs="Calibri"/>
                <w:sz w:val="22"/>
                <w:szCs w:val="22"/>
              </w:rPr>
              <w:t>pořizováno z projektu LIFE Ze života hmyzu (LIFE16 NAT/CZ/000731) financovaného Evropskou unií a Ministerstvem životního prostředí</w:t>
            </w:r>
          </w:p>
        </w:tc>
        <w:tc>
          <w:tcPr>
            <w:tcW w:w="854"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1</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380"/>
              <w:rPr>
                <w:sz w:val="22"/>
                <w:szCs w:val="22"/>
              </w:rPr>
            </w:pPr>
            <w:r>
              <w:rPr>
                <w:rFonts w:ascii="Calibri" w:eastAsia="Calibri" w:hAnsi="Calibri" w:cs="Calibri"/>
                <w:sz w:val="22"/>
                <w:szCs w:val="22"/>
              </w:rPr>
              <w:t>2 340,00 Kč</w:t>
            </w:r>
          </w:p>
        </w:tc>
        <w:tc>
          <w:tcPr>
            <w:tcW w:w="71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21</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440"/>
              <w:rPr>
                <w:sz w:val="22"/>
                <w:szCs w:val="22"/>
              </w:rPr>
            </w:pPr>
            <w:r>
              <w:rPr>
                <w:rFonts w:ascii="Calibri" w:eastAsia="Calibri" w:hAnsi="Calibri" w:cs="Calibri"/>
                <w:sz w:val="22"/>
                <w:szCs w:val="22"/>
              </w:rPr>
              <w:t>2 831,40 Kč</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2 340,00 Kč</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580"/>
              <w:rPr>
                <w:sz w:val="22"/>
                <w:szCs w:val="22"/>
              </w:rPr>
            </w:pPr>
            <w:r>
              <w:rPr>
                <w:rFonts w:ascii="Calibri" w:eastAsia="Calibri" w:hAnsi="Calibri" w:cs="Calibri"/>
                <w:sz w:val="22"/>
                <w:szCs w:val="22"/>
              </w:rPr>
              <w:t>491,40 Kč</w:t>
            </w:r>
          </w:p>
        </w:tc>
        <w:tc>
          <w:tcPr>
            <w:tcW w:w="1718" w:type="dxa"/>
            <w:tcBorders>
              <w:top w:val="single" w:sz="4" w:space="0" w:color="auto"/>
              <w:left w:val="single" w:sz="4" w:space="0" w:color="auto"/>
              <w:right w:val="single" w:sz="4" w:space="0" w:color="auto"/>
            </w:tcBorders>
            <w:shd w:val="clear" w:color="auto" w:fill="FFFFFF"/>
            <w:vAlign w:val="center"/>
          </w:tcPr>
          <w:p w:rsidR="00377F91" w:rsidRDefault="00CE39A7">
            <w:pPr>
              <w:pStyle w:val="Jin0"/>
              <w:shd w:val="clear" w:color="auto" w:fill="auto"/>
              <w:spacing w:after="0" w:line="240" w:lineRule="auto"/>
              <w:ind w:firstLine="580"/>
              <w:rPr>
                <w:sz w:val="22"/>
                <w:szCs w:val="22"/>
              </w:rPr>
            </w:pPr>
            <w:r>
              <w:rPr>
                <w:rFonts w:ascii="Calibri" w:eastAsia="Calibri" w:hAnsi="Calibri" w:cs="Calibri"/>
                <w:sz w:val="22"/>
                <w:szCs w:val="22"/>
              </w:rPr>
              <w:t>2 831,40 Kč</w:t>
            </w:r>
          </w:p>
        </w:tc>
      </w:tr>
      <w:tr w:rsidR="00377F91">
        <w:trPr>
          <w:trHeight w:hRule="exact" w:val="1085"/>
          <w:jc w:val="center"/>
        </w:trPr>
        <w:tc>
          <w:tcPr>
            <w:tcW w:w="4123" w:type="dxa"/>
            <w:tcBorders>
              <w:top w:val="single" w:sz="4" w:space="0" w:color="auto"/>
              <w:left w:val="single" w:sz="4" w:space="0" w:color="auto"/>
            </w:tcBorders>
            <w:shd w:val="clear" w:color="auto" w:fill="FFFFFF"/>
            <w:vAlign w:val="bottom"/>
          </w:tcPr>
          <w:p w:rsidR="00377F91" w:rsidRDefault="00CE39A7">
            <w:pPr>
              <w:pStyle w:val="Jin0"/>
              <w:shd w:val="clear" w:color="auto" w:fill="auto"/>
              <w:spacing w:after="0" w:line="240" w:lineRule="auto"/>
              <w:rPr>
                <w:sz w:val="22"/>
                <w:szCs w:val="22"/>
              </w:rPr>
            </w:pPr>
            <w:r>
              <w:rPr>
                <w:rFonts w:ascii="Calibri" w:eastAsia="Calibri" w:hAnsi="Calibri" w:cs="Calibri"/>
                <w:sz w:val="22"/>
                <w:szCs w:val="22"/>
              </w:rPr>
              <w:t>pořizováno z projektu LIFE České středohoří (LIFE16 NAT/CZ/000639) financovaného Evropskou unií a Ministerstvem životního prostředí;</w:t>
            </w:r>
          </w:p>
        </w:tc>
        <w:tc>
          <w:tcPr>
            <w:tcW w:w="854"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380"/>
              <w:rPr>
                <w:sz w:val="22"/>
                <w:szCs w:val="22"/>
              </w:rPr>
            </w:pPr>
            <w:r>
              <w:rPr>
                <w:rFonts w:ascii="Calibri" w:eastAsia="Calibri" w:hAnsi="Calibri" w:cs="Calibri"/>
                <w:sz w:val="22"/>
                <w:szCs w:val="22"/>
              </w:rPr>
              <w:t>2 340,00 Kč</w:t>
            </w:r>
          </w:p>
        </w:tc>
        <w:tc>
          <w:tcPr>
            <w:tcW w:w="71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21</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440"/>
              <w:rPr>
                <w:sz w:val="22"/>
                <w:szCs w:val="22"/>
              </w:rPr>
            </w:pPr>
            <w:r>
              <w:rPr>
                <w:rFonts w:ascii="Calibri" w:eastAsia="Calibri" w:hAnsi="Calibri" w:cs="Calibri"/>
                <w:sz w:val="22"/>
                <w:szCs w:val="22"/>
              </w:rPr>
              <w:t>2 831,40 Kč</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4 680,00 Kč</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580"/>
              <w:rPr>
                <w:sz w:val="22"/>
                <w:szCs w:val="22"/>
              </w:rPr>
            </w:pPr>
            <w:r>
              <w:rPr>
                <w:rFonts w:ascii="Calibri" w:eastAsia="Calibri" w:hAnsi="Calibri" w:cs="Calibri"/>
                <w:sz w:val="22"/>
                <w:szCs w:val="22"/>
              </w:rPr>
              <w:t>982,80 Kč</w:t>
            </w:r>
          </w:p>
        </w:tc>
        <w:tc>
          <w:tcPr>
            <w:tcW w:w="1718" w:type="dxa"/>
            <w:tcBorders>
              <w:top w:val="single" w:sz="4" w:space="0" w:color="auto"/>
              <w:left w:val="single" w:sz="4" w:space="0" w:color="auto"/>
              <w:right w:val="single" w:sz="4" w:space="0" w:color="auto"/>
            </w:tcBorders>
            <w:shd w:val="clear" w:color="auto" w:fill="FFFFFF"/>
            <w:vAlign w:val="center"/>
          </w:tcPr>
          <w:p w:rsidR="00377F91" w:rsidRDefault="00CE39A7">
            <w:pPr>
              <w:pStyle w:val="Jin0"/>
              <w:shd w:val="clear" w:color="auto" w:fill="auto"/>
              <w:spacing w:after="0" w:line="240" w:lineRule="auto"/>
              <w:ind w:firstLine="580"/>
              <w:rPr>
                <w:sz w:val="22"/>
                <w:szCs w:val="22"/>
              </w:rPr>
            </w:pPr>
            <w:r>
              <w:rPr>
                <w:rFonts w:ascii="Calibri" w:eastAsia="Calibri" w:hAnsi="Calibri" w:cs="Calibri"/>
                <w:sz w:val="22"/>
                <w:szCs w:val="22"/>
              </w:rPr>
              <w:t>5 662,80 Kč</w:t>
            </w:r>
          </w:p>
        </w:tc>
      </w:tr>
      <w:tr w:rsidR="00377F91">
        <w:trPr>
          <w:trHeight w:hRule="exact" w:val="552"/>
          <w:jc w:val="center"/>
        </w:trPr>
        <w:tc>
          <w:tcPr>
            <w:tcW w:w="4123" w:type="dxa"/>
            <w:tcBorders>
              <w:top w:val="single" w:sz="4" w:space="0" w:color="auto"/>
              <w:left w:val="single" w:sz="4" w:space="0" w:color="auto"/>
            </w:tcBorders>
            <w:shd w:val="clear" w:color="auto" w:fill="FFFFFF"/>
            <w:vAlign w:val="bottom"/>
          </w:tcPr>
          <w:p w:rsidR="00377F91" w:rsidRDefault="00CE39A7">
            <w:pPr>
              <w:pStyle w:val="Jin0"/>
              <w:shd w:val="clear" w:color="auto" w:fill="auto"/>
              <w:spacing w:after="0" w:line="240" w:lineRule="auto"/>
              <w:rPr>
                <w:sz w:val="22"/>
                <w:szCs w:val="22"/>
              </w:rPr>
            </w:pPr>
            <w:r>
              <w:rPr>
                <w:rFonts w:ascii="Calibri" w:eastAsia="Calibri" w:hAnsi="Calibri" w:cs="Calibri"/>
                <w:sz w:val="22"/>
                <w:szCs w:val="22"/>
              </w:rPr>
              <w:t>pořizováno pro kmenové zaměstnance AOPK ČR a financovány z rozpočtu AOPK ČR.</w:t>
            </w:r>
          </w:p>
        </w:tc>
        <w:tc>
          <w:tcPr>
            <w:tcW w:w="854"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28</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380"/>
              <w:rPr>
                <w:sz w:val="22"/>
                <w:szCs w:val="22"/>
              </w:rPr>
            </w:pPr>
            <w:r>
              <w:rPr>
                <w:rFonts w:ascii="Calibri" w:eastAsia="Calibri" w:hAnsi="Calibri" w:cs="Calibri"/>
                <w:sz w:val="22"/>
                <w:szCs w:val="22"/>
              </w:rPr>
              <w:t>2 340,00 Kč</w:t>
            </w:r>
          </w:p>
        </w:tc>
        <w:tc>
          <w:tcPr>
            <w:tcW w:w="71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21</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440"/>
              <w:rPr>
                <w:sz w:val="22"/>
                <w:szCs w:val="22"/>
              </w:rPr>
            </w:pPr>
            <w:r>
              <w:rPr>
                <w:rFonts w:ascii="Calibri" w:eastAsia="Calibri" w:hAnsi="Calibri" w:cs="Calibri"/>
                <w:sz w:val="22"/>
                <w:szCs w:val="22"/>
              </w:rPr>
              <w:t>2 831,40 Kč</w:t>
            </w:r>
          </w:p>
        </w:tc>
        <w:tc>
          <w:tcPr>
            <w:tcW w:w="1560"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65 520,00 Kč</w:t>
            </w:r>
          </w:p>
        </w:tc>
        <w:tc>
          <w:tcPr>
            <w:tcW w:w="1555" w:type="dxa"/>
            <w:tcBorders>
              <w:top w:val="single" w:sz="4" w:space="0" w:color="auto"/>
              <w:left w:val="single" w:sz="4" w:space="0" w:color="auto"/>
            </w:tcBorders>
            <w:shd w:val="clear" w:color="auto" w:fill="FFFFFF"/>
            <w:vAlign w:val="center"/>
          </w:tcPr>
          <w:p w:rsidR="00377F91" w:rsidRDefault="00CE39A7">
            <w:pPr>
              <w:pStyle w:val="Jin0"/>
              <w:shd w:val="clear" w:color="auto" w:fill="auto"/>
              <w:spacing w:after="0" w:line="240" w:lineRule="auto"/>
              <w:ind w:firstLine="320"/>
              <w:rPr>
                <w:sz w:val="22"/>
                <w:szCs w:val="22"/>
              </w:rPr>
            </w:pPr>
            <w:r>
              <w:rPr>
                <w:rFonts w:ascii="Calibri" w:eastAsia="Calibri" w:hAnsi="Calibri" w:cs="Calibri"/>
                <w:sz w:val="22"/>
                <w:szCs w:val="22"/>
              </w:rPr>
              <w:t>13 759,20 Kč</w:t>
            </w:r>
          </w:p>
        </w:tc>
        <w:tc>
          <w:tcPr>
            <w:tcW w:w="1718" w:type="dxa"/>
            <w:tcBorders>
              <w:top w:val="single" w:sz="4" w:space="0" w:color="auto"/>
              <w:left w:val="single" w:sz="4" w:space="0" w:color="auto"/>
              <w:right w:val="single" w:sz="4" w:space="0" w:color="auto"/>
            </w:tcBorders>
            <w:shd w:val="clear" w:color="auto" w:fill="FFFFFF"/>
            <w:vAlign w:val="center"/>
          </w:tcPr>
          <w:p w:rsidR="00377F91" w:rsidRDefault="00CE39A7">
            <w:pPr>
              <w:pStyle w:val="Jin0"/>
              <w:shd w:val="clear" w:color="auto" w:fill="auto"/>
              <w:spacing w:after="0" w:line="240" w:lineRule="auto"/>
              <w:jc w:val="right"/>
              <w:rPr>
                <w:sz w:val="22"/>
                <w:szCs w:val="22"/>
              </w:rPr>
            </w:pPr>
            <w:r>
              <w:rPr>
                <w:rFonts w:ascii="Calibri" w:eastAsia="Calibri" w:hAnsi="Calibri" w:cs="Calibri"/>
                <w:sz w:val="22"/>
                <w:szCs w:val="22"/>
              </w:rPr>
              <w:t>79 279,20 Kč</w:t>
            </w:r>
          </w:p>
        </w:tc>
      </w:tr>
      <w:tr w:rsidR="00377F91">
        <w:trPr>
          <w:trHeight w:hRule="exact" w:val="302"/>
          <w:jc w:val="center"/>
        </w:trPr>
        <w:tc>
          <w:tcPr>
            <w:tcW w:w="4123" w:type="dxa"/>
            <w:tcBorders>
              <w:top w:val="single" w:sz="4" w:space="0" w:color="auto"/>
              <w:left w:val="single" w:sz="4" w:space="0" w:color="auto"/>
              <w:bottom w:val="single" w:sz="4" w:space="0" w:color="auto"/>
            </w:tcBorders>
            <w:shd w:val="clear" w:color="auto" w:fill="FFFFFF"/>
            <w:vAlign w:val="bottom"/>
          </w:tcPr>
          <w:p w:rsidR="00377F91" w:rsidRDefault="00CE39A7">
            <w:pPr>
              <w:pStyle w:val="Jin0"/>
              <w:shd w:val="clear" w:color="auto" w:fill="auto"/>
              <w:spacing w:after="0" w:line="240" w:lineRule="auto"/>
              <w:rPr>
                <w:sz w:val="22"/>
                <w:szCs w:val="22"/>
              </w:rPr>
            </w:pPr>
            <w:r>
              <w:rPr>
                <w:rFonts w:ascii="Calibri" w:eastAsia="Calibri" w:hAnsi="Calibri" w:cs="Calibri"/>
                <w:b/>
                <w:bCs/>
                <w:color w:val="FF0000"/>
                <w:sz w:val="22"/>
                <w:szCs w:val="22"/>
              </w:rPr>
              <w:t>CELKEM</w:t>
            </w:r>
          </w:p>
        </w:tc>
        <w:tc>
          <w:tcPr>
            <w:tcW w:w="854" w:type="dxa"/>
            <w:tcBorders>
              <w:top w:val="single" w:sz="4" w:space="0" w:color="auto"/>
              <w:left w:val="single" w:sz="4" w:space="0" w:color="auto"/>
              <w:bottom w:val="single" w:sz="4" w:space="0" w:color="auto"/>
            </w:tcBorders>
            <w:shd w:val="clear" w:color="auto" w:fill="FFFFFF"/>
            <w:vAlign w:val="bottom"/>
          </w:tcPr>
          <w:p w:rsidR="00377F91" w:rsidRDefault="00CE39A7">
            <w:pPr>
              <w:pStyle w:val="Jin0"/>
              <w:shd w:val="clear" w:color="auto" w:fill="auto"/>
              <w:spacing w:after="0" w:line="240" w:lineRule="auto"/>
              <w:ind w:firstLine="540"/>
              <w:rPr>
                <w:sz w:val="22"/>
                <w:szCs w:val="22"/>
              </w:rPr>
            </w:pPr>
            <w:r>
              <w:rPr>
                <w:rFonts w:ascii="Calibri" w:eastAsia="Calibri" w:hAnsi="Calibri" w:cs="Calibri"/>
                <w:b/>
                <w:bCs/>
                <w:color w:val="FF0000"/>
                <w:sz w:val="22"/>
                <w:szCs w:val="22"/>
              </w:rPr>
              <w:t>65</w:t>
            </w:r>
          </w:p>
        </w:tc>
        <w:tc>
          <w:tcPr>
            <w:tcW w:w="1555" w:type="dxa"/>
            <w:tcBorders>
              <w:top w:val="single" w:sz="4" w:space="0" w:color="auto"/>
              <w:left w:val="single" w:sz="4" w:space="0" w:color="auto"/>
              <w:bottom w:val="single" w:sz="4" w:space="0" w:color="auto"/>
            </w:tcBorders>
            <w:shd w:val="clear" w:color="auto" w:fill="FFFFFF"/>
          </w:tcPr>
          <w:p w:rsidR="00377F91" w:rsidRDefault="00377F91">
            <w:pPr>
              <w:rPr>
                <w:sz w:val="10"/>
                <w:szCs w:val="10"/>
              </w:rPr>
            </w:pPr>
          </w:p>
        </w:tc>
        <w:tc>
          <w:tcPr>
            <w:tcW w:w="710" w:type="dxa"/>
            <w:tcBorders>
              <w:top w:val="single" w:sz="4" w:space="0" w:color="auto"/>
              <w:left w:val="single" w:sz="4" w:space="0" w:color="auto"/>
              <w:bottom w:val="single" w:sz="4" w:space="0" w:color="auto"/>
            </w:tcBorders>
            <w:shd w:val="clear" w:color="auto" w:fill="FFFFFF"/>
          </w:tcPr>
          <w:p w:rsidR="00377F91" w:rsidRDefault="00377F91">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377F91" w:rsidRDefault="00377F91">
            <w:pPr>
              <w:rPr>
                <w:sz w:val="10"/>
                <w:szCs w:val="10"/>
              </w:rPr>
            </w:pPr>
          </w:p>
        </w:tc>
        <w:tc>
          <w:tcPr>
            <w:tcW w:w="1560" w:type="dxa"/>
            <w:tcBorders>
              <w:top w:val="single" w:sz="4" w:space="0" w:color="auto"/>
              <w:left w:val="single" w:sz="4" w:space="0" w:color="auto"/>
              <w:bottom w:val="single" w:sz="4" w:space="0" w:color="auto"/>
            </w:tcBorders>
            <w:shd w:val="clear" w:color="auto" w:fill="FFFFFF"/>
            <w:vAlign w:val="bottom"/>
          </w:tcPr>
          <w:p w:rsidR="00377F91" w:rsidRDefault="00CE39A7">
            <w:pPr>
              <w:pStyle w:val="Jin0"/>
              <w:shd w:val="clear" w:color="auto" w:fill="auto"/>
              <w:spacing w:after="0" w:line="240" w:lineRule="auto"/>
              <w:jc w:val="right"/>
              <w:rPr>
                <w:sz w:val="22"/>
                <w:szCs w:val="22"/>
              </w:rPr>
            </w:pPr>
            <w:r>
              <w:rPr>
                <w:rFonts w:ascii="Calibri" w:eastAsia="Calibri" w:hAnsi="Calibri" w:cs="Calibri"/>
                <w:b/>
                <w:bCs/>
                <w:color w:val="FF0000"/>
                <w:sz w:val="22"/>
                <w:szCs w:val="22"/>
              </w:rPr>
              <w:t>152 100,00 Kč</w:t>
            </w:r>
          </w:p>
        </w:tc>
        <w:tc>
          <w:tcPr>
            <w:tcW w:w="1555" w:type="dxa"/>
            <w:tcBorders>
              <w:top w:val="single" w:sz="4" w:space="0" w:color="auto"/>
              <w:left w:val="single" w:sz="4" w:space="0" w:color="auto"/>
              <w:bottom w:val="single" w:sz="4" w:space="0" w:color="auto"/>
            </w:tcBorders>
            <w:shd w:val="clear" w:color="auto" w:fill="FFFFFF"/>
            <w:vAlign w:val="bottom"/>
          </w:tcPr>
          <w:p w:rsidR="00377F91" w:rsidRDefault="00CE39A7">
            <w:pPr>
              <w:pStyle w:val="Jin0"/>
              <w:shd w:val="clear" w:color="auto" w:fill="auto"/>
              <w:spacing w:after="0" w:line="240" w:lineRule="auto"/>
              <w:ind w:firstLine="320"/>
              <w:rPr>
                <w:sz w:val="22"/>
                <w:szCs w:val="22"/>
              </w:rPr>
            </w:pPr>
            <w:r>
              <w:rPr>
                <w:rFonts w:ascii="Calibri" w:eastAsia="Calibri" w:hAnsi="Calibri" w:cs="Calibri"/>
                <w:b/>
                <w:bCs/>
                <w:color w:val="FF0000"/>
                <w:sz w:val="22"/>
                <w:szCs w:val="22"/>
              </w:rPr>
              <w:t>31 941,00 Kč</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rsidR="00377F91" w:rsidRDefault="00CE39A7">
            <w:pPr>
              <w:pStyle w:val="Jin0"/>
              <w:shd w:val="clear" w:color="auto" w:fill="auto"/>
              <w:spacing w:after="0" w:line="240" w:lineRule="auto"/>
              <w:jc w:val="right"/>
              <w:rPr>
                <w:sz w:val="22"/>
                <w:szCs w:val="22"/>
              </w:rPr>
            </w:pPr>
            <w:r>
              <w:rPr>
                <w:rFonts w:ascii="Calibri" w:eastAsia="Calibri" w:hAnsi="Calibri" w:cs="Calibri"/>
                <w:b/>
                <w:bCs/>
                <w:color w:val="FF0000"/>
                <w:sz w:val="22"/>
                <w:szCs w:val="22"/>
              </w:rPr>
              <w:t>184 041,00 Kč</w:t>
            </w:r>
          </w:p>
        </w:tc>
      </w:tr>
    </w:tbl>
    <w:p w:rsidR="00CE39A7" w:rsidRDefault="00CE39A7"/>
    <w:sectPr w:rsidR="00CE39A7">
      <w:footerReference w:type="default" r:id="rId12"/>
      <w:pgSz w:w="16840" w:h="11900" w:orient="landscape"/>
      <w:pgMar w:top="690" w:right="1800" w:bottom="690" w:left="1402" w:header="262" w:footer="26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70" w:rsidRDefault="004C5070">
      <w:r>
        <w:separator/>
      </w:r>
    </w:p>
  </w:endnote>
  <w:endnote w:type="continuationSeparator" w:id="0">
    <w:p w:rsidR="004C5070" w:rsidRDefault="004C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91" w:rsidRDefault="00CE39A7">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3688080</wp:posOffset>
              </wp:positionH>
              <wp:positionV relativeFrom="page">
                <wp:posOffset>9991725</wp:posOffset>
              </wp:positionV>
              <wp:extent cx="21971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77F91" w:rsidRDefault="00CE39A7">
                          <w:pPr>
                            <w:pStyle w:val="Zhlavnebozpat20"/>
                            <w:shd w:val="clear" w:color="auto" w:fill="auto"/>
                            <w:rPr>
                              <w:sz w:val="18"/>
                              <w:szCs w:val="18"/>
                            </w:rPr>
                          </w:pPr>
                          <w:r>
                            <w:fldChar w:fldCharType="begin"/>
                          </w:r>
                          <w:r>
                            <w:instrText xml:space="preserve"> PAGE \* MERGEFORMAT </w:instrText>
                          </w:r>
                          <w:r>
                            <w:fldChar w:fldCharType="separate"/>
                          </w:r>
                          <w:r w:rsidR="004601BF" w:rsidRPr="004601BF">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0.4pt;margin-top:786.75pt;width:17.3pt;height:8.4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" filled="f" stroked="f">
              <v:textbox style="mso-fit-shape-to-text:t" inset="0,0,0,0">
                <w:txbxContent>
                  <w:p w:rsidR="00377F91" w:rsidRDefault="00CE39A7">
                    <w:pPr>
                      <w:pStyle w:val="Zhlavnebozpat20"/>
                      <w:shd w:val="clear" w:color="auto" w:fill="auto"/>
                      <w:rPr>
                        <w:sz w:val="18"/>
                        <w:szCs w:val="18"/>
                      </w:rPr>
                    </w:pPr>
                    <w:r>
                      <w:fldChar w:fldCharType="begin"/>
                    </w:r>
                    <w:r>
                      <w:instrText xml:space="preserve"> PAGE \* MERGEFORMAT </w:instrText>
                    </w:r>
                    <w:r>
                      <w:fldChar w:fldCharType="separate"/>
                    </w:r>
                    <w:r w:rsidR="004601BF" w:rsidRPr="004601BF">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91" w:rsidRDefault="00377F9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91" w:rsidRDefault="00377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70" w:rsidRDefault="004C5070"/>
  </w:footnote>
  <w:footnote w:type="continuationSeparator" w:id="0">
    <w:p w:rsidR="004C5070" w:rsidRDefault="004C50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3E29"/>
    <w:multiLevelType w:val="multilevel"/>
    <w:tmpl w:val="ED7C37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19086D"/>
    <w:multiLevelType w:val="multilevel"/>
    <w:tmpl w:val="F6048A3A"/>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77F91"/>
    <w:rsid w:val="000263E7"/>
    <w:rsid w:val="00377F91"/>
    <w:rsid w:val="004601BF"/>
    <w:rsid w:val="004C5070"/>
    <w:rsid w:val="00CE3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20" w:line="271"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30">
    <w:name w:val="Nadpis #3"/>
    <w:basedOn w:val="Normln"/>
    <w:link w:val="Nadpis3"/>
    <w:pPr>
      <w:shd w:val="clear" w:color="auto" w:fill="FFFFFF"/>
      <w:spacing w:after="360" w:line="271" w:lineRule="auto"/>
      <w:jc w:val="center"/>
      <w:outlineLvl w:val="2"/>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20" w:line="271"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20" w:line="271"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30">
    <w:name w:val="Nadpis #3"/>
    <w:basedOn w:val="Normln"/>
    <w:link w:val="Nadpis3"/>
    <w:pPr>
      <w:shd w:val="clear" w:color="auto" w:fill="FFFFFF"/>
      <w:spacing w:after="360" w:line="271" w:lineRule="auto"/>
      <w:jc w:val="center"/>
      <w:outlineLvl w:val="2"/>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20" w:line="271"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businesscom.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7606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Ivana Kohoutová</cp:lastModifiedBy>
  <cp:revision>3</cp:revision>
  <dcterms:created xsi:type="dcterms:W3CDTF">2020-12-09T07:37:00Z</dcterms:created>
  <dcterms:modified xsi:type="dcterms:W3CDTF">2020-12-09T10:26:00Z</dcterms:modified>
</cp:coreProperties>
</file>