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3830796C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>RÁMCOV</w:t>
      </w:r>
      <w:r w:rsidR="00AF63BA">
        <w:rPr>
          <w:rFonts w:asciiTheme="minorHAnsi" w:hAnsiTheme="minorHAnsi" w:cs="Arial"/>
          <w:b/>
          <w:sz w:val="44"/>
          <w:szCs w:val="44"/>
        </w:rPr>
        <w:t>Á</w:t>
      </w:r>
      <w:r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3358AA">
        <w:rPr>
          <w:rFonts w:asciiTheme="minorHAnsi" w:hAnsiTheme="minorHAnsi" w:cs="Arial"/>
          <w:b/>
          <w:sz w:val="44"/>
          <w:szCs w:val="44"/>
        </w:rPr>
        <w:t>DOHODY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34CFB79" w:rsidR="00BB47C7" w:rsidRPr="00BB47C7" w:rsidRDefault="00BB47C7" w:rsidP="007D0FCD">
      <w:pPr>
        <w:pStyle w:val="Nadpis2"/>
        <w:numPr>
          <w:ilvl w:val="0"/>
          <w:numId w:val="0"/>
        </w:numPr>
        <w:tabs>
          <w:tab w:val="left" w:pos="326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5B5809FA" w:rsidR="00BB47C7" w:rsidRPr="00BB47C7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2C2A6C75" w:rsidR="00BB47C7" w:rsidRPr="00BB47C7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728F993F" w:rsidR="00BB47C7" w:rsidRPr="00BB47C7" w:rsidRDefault="00D8665E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64E8C3EB" w:rsidR="00BB47C7" w:rsidRPr="00D8665E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5059C" w:rsidRPr="0025059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</w:t>
      </w:r>
      <w:proofErr w:type="gramStart"/>
      <w:r w:rsidR="0025059C" w:rsidRPr="0025059C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Default="00D305EF" w:rsidP="007D0FCD">
      <w:pPr>
        <w:tabs>
          <w:tab w:val="left" w:pos="3261"/>
        </w:tabs>
      </w:pPr>
    </w:p>
    <w:p w14:paraId="63162A54" w14:textId="2F9014D2" w:rsidR="00D8665E" w:rsidRPr="00D8665E" w:rsidRDefault="00D8665E" w:rsidP="007D0FCD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7D0FCD">
      <w:pPr>
        <w:tabs>
          <w:tab w:val="left" w:pos="3261"/>
        </w:tabs>
      </w:pPr>
    </w:p>
    <w:p w14:paraId="3DB39F6B" w14:textId="6D45F920" w:rsidR="004B2C3B" w:rsidRPr="00AF63BA" w:rsidRDefault="00BB47C7" w:rsidP="007D0FCD">
      <w:pPr>
        <w:pStyle w:val="Nadpis2"/>
        <w:numPr>
          <w:ilvl w:val="0"/>
          <w:numId w:val="0"/>
        </w:num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F63BA">
        <w:rPr>
          <w:rFonts w:asciiTheme="minorHAnsi" w:hAnsiTheme="minorHAnsi" w:cstheme="minorHAnsi"/>
          <w:b/>
          <w:sz w:val="22"/>
          <w:szCs w:val="22"/>
        </w:rPr>
        <w:t>Prodávající:</w:t>
      </w:r>
      <w:r w:rsidR="007D0FCD" w:rsidRPr="00AF63BA">
        <w:rPr>
          <w:rFonts w:asciiTheme="minorHAnsi" w:hAnsiTheme="minorHAnsi" w:cstheme="minorHAnsi"/>
          <w:b/>
          <w:sz w:val="22"/>
          <w:szCs w:val="22"/>
        </w:rPr>
        <w:tab/>
      </w:r>
      <w:r w:rsidR="00AF63BA" w:rsidRPr="00AF63BA">
        <w:rPr>
          <w:rFonts w:asciiTheme="minorHAnsi" w:hAnsiTheme="minorHAnsi" w:cstheme="minorHAnsi"/>
          <w:b/>
          <w:sz w:val="22"/>
          <w:szCs w:val="22"/>
        </w:rPr>
        <w:t>TOPSOFT JKM spol. s r.o.</w:t>
      </w:r>
    </w:p>
    <w:p w14:paraId="2EF7A3D7" w14:textId="1E409CBB" w:rsidR="00BB47C7" w:rsidRPr="00AF63BA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BA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D0FCD" w:rsidRPr="00AF63BA">
        <w:rPr>
          <w:rFonts w:asciiTheme="minorHAnsi" w:hAnsiTheme="minorHAnsi" w:cstheme="minorHAnsi"/>
          <w:sz w:val="22"/>
          <w:szCs w:val="22"/>
        </w:rPr>
        <w:tab/>
      </w:r>
      <w:r w:rsidR="00AF63BA" w:rsidRPr="00AF63BA">
        <w:rPr>
          <w:rFonts w:asciiTheme="minorHAnsi" w:hAnsiTheme="minorHAnsi" w:cstheme="minorHAnsi"/>
          <w:sz w:val="22"/>
          <w:szCs w:val="22"/>
        </w:rPr>
        <w:t>Jungmannova 1029, Roudnice nad Labem, 413 01</w:t>
      </w:r>
    </w:p>
    <w:p w14:paraId="6D552C05" w14:textId="3EADCF93" w:rsidR="00BB47C7" w:rsidRPr="00AF63BA" w:rsidRDefault="00D8665E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BA">
        <w:rPr>
          <w:rFonts w:asciiTheme="minorHAnsi" w:hAnsiTheme="minorHAnsi" w:cstheme="minorHAnsi"/>
          <w:sz w:val="22"/>
          <w:szCs w:val="22"/>
        </w:rPr>
        <w:t>Zapsaný v OR:</w:t>
      </w:r>
      <w:r w:rsidR="007D0FCD" w:rsidRPr="00AF63BA">
        <w:rPr>
          <w:rFonts w:asciiTheme="minorHAnsi" w:hAnsiTheme="minorHAnsi" w:cstheme="minorHAnsi"/>
          <w:sz w:val="22"/>
          <w:szCs w:val="22"/>
        </w:rPr>
        <w:tab/>
      </w:r>
      <w:r w:rsidR="00AF63BA" w:rsidRPr="00AF63BA">
        <w:rPr>
          <w:rFonts w:asciiTheme="minorHAnsi" w:hAnsiTheme="minorHAnsi" w:cstheme="minorHAnsi"/>
          <w:sz w:val="22"/>
          <w:szCs w:val="22"/>
        </w:rPr>
        <w:t>KS v Ústí nad Labem, vložka C15532</w:t>
      </w:r>
    </w:p>
    <w:p w14:paraId="7786AF81" w14:textId="1F8EC1E4" w:rsidR="00BB47C7" w:rsidRPr="00AF63BA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BA">
        <w:rPr>
          <w:rFonts w:asciiTheme="minorHAnsi" w:hAnsiTheme="minorHAnsi" w:cstheme="minorHAnsi"/>
          <w:sz w:val="22"/>
          <w:szCs w:val="22"/>
        </w:rPr>
        <w:t>IČO:</w:t>
      </w:r>
      <w:r w:rsidR="007D0FCD" w:rsidRPr="00AF63BA">
        <w:rPr>
          <w:rFonts w:asciiTheme="minorHAnsi" w:hAnsiTheme="minorHAnsi" w:cstheme="minorHAnsi"/>
          <w:sz w:val="22"/>
          <w:szCs w:val="22"/>
        </w:rPr>
        <w:tab/>
      </w:r>
      <w:r w:rsidR="00AF63BA" w:rsidRPr="00AF63BA">
        <w:rPr>
          <w:rFonts w:asciiTheme="minorHAnsi" w:hAnsiTheme="minorHAnsi" w:cstheme="minorHAnsi"/>
          <w:sz w:val="22"/>
          <w:szCs w:val="22"/>
        </w:rPr>
        <w:t>25403435</w:t>
      </w:r>
    </w:p>
    <w:p w14:paraId="0507D317" w14:textId="196F8A33" w:rsidR="00BB47C7" w:rsidRPr="00AF63BA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BA">
        <w:rPr>
          <w:rFonts w:asciiTheme="minorHAnsi" w:hAnsiTheme="minorHAnsi" w:cstheme="minorHAnsi"/>
          <w:sz w:val="22"/>
          <w:szCs w:val="22"/>
        </w:rPr>
        <w:t>Zastoupený:</w:t>
      </w:r>
      <w:r w:rsidR="007D0FCD" w:rsidRPr="00AF63BA">
        <w:rPr>
          <w:rFonts w:asciiTheme="minorHAnsi" w:hAnsiTheme="minorHAnsi" w:cstheme="minorHAnsi"/>
          <w:sz w:val="22"/>
          <w:szCs w:val="22"/>
        </w:rPr>
        <w:tab/>
      </w:r>
      <w:r w:rsidR="0025059C" w:rsidRPr="0025059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</w:t>
      </w:r>
      <w:proofErr w:type="gramStart"/>
      <w:r w:rsidR="0025059C" w:rsidRPr="0025059C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839CA23" w14:textId="3B49C6FF" w:rsidR="00BB47C7" w:rsidRPr="00AF63BA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BA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AF63BA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AF63BA">
        <w:rPr>
          <w:rFonts w:asciiTheme="minorHAnsi" w:hAnsiTheme="minorHAnsi" w:cstheme="minorHAnsi"/>
          <w:sz w:val="22"/>
          <w:szCs w:val="22"/>
        </w:rPr>
        <w:t xml:space="preserve">osoba: </w:t>
      </w:r>
      <w:r w:rsidR="007D0FCD" w:rsidRPr="00AF63BA">
        <w:rPr>
          <w:rFonts w:asciiTheme="minorHAnsi" w:hAnsiTheme="minorHAnsi" w:cstheme="minorHAnsi"/>
          <w:sz w:val="22"/>
          <w:szCs w:val="22"/>
        </w:rPr>
        <w:tab/>
      </w:r>
      <w:r w:rsidR="0025059C" w:rsidRPr="0025059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</w:t>
      </w:r>
    </w:p>
    <w:p w14:paraId="7C0C5DB4" w14:textId="4E8BD540" w:rsidR="00BB47C7" w:rsidRPr="00AF63BA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BA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7D0FCD" w:rsidRPr="00AF63BA">
        <w:rPr>
          <w:rFonts w:asciiTheme="minorHAnsi" w:hAnsiTheme="minorHAnsi" w:cstheme="minorHAnsi"/>
          <w:sz w:val="22"/>
          <w:szCs w:val="22"/>
        </w:rPr>
        <w:tab/>
      </w:r>
      <w:r w:rsidR="0025059C" w:rsidRPr="0025059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………………………………………………………………………………………………….</w:t>
      </w:r>
    </w:p>
    <w:p w14:paraId="0173BD0D" w14:textId="6275CDB6" w:rsidR="00BB47C7" w:rsidRPr="00AF63BA" w:rsidRDefault="00BB47C7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BA">
        <w:rPr>
          <w:rFonts w:asciiTheme="minorHAnsi" w:hAnsiTheme="minorHAnsi" w:cstheme="minorHAnsi"/>
          <w:sz w:val="22"/>
          <w:szCs w:val="22"/>
        </w:rPr>
        <w:t xml:space="preserve">Banka: </w:t>
      </w:r>
      <w:r w:rsidR="007D0FCD" w:rsidRPr="00AF63BA">
        <w:rPr>
          <w:rFonts w:asciiTheme="minorHAnsi" w:hAnsiTheme="minorHAnsi" w:cstheme="minorHAnsi"/>
          <w:sz w:val="22"/>
          <w:szCs w:val="22"/>
        </w:rPr>
        <w:tab/>
      </w:r>
      <w:r w:rsidR="00AF63BA" w:rsidRPr="00AF63BA">
        <w:rPr>
          <w:rFonts w:asciiTheme="minorHAnsi" w:hAnsiTheme="minorHAnsi" w:cstheme="minorHAnsi"/>
          <w:sz w:val="22"/>
          <w:szCs w:val="22"/>
        </w:rPr>
        <w:t>Komerční banka a.s.</w:t>
      </w:r>
    </w:p>
    <w:p w14:paraId="28FABBA8" w14:textId="730A1FF2" w:rsidR="00017482" w:rsidRPr="00AF63BA" w:rsidRDefault="00D8665E" w:rsidP="007D0FCD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BA">
        <w:rPr>
          <w:rFonts w:asciiTheme="minorHAnsi" w:hAnsiTheme="minorHAnsi" w:cstheme="minorHAnsi"/>
          <w:sz w:val="22"/>
          <w:szCs w:val="22"/>
        </w:rPr>
        <w:t>Číslo účtu:</w:t>
      </w:r>
      <w:r w:rsidR="007D0FCD" w:rsidRPr="00AF63BA">
        <w:rPr>
          <w:rFonts w:asciiTheme="minorHAnsi" w:hAnsiTheme="minorHAnsi" w:cstheme="minorHAnsi"/>
          <w:sz w:val="22"/>
          <w:szCs w:val="22"/>
        </w:rPr>
        <w:tab/>
      </w:r>
      <w:r w:rsidR="0025059C" w:rsidRPr="0025059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54F660BC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podlimitní veřejné zakázky pod názvem „</w:t>
      </w:r>
      <w:r w:rsidR="007D0FCD">
        <w:rPr>
          <w:rFonts w:asciiTheme="minorHAnsi" w:hAnsiTheme="minorHAnsi" w:cstheme="minorHAnsi"/>
          <w:sz w:val="22"/>
          <w:szCs w:val="22"/>
        </w:rPr>
        <w:t>ICT</w:t>
      </w:r>
      <w:r w:rsidR="00AF63BA">
        <w:rPr>
          <w:rFonts w:asciiTheme="minorHAnsi" w:hAnsiTheme="minorHAnsi" w:cstheme="minorHAnsi"/>
          <w:sz w:val="22"/>
          <w:szCs w:val="22"/>
        </w:rPr>
        <w:t> </w:t>
      </w:r>
      <w:r w:rsidR="007D0FCD">
        <w:rPr>
          <w:rFonts w:asciiTheme="minorHAnsi" w:hAnsiTheme="minorHAnsi" w:cstheme="minorHAnsi"/>
          <w:sz w:val="22"/>
          <w:szCs w:val="22"/>
        </w:rPr>
        <w:t>pro Plzeňský kraj 2021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033ACAB5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924B94" w:rsidRPr="008A4888">
        <w:rPr>
          <w:rFonts w:asciiTheme="minorHAnsi" w:hAnsiTheme="minorHAnsi" w:cstheme="minorHAnsi"/>
          <w:sz w:val="22"/>
          <w:szCs w:val="22"/>
        </w:rPr>
        <w:t>uvedeni v příloze č. 5 Zadávací</w:t>
      </w:r>
      <w:r w:rsidR="00924B94">
        <w:rPr>
          <w:rFonts w:asciiTheme="minorHAnsi" w:hAnsiTheme="minorHAnsi" w:cstheme="minorHAnsi"/>
          <w:sz w:val="22"/>
          <w:szCs w:val="22"/>
        </w:rPr>
        <w:t xml:space="preserve">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6643089F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7D0FCD">
        <w:rPr>
          <w:rFonts w:asciiTheme="minorHAnsi" w:hAnsiTheme="minorHAnsi" w:cstheme="minorHAnsi"/>
          <w:sz w:val="22"/>
          <w:szCs w:val="22"/>
        </w:rPr>
        <w:t>výpočetní techniky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96E9B3B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924D51">
        <w:rPr>
          <w:rFonts w:asciiTheme="minorHAnsi" w:hAnsiTheme="minorHAnsi" w:cstheme="minorHAnsi"/>
          <w:sz w:val="22"/>
          <w:szCs w:val="22"/>
        </w:rPr>
        <w:t>1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(</w:t>
      </w:r>
      <w:r w:rsidR="007D0FCD">
        <w:rPr>
          <w:rFonts w:asciiTheme="minorHAnsi" w:hAnsiTheme="minorHAnsi" w:cstheme="minorHAnsi"/>
          <w:sz w:val="22"/>
          <w:szCs w:val="22"/>
        </w:rPr>
        <w:t>Technická specifikace</w:t>
      </w:r>
      <w:r w:rsidR="006C0B8B" w:rsidRPr="00B67DEE">
        <w:rPr>
          <w:rFonts w:asciiTheme="minorHAnsi" w:hAnsiTheme="minorHAnsi" w:cstheme="minorHAnsi"/>
          <w:sz w:val="22"/>
          <w:szCs w:val="22"/>
        </w:rPr>
        <w:t>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49402117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</w:t>
      </w:r>
      <w:r w:rsidR="00AF63B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9B81BC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 xml:space="preserve">ena do 31. 12. 2021.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F9A465A" w:rsidR="0093565A" w:rsidRPr="006E7307" w:rsidRDefault="0093565A" w:rsidP="0078031F">
      <w:pPr>
        <w:pStyle w:val="Nadpis2"/>
        <w:rPr>
          <w:sz w:val="22"/>
          <w:szCs w:val="22"/>
        </w:rPr>
      </w:pPr>
      <w:r w:rsidRPr="00AF63BA">
        <w:rPr>
          <w:sz w:val="22"/>
          <w:szCs w:val="22"/>
        </w:rPr>
        <w:t>Prodávající se zavazuje dodat zboží na základě konkrétní objednávky nejpozději</w:t>
      </w:r>
      <w:r w:rsidR="0093712A" w:rsidRPr="00AF63BA">
        <w:rPr>
          <w:sz w:val="22"/>
          <w:szCs w:val="22"/>
        </w:rPr>
        <w:t xml:space="preserve"> do</w:t>
      </w:r>
      <w:r w:rsidRPr="00AF63BA">
        <w:rPr>
          <w:sz w:val="22"/>
          <w:szCs w:val="22"/>
        </w:rPr>
        <w:t xml:space="preserve"> </w:t>
      </w:r>
      <w:r w:rsidR="00AF63BA" w:rsidRPr="00AF63BA">
        <w:rPr>
          <w:rFonts w:asciiTheme="minorHAnsi" w:hAnsiTheme="minorHAnsi" w:cstheme="minorHAnsi"/>
          <w:b/>
          <w:sz w:val="22"/>
          <w:szCs w:val="22"/>
        </w:rPr>
        <w:t>5</w:t>
      </w:r>
      <w:r w:rsidRPr="00AF63BA">
        <w:rPr>
          <w:b/>
          <w:sz w:val="22"/>
          <w:szCs w:val="22"/>
        </w:rPr>
        <w:t xml:space="preserve"> pracovních dnů</w:t>
      </w:r>
      <w:r w:rsidR="00817373" w:rsidRPr="00AF63BA">
        <w:rPr>
          <w:b/>
          <w:sz w:val="22"/>
          <w:szCs w:val="22"/>
        </w:rPr>
        <w:t xml:space="preserve"> u PC sestav a </w:t>
      </w:r>
      <w:r w:rsidR="00AF63BA" w:rsidRPr="00AF63BA">
        <w:rPr>
          <w:rFonts w:asciiTheme="minorHAnsi" w:hAnsiTheme="minorHAnsi" w:cstheme="minorHAnsi"/>
          <w:b/>
          <w:sz w:val="22"/>
          <w:szCs w:val="22"/>
        </w:rPr>
        <w:t>5</w:t>
      </w:r>
      <w:r w:rsidR="00817373" w:rsidRPr="00AF63BA">
        <w:rPr>
          <w:rFonts w:asciiTheme="minorHAnsi" w:hAnsiTheme="minorHAnsi" w:cstheme="minorHAnsi"/>
          <w:b/>
          <w:sz w:val="22"/>
          <w:szCs w:val="22"/>
        </w:rPr>
        <w:t xml:space="preserve"> pracovních dnů u ostatních položek Přílohy č. </w:t>
      </w:r>
      <w:r w:rsidR="00AF63BA">
        <w:rPr>
          <w:rFonts w:asciiTheme="minorHAnsi" w:hAnsiTheme="minorHAnsi" w:cstheme="minorHAnsi"/>
          <w:b/>
          <w:sz w:val="22"/>
          <w:szCs w:val="22"/>
        </w:rPr>
        <w:t>1</w:t>
      </w:r>
      <w:r w:rsidR="00162927" w:rsidRPr="00AF63BA">
        <w:rPr>
          <w:sz w:val="22"/>
          <w:szCs w:val="22"/>
        </w:rPr>
        <w:t xml:space="preserve"> </w:t>
      </w:r>
      <w:r w:rsidR="00162927">
        <w:rPr>
          <w:sz w:val="22"/>
          <w:szCs w:val="22"/>
        </w:rPr>
        <w:t>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817373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14600C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>ýši žádaného plnění dle čl. X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>výši žádaného plnění dle čl. X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70DA101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5 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AB7AA5B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535E6B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1CF87C96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535E6B">
        <w:rPr>
          <w:rFonts w:asciiTheme="minorHAnsi" w:hAnsiTheme="minorHAnsi"/>
          <w:b/>
          <w:sz w:val="22"/>
          <w:szCs w:val="22"/>
        </w:rPr>
        <w:t>5 450 000,-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535E6B">
        <w:rPr>
          <w:rFonts w:asciiTheme="minorHAnsi" w:hAnsiTheme="minorHAnsi"/>
          <w:sz w:val="22"/>
          <w:szCs w:val="22"/>
        </w:rPr>
        <w:t>pětmilionůčtyřistapadesáttisíc</w:t>
      </w:r>
      <w:proofErr w:type="spellEnd"/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2968A18E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</w:t>
      </w:r>
      <w:r w:rsidRPr="00535E6B">
        <w:rPr>
          <w:rFonts w:asciiTheme="minorHAnsi" w:hAnsiTheme="minorHAnsi"/>
          <w:b/>
          <w:sz w:val="22"/>
          <w:szCs w:val="22"/>
        </w:rPr>
        <w:t>24 měsíců</w:t>
      </w:r>
      <w:r w:rsidR="00535E6B" w:rsidRPr="00535E6B">
        <w:rPr>
          <w:rFonts w:asciiTheme="minorHAnsi" w:hAnsiTheme="minorHAnsi"/>
          <w:b/>
          <w:sz w:val="22"/>
          <w:szCs w:val="22"/>
        </w:rPr>
        <w:t xml:space="preserve"> v případě, že není v Příloze č.</w:t>
      </w:r>
      <w:r w:rsidR="00535E6B">
        <w:rPr>
          <w:rFonts w:asciiTheme="minorHAnsi" w:hAnsiTheme="minorHAnsi"/>
          <w:b/>
          <w:sz w:val="22"/>
          <w:szCs w:val="22"/>
        </w:rPr>
        <w:t xml:space="preserve"> </w:t>
      </w:r>
      <w:r w:rsidR="00AF63BA">
        <w:rPr>
          <w:rFonts w:asciiTheme="minorHAnsi" w:hAnsiTheme="minorHAnsi"/>
          <w:b/>
          <w:sz w:val="22"/>
          <w:szCs w:val="22"/>
        </w:rPr>
        <w:t>1</w:t>
      </w:r>
      <w:r w:rsidR="00535E6B" w:rsidRPr="00535E6B">
        <w:rPr>
          <w:rFonts w:asciiTheme="minorHAnsi" w:hAnsiTheme="minorHAnsi"/>
          <w:b/>
          <w:sz w:val="22"/>
          <w:szCs w:val="22"/>
        </w:rPr>
        <w:t xml:space="preserve"> uvedeno jinak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lastRenderedPageBreak/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772F0196" w14:textId="77777777" w:rsidR="00B32C96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</w:t>
      </w:r>
    </w:p>
    <w:p w14:paraId="4C827395" w14:textId="026BAF9C" w:rsidR="009E0A19" w:rsidRPr="00B32C96" w:rsidRDefault="00B32C96" w:rsidP="0078031F">
      <w:pPr>
        <w:pStyle w:val="Nadpis2"/>
        <w:rPr>
          <w:rFonts w:asciiTheme="minorHAnsi" w:hAnsiTheme="minorHAnsi"/>
          <w:sz w:val="24"/>
          <w:szCs w:val="22"/>
        </w:rPr>
      </w:pPr>
      <w:r w:rsidRPr="00B32C96">
        <w:rPr>
          <w:sz w:val="22"/>
        </w:rPr>
        <w:t>Kupující je oprávněn uplatnit více smluvních pokut samostatně vedle sebe v případě porušení více povinností</w:t>
      </w:r>
      <w:r>
        <w:rPr>
          <w:sz w:val="22"/>
        </w:rPr>
        <w:t>.</w:t>
      </w:r>
      <w:r w:rsidR="009E0A19" w:rsidRPr="00B32C96">
        <w:rPr>
          <w:rFonts w:asciiTheme="minorHAnsi" w:hAnsiTheme="minorHAnsi"/>
          <w:sz w:val="24"/>
          <w:szCs w:val="22"/>
        </w:rPr>
        <w:t xml:space="preserve">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31B5698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>ohoda nabývá platnosti dnem podpisu obou smluvních stran a účinnost</w:t>
      </w:r>
      <w:r w:rsidR="00D443BE">
        <w:rPr>
          <w:rFonts w:asciiTheme="minorHAnsi" w:hAnsiTheme="minorHAnsi"/>
          <w:sz w:val="22"/>
          <w:szCs w:val="22"/>
        </w:rPr>
        <w:t>i</w:t>
      </w:r>
      <w:r w:rsidRPr="00F75B13">
        <w:rPr>
          <w:rFonts w:asciiTheme="minorHAnsi" w:hAnsiTheme="minorHAnsi"/>
          <w:sz w:val="22"/>
          <w:szCs w:val="22"/>
        </w:rPr>
        <w:t xml:space="preserve"> </w:t>
      </w:r>
      <w:r w:rsidR="00D443BE">
        <w:rPr>
          <w:rFonts w:asciiTheme="minorHAnsi" w:hAnsiTheme="minorHAnsi"/>
          <w:sz w:val="22"/>
          <w:szCs w:val="22"/>
        </w:rPr>
        <w:t>1. 1. 2021</w:t>
      </w:r>
      <w:r w:rsidRPr="00F75B13">
        <w:rPr>
          <w:rFonts w:asciiTheme="minorHAnsi" w:hAnsiTheme="minorHAnsi"/>
          <w:sz w:val="22"/>
          <w:szCs w:val="22"/>
        </w:rPr>
        <w:t>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1573669E" w14:textId="77777777" w:rsidR="00AF63BA" w:rsidRDefault="00AF63B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5117B479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16AC3882" w14:textId="3E4751BE" w:rsidR="00332BAA" w:rsidRPr="007D0FCD" w:rsidRDefault="007D0FCD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  <w:r w:rsidR="00AF63BA">
        <w:rPr>
          <w:rFonts w:asciiTheme="minorHAnsi" w:hAnsiTheme="minorHAnsi" w:cs="Calibri"/>
          <w:sz w:val="22"/>
          <w:szCs w:val="22"/>
        </w:rPr>
        <w:t xml:space="preserve"> a ceny</w:t>
      </w: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535E6B">
        <w:tc>
          <w:tcPr>
            <w:tcW w:w="5573" w:type="dxa"/>
          </w:tcPr>
          <w:p w14:paraId="3A33C916" w14:textId="0F8F2BCE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754A1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2. 12. 2020</w:t>
            </w:r>
          </w:p>
        </w:tc>
        <w:tc>
          <w:tcPr>
            <w:tcW w:w="4631" w:type="dxa"/>
          </w:tcPr>
          <w:p w14:paraId="6FB62F79" w14:textId="663A6020" w:rsidR="002142D6" w:rsidRPr="006E7307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754A1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30. 11. 2020</w:t>
            </w:r>
          </w:p>
        </w:tc>
      </w:tr>
      <w:tr w:rsidR="002142D6" w:rsidRPr="00211C28" w14:paraId="17F1B402" w14:textId="77777777" w:rsidTr="00535E6B">
        <w:tc>
          <w:tcPr>
            <w:tcW w:w="5573" w:type="dxa"/>
          </w:tcPr>
          <w:p w14:paraId="6ADECDF0" w14:textId="77777777" w:rsidR="002142D6" w:rsidRPr="00211C28" w:rsidRDefault="006E7307" w:rsidP="00AF63BA">
            <w:pPr>
              <w:tabs>
                <w:tab w:val="left" w:pos="2325"/>
                <w:tab w:val="center" w:pos="2427"/>
              </w:tabs>
              <w:spacing w:before="15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604FC485" w:rsidR="002142D6" w:rsidRPr="00211C28" w:rsidRDefault="00F100E9" w:rsidP="00AF63BA">
            <w:pPr>
              <w:spacing w:before="15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F100E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</w:t>
            </w:r>
          </w:p>
        </w:tc>
      </w:tr>
      <w:tr w:rsidR="002142D6" w:rsidRPr="00211C28" w14:paraId="637494E9" w14:textId="77777777" w:rsidTr="00AF63BA">
        <w:trPr>
          <w:trHeight w:val="80"/>
        </w:trPr>
        <w:tc>
          <w:tcPr>
            <w:tcW w:w="5573" w:type="dxa"/>
          </w:tcPr>
          <w:p w14:paraId="2E93779C" w14:textId="18AF677D" w:rsidR="004B2C3B" w:rsidRPr="00211C28" w:rsidRDefault="000908AB" w:rsidP="005E6A62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5E6A62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124AFB89" w14:textId="44317258" w:rsidR="004B2C3B" w:rsidRPr="00211C28" w:rsidRDefault="00AF63BA" w:rsidP="005E6A62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29C18076" w:rsidR="00971F5D" w:rsidRPr="0009465D" w:rsidRDefault="00AF63BA" w:rsidP="005E6A62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TOPSOFT JKM spol. s r.o.</w:t>
            </w:r>
          </w:p>
        </w:tc>
      </w:tr>
      <w:tr w:rsidR="00AF63BA" w:rsidRPr="006E7307" w14:paraId="4CD71000" w14:textId="77777777" w:rsidTr="00AF63BA">
        <w:trPr>
          <w:trHeight w:val="80"/>
        </w:trPr>
        <w:tc>
          <w:tcPr>
            <w:tcW w:w="5573" w:type="dxa"/>
          </w:tcPr>
          <w:p w14:paraId="0717F0D0" w14:textId="6E204A0E" w:rsidR="00AF63BA" w:rsidRPr="00AF63BA" w:rsidRDefault="00AF63BA" w:rsidP="00AF63BA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3C7E1ACD" w14:textId="03476E16" w:rsidR="00AF63BA" w:rsidRPr="00AF63BA" w:rsidRDefault="00AF63BA" w:rsidP="00AF63BA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  <w:tr w:rsidR="00AF63BA" w:rsidRPr="00211C28" w14:paraId="222FB0DF" w14:textId="77777777" w:rsidTr="00AF63BA">
        <w:trPr>
          <w:trHeight w:val="80"/>
        </w:trPr>
        <w:tc>
          <w:tcPr>
            <w:tcW w:w="5573" w:type="dxa"/>
          </w:tcPr>
          <w:p w14:paraId="718DAE8F" w14:textId="67C5E99A" w:rsidR="00AF63BA" w:rsidRPr="00211C28" w:rsidRDefault="00AF63BA" w:rsidP="00AF63BA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6E86A1" w14:textId="1F94DF90" w:rsidR="00AF63BA" w:rsidRPr="00AF63BA" w:rsidRDefault="00F100E9" w:rsidP="00AF63BA">
            <w:pPr>
              <w:spacing w:before="15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F100E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……………………………….</w:t>
            </w:r>
          </w:p>
        </w:tc>
      </w:tr>
      <w:tr w:rsidR="00AF63BA" w:rsidRPr="00211C28" w14:paraId="7DBA461A" w14:textId="77777777" w:rsidTr="00AF63BA">
        <w:trPr>
          <w:trHeight w:val="80"/>
        </w:trPr>
        <w:tc>
          <w:tcPr>
            <w:tcW w:w="5573" w:type="dxa"/>
          </w:tcPr>
          <w:p w14:paraId="328CE25D" w14:textId="2E9FB627" w:rsidR="00AF63BA" w:rsidRPr="00AF63BA" w:rsidRDefault="00AF63BA" w:rsidP="00681D6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1D4DC5B" w14:textId="77777777" w:rsidR="00AF63BA" w:rsidRPr="00211C28" w:rsidRDefault="00AF63BA" w:rsidP="00681D6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3E166F58" w14:textId="77777777" w:rsidR="00AF63BA" w:rsidRPr="0009465D" w:rsidRDefault="00AF63BA" w:rsidP="00681D6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TOPSOFT JKM spol. s r.o.</w:t>
            </w:r>
          </w:p>
        </w:tc>
      </w:tr>
    </w:tbl>
    <w:p w14:paraId="264F6F5E" w14:textId="77777777" w:rsidR="00727705" w:rsidRDefault="00727705" w:rsidP="005E6A62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40CD6F13" w14:textId="77777777" w:rsidR="00AF63BA" w:rsidRDefault="00AF63BA" w:rsidP="005E6A62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242B0F09" w14:textId="77777777" w:rsidR="00AF63BA" w:rsidRDefault="00AF63BA" w:rsidP="005E6A62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22EC9720" w14:textId="77777777" w:rsidR="00AF63BA" w:rsidRDefault="00AF63BA" w:rsidP="005E6A62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696E6BB5" w14:textId="77777777" w:rsidR="00AF63BA" w:rsidRDefault="00AF63BA" w:rsidP="005E6A62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4C26EABA" w14:textId="7106C0B1" w:rsidR="00AF63BA" w:rsidRPr="00AF63BA" w:rsidRDefault="00AF63BA" w:rsidP="005E6A62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Za obsahovou správnost: </w:t>
      </w:r>
      <w:bookmarkStart w:id="0" w:name="_GoBack"/>
      <w:bookmarkEnd w:id="0"/>
      <w:r w:rsidR="00F100E9" w:rsidRPr="00F100E9">
        <w:rPr>
          <w:rFonts w:asciiTheme="minorHAnsi" w:hAnsiTheme="minorHAnsi" w:cs="Calibri"/>
          <w:sz w:val="20"/>
          <w:szCs w:val="22"/>
          <w:highlight w:val="black"/>
        </w:rPr>
        <w:t>……………………………………….</w:t>
      </w:r>
    </w:p>
    <w:sectPr w:rsidR="00AF63BA" w:rsidRPr="00AF63BA" w:rsidSect="00AF63BA">
      <w:footerReference w:type="default" r:id="rId8"/>
      <w:headerReference w:type="first" r:id="rId9"/>
      <w:pgSz w:w="11906" w:h="16838"/>
      <w:pgMar w:top="1418" w:right="851" w:bottom="992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100E9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100E9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C4C8" w14:textId="666F1336" w:rsidR="00AF63BA" w:rsidRDefault="00AF63BA">
    <w:pPr>
      <w:pStyle w:val="Zhlav"/>
    </w:pPr>
    <w:r w:rsidRPr="003A3EFE">
      <w:rPr>
        <w:noProof/>
      </w:rPr>
      <w:drawing>
        <wp:anchor distT="0" distB="0" distL="114300" distR="114300" simplePos="0" relativeHeight="251659264" behindDoc="0" locked="0" layoutInCell="1" allowOverlap="1" wp14:anchorId="4E40F574" wp14:editId="4F3772DB">
          <wp:simplePos x="0" y="0"/>
          <wp:positionH relativeFrom="column">
            <wp:posOffset>-161925</wp:posOffset>
          </wp:positionH>
          <wp:positionV relativeFrom="page">
            <wp:posOffset>1905</wp:posOffset>
          </wp:positionV>
          <wp:extent cx="1905000" cy="11906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778A782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3E1"/>
    <w:rsid w:val="0025059C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358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35E6B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E6A62"/>
    <w:rsid w:val="005F3028"/>
    <w:rsid w:val="005F63BF"/>
    <w:rsid w:val="005F76A5"/>
    <w:rsid w:val="00611C06"/>
    <w:rsid w:val="006149EF"/>
    <w:rsid w:val="006210D3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4A19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0FCD"/>
    <w:rsid w:val="007D2E36"/>
    <w:rsid w:val="007E30CD"/>
    <w:rsid w:val="007E3D91"/>
    <w:rsid w:val="007F03AB"/>
    <w:rsid w:val="007F21D1"/>
    <w:rsid w:val="007F7633"/>
    <w:rsid w:val="0080675C"/>
    <w:rsid w:val="00815251"/>
    <w:rsid w:val="0081581F"/>
    <w:rsid w:val="00816986"/>
    <w:rsid w:val="00817373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4888"/>
    <w:rsid w:val="008A6E04"/>
    <w:rsid w:val="008B554F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24D51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AF63BA"/>
    <w:rsid w:val="00B065B3"/>
    <w:rsid w:val="00B07AEA"/>
    <w:rsid w:val="00B10F0D"/>
    <w:rsid w:val="00B20961"/>
    <w:rsid w:val="00B32C96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43BE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0E9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363ED-DE75-4FB1-8F0E-BA7E11E3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112</TotalTime>
  <Pages>6</Pages>
  <Words>1778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11937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17</cp:revision>
  <cp:lastPrinted>2020-11-24T08:29:00Z</cp:lastPrinted>
  <dcterms:created xsi:type="dcterms:W3CDTF">2020-07-17T06:20:00Z</dcterms:created>
  <dcterms:modified xsi:type="dcterms:W3CDTF">2020-12-09T06:48:00Z</dcterms:modified>
</cp:coreProperties>
</file>