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E7" w:rsidRPr="00C315EC" w:rsidRDefault="00D46AE7" w:rsidP="00D46AE7">
      <w:pPr>
        <w:jc w:val="center"/>
        <w:rPr>
          <w:sz w:val="32"/>
          <w:szCs w:val="32"/>
        </w:rPr>
      </w:pPr>
      <w:r w:rsidRPr="00C315EC">
        <w:rPr>
          <w:sz w:val="32"/>
          <w:szCs w:val="32"/>
        </w:rPr>
        <w:t>Veřejnoprávní smlouva</w:t>
      </w:r>
    </w:p>
    <w:p w:rsidR="00D46AE7" w:rsidRPr="00C315EC" w:rsidRDefault="00D46AE7" w:rsidP="00D46AE7">
      <w:pPr>
        <w:jc w:val="center"/>
        <w:rPr>
          <w:sz w:val="32"/>
          <w:szCs w:val="32"/>
        </w:rPr>
      </w:pPr>
      <w:r w:rsidRPr="00C315EC">
        <w:rPr>
          <w:sz w:val="32"/>
          <w:szCs w:val="32"/>
        </w:rPr>
        <w:t xml:space="preserve">o poskytnutí dotace z rozpočtu městské části Praha-Satalice </w:t>
      </w:r>
    </w:p>
    <w:p w:rsidR="00D46AE7" w:rsidRPr="00C315EC" w:rsidRDefault="00D46AE7" w:rsidP="00D46AE7">
      <w:pPr>
        <w:jc w:val="center"/>
      </w:pPr>
      <w:r w:rsidRPr="00C315EC">
        <w:rPr>
          <w:sz w:val="32"/>
          <w:szCs w:val="32"/>
        </w:rPr>
        <w:t>číslo: _______</w:t>
      </w:r>
    </w:p>
    <w:p w:rsidR="00D46AE7" w:rsidRDefault="00D46AE7" w:rsidP="00D46AE7">
      <w:pPr>
        <w:rPr>
          <w:sz w:val="22"/>
          <w:szCs w:val="22"/>
        </w:rPr>
      </w:pPr>
    </w:p>
    <w:p w:rsidR="00D46AE7" w:rsidRPr="00C03884" w:rsidRDefault="00D46AE7" w:rsidP="00D46AE7">
      <w:pPr>
        <w:jc w:val="center"/>
        <w:rPr>
          <w:sz w:val="22"/>
          <w:szCs w:val="22"/>
        </w:rPr>
      </w:pPr>
      <w:r w:rsidRPr="00C03884">
        <w:rPr>
          <w:sz w:val="22"/>
          <w:szCs w:val="22"/>
        </w:rPr>
        <w:t>Strany smlouvy:</w:t>
      </w:r>
    </w:p>
    <w:p w:rsidR="00D46AE7" w:rsidRPr="00C315EC" w:rsidRDefault="00D46AE7" w:rsidP="00D46AE7">
      <w:pPr>
        <w:rPr>
          <w:sz w:val="22"/>
          <w:szCs w:val="22"/>
        </w:rPr>
      </w:pPr>
    </w:p>
    <w:p w:rsidR="00D46AE7" w:rsidRPr="00C315EC" w:rsidRDefault="00D46AE7" w:rsidP="00D46AE7">
      <w:pPr>
        <w:pStyle w:val="Normlnweb"/>
        <w:spacing w:before="0" w:beforeAutospacing="0" w:after="0" w:afterAutospacing="0"/>
        <w:jc w:val="center"/>
        <w:rPr>
          <w:b/>
          <w:sz w:val="22"/>
          <w:szCs w:val="22"/>
        </w:rPr>
      </w:pPr>
      <w:r w:rsidRPr="00C315EC">
        <w:rPr>
          <w:b/>
          <w:sz w:val="22"/>
          <w:szCs w:val="22"/>
        </w:rPr>
        <w:t>Městská část Praha – Satalice</w:t>
      </w:r>
    </w:p>
    <w:p w:rsidR="00D46AE7" w:rsidRPr="00C315EC" w:rsidRDefault="00D46AE7" w:rsidP="00D46AE7">
      <w:pPr>
        <w:shd w:val="clear" w:color="auto" w:fill="FFFFFF"/>
        <w:jc w:val="center"/>
        <w:rPr>
          <w:bCs/>
          <w:color w:val="000000"/>
          <w:spacing w:val="1"/>
          <w:sz w:val="22"/>
          <w:szCs w:val="22"/>
        </w:rPr>
      </w:pPr>
      <w:r w:rsidRPr="00C315EC">
        <w:rPr>
          <w:bCs/>
          <w:color w:val="000000"/>
          <w:spacing w:val="1"/>
          <w:sz w:val="22"/>
          <w:szCs w:val="22"/>
        </w:rPr>
        <w:t xml:space="preserve">K </w:t>
      </w:r>
      <w:proofErr w:type="spellStart"/>
      <w:r w:rsidRPr="00C315EC">
        <w:rPr>
          <w:bCs/>
          <w:color w:val="000000"/>
          <w:spacing w:val="1"/>
          <w:sz w:val="22"/>
          <w:szCs w:val="22"/>
        </w:rPr>
        <w:t>Radonicům</w:t>
      </w:r>
      <w:proofErr w:type="spellEnd"/>
      <w:r w:rsidRPr="00C315EC">
        <w:rPr>
          <w:bCs/>
          <w:color w:val="000000"/>
          <w:spacing w:val="1"/>
          <w:sz w:val="22"/>
          <w:szCs w:val="22"/>
        </w:rPr>
        <w:t xml:space="preserve"> 81, 190 15 Praha 9 – Satalice</w:t>
      </w:r>
    </w:p>
    <w:p w:rsidR="00D46AE7" w:rsidRPr="00C315EC" w:rsidRDefault="00D46AE7" w:rsidP="00D46AE7">
      <w:pPr>
        <w:shd w:val="clear" w:color="auto" w:fill="FFFFFF"/>
        <w:jc w:val="center"/>
        <w:rPr>
          <w:color w:val="000000"/>
          <w:spacing w:val="-3"/>
          <w:sz w:val="22"/>
          <w:szCs w:val="22"/>
        </w:rPr>
      </w:pPr>
      <w:r w:rsidRPr="00C315EC">
        <w:rPr>
          <w:bCs/>
          <w:color w:val="000000"/>
          <w:spacing w:val="-3"/>
          <w:sz w:val="22"/>
          <w:szCs w:val="22"/>
        </w:rPr>
        <w:t>IČ: 00240711</w:t>
      </w:r>
      <w:r w:rsidRPr="00C315EC">
        <w:rPr>
          <w:bCs/>
          <w:color w:val="000000"/>
          <w:spacing w:val="-3"/>
          <w:sz w:val="22"/>
          <w:szCs w:val="22"/>
        </w:rPr>
        <w:br/>
      </w:r>
      <w:r w:rsidRPr="00C315EC">
        <w:rPr>
          <w:color w:val="000000"/>
          <w:spacing w:val="-3"/>
          <w:sz w:val="22"/>
          <w:szCs w:val="22"/>
        </w:rPr>
        <w:t>zastoupená starostkou Mgr. Miladou Voborskou</w:t>
      </w:r>
    </w:p>
    <w:p w:rsidR="00D46AE7" w:rsidRPr="00796FEE" w:rsidRDefault="00D46AE7" w:rsidP="00D46AE7">
      <w:pPr>
        <w:shd w:val="clear" w:color="auto" w:fill="FFFFFF"/>
        <w:jc w:val="center"/>
        <w:rPr>
          <w:bCs/>
          <w:color w:val="000000"/>
          <w:spacing w:val="-3"/>
          <w:sz w:val="22"/>
          <w:szCs w:val="22"/>
          <w:highlight w:val="black"/>
        </w:rPr>
      </w:pPr>
      <w:r w:rsidRPr="00796FEE">
        <w:rPr>
          <w:bCs/>
          <w:color w:val="000000"/>
          <w:spacing w:val="-3"/>
          <w:sz w:val="22"/>
          <w:szCs w:val="22"/>
          <w:highlight w:val="black"/>
        </w:rPr>
        <w:t>Bankovní spojení: PPF banka, a.s.</w:t>
      </w:r>
    </w:p>
    <w:p w:rsidR="00D46AE7" w:rsidRPr="00C315EC" w:rsidRDefault="00D46AE7" w:rsidP="00D46AE7">
      <w:pPr>
        <w:jc w:val="center"/>
        <w:rPr>
          <w:sz w:val="22"/>
          <w:szCs w:val="22"/>
        </w:rPr>
      </w:pPr>
      <w:proofErr w:type="spellStart"/>
      <w:proofErr w:type="gramStart"/>
      <w:r w:rsidRPr="00796FEE">
        <w:rPr>
          <w:bCs/>
          <w:color w:val="000000"/>
          <w:spacing w:val="-3"/>
          <w:sz w:val="22"/>
          <w:szCs w:val="22"/>
          <w:highlight w:val="black"/>
        </w:rPr>
        <w:t>Č.účtu</w:t>
      </w:r>
      <w:proofErr w:type="spellEnd"/>
      <w:proofErr w:type="gramEnd"/>
      <w:r w:rsidRPr="00796FEE">
        <w:rPr>
          <w:bCs/>
          <w:color w:val="000000"/>
          <w:spacing w:val="-3"/>
          <w:sz w:val="22"/>
          <w:szCs w:val="22"/>
          <w:highlight w:val="black"/>
        </w:rPr>
        <w:t>: 502655998/6000</w:t>
      </w:r>
    </w:p>
    <w:p w:rsidR="00D46AE7" w:rsidRPr="00C315EC" w:rsidRDefault="00D46AE7" w:rsidP="00D46AE7">
      <w:pPr>
        <w:jc w:val="center"/>
        <w:rPr>
          <w:sz w:val="22"/>
          <w:szCs w:val="22"/>
        </w:rPr>
      </w:pPr>
    </w:p>
    <w:p w:rsidR="00D46AE7" w:rsidRPr="00C315EC" w:rsidRDefault="00D46AE7" w:rsidP="00D46AE7">
      <w:pPr>
        <w:jc w:val="center"/>
        <w:rPr>
          <w:sz w:val="22"/>
          <w:szCs w:val="22"/>
        </w:rPr>
      </w:pPr>
      <w:r w:rsidRPr="00C315EC">
        <w:rPr>
          <w:sz w:val="22"/>
          <w:szCs w:val="22"/>
        </w:rPr>
        <w:t>(dále jen „</w:t>
      </w:r>
      <w:r w:rsidRPr="00C315EC">
        <w:rPr>
          <w:b/>
          <w:sz w:val="22"/>
          <w:szCs w:val="22"/>
        </w:rPr>
        <w:t>poskytovatel</w:t>
      </w:r>
      <w:r w:rsidRPr="00C315EC">
        <w:rPr>
          <w:sz w:val="22"/>
          <w:szCs w:val="22"/>
        </w:rPr>
        <w:t>“)</w:t>
      </w:r>
    </w:p>
    <w:p w:rsidR="00D46AE7" w:rsidRPr="00C315EC" w:rsidRDefault="00D46AE7" w:rsidP="00D46AE7">
      <w:pPr>
        <w:rPr>
          <w:sz w:val="22"/>
          <w:szCs w:val="22"/>
        </w:rPr>
      </w:pPr>
    </w:p>
    <w:p w:rsidR="00D46AE7" w:rsidRPr="00C315EC" w:rsidRDefault="00D46AE7" w:rsidP="00D46AE7">
      <w:pPr>
        <w:jc w:val="center"/>
        <w:rPr>
          <w:sz w:val="22"/>
          <w:szCs w:val="22"/>
        </w:rPr>
      </w:pPr>
      <w:r w:rsidRPr="00C315EC">
        <w:rPr>
          <w:sz w:val="22"/>
          <w:szCs w:val="22"/>
        </w:rPr>
        <w:t>-a-</w:t>
      </w:r>
    </w:p>
    <w:p w:rsidR="00D46AE7" w:rsidRPr="00C315EC" w:rsidRDefault="00D46AE7" w:rsidP="00D46AE7">
      <w:pPr>
        <w:jc w:val="center"/>
        <w:rPr>
          <w:sz w:val="22"/>
          <w:szCs w:val="22"/>
        </w:rPr>
      </w:pPr>
    </w:p>
    <w:p w:rsidR="00D46AE7" w:rsidRPr="00582452" w:rsidRDefault="00D46AE7" w:rsidP="00D46AE7">
      <w:pPr>
        <w:jc w:val="center"/>
        <w:rPr>
          <w:b/>
          <w:sz w:val="22"/>
          <w:szCs w:val="22"/>
        </w:rPr>
      </w:pPr>
      <w:r w:rsidRPr="00C315EC">
        <w:rPr>
          <w:sz w:val="22"/>
          <w:szCs w:val="22"/>
        </w:rPr>
        <w:t xml:space="preserve">Příjemcem dotace: </w:t>
      </w:r>
      <w:proofErr w:type="spellStart"/>
      <w:r>
        <w:rPr>
          <w:b/>
          <w:sz w:val="22"/>
          <w:szCs w:val="22"/>
        </w:rPr>
        <w:t>Sportareál</w:t>
      </w:r>
      <w:proofErr w:type="spellEnd"/>
      <w:r>
        <w:rPr>
          <w:b/>
          <w:sz w:val="22"/>
          <w:szCs w:val="22"/>
        </w:rPr>
        <w:t xml:space="preserve"> Praha-Satalice s.r.o.</w:t>
      </w:r>
    </w:p>
    <w:p w:rsidR="00D46AE7" w:rsidRPr="00C315EC" w:rsidRDefault="00D46AE7" w:rsidP="00D46AE7">
      <w:pPr>
        <w:jc w:val="center"/>
        <w:rPr>
          <w:sz w:val="22"/>
          <w:szCs w:val="22"/>
        </w:rPr>
      </w:pPr>
      <w:r w:rsidRPr="00C315EC">
        <w:rPr>
          <w:sz w:val="22"/>
          <w:szCs w:val="22"/>
        </w:rPr>
        <w:t xml:space="preserve">sídlo/bytem: </w:t>
      </w:r>
      <w:r>
        <w:rPr>
          <w:sz w:val="22"/>
          <w:szCs w:val="22"/>
        </w:rPr>
        <w:t xml:space="preserve">U </w:t>
      </w:r>
      <w:proofErr w:type="spellStart"/>
      <w:r>
        <w:rPr>
          <w:sz w:val="22"/>
          <w:szCs w:val="22"/>
        </w:rPr>
        <w:t>Arborky</w:t>
      </w:r>
      <w:proofErr w:type="spellEnd"/>
      <w:r>
        <w:rPr>
          <w:sz w:val="22"/>
          <w:szCs w:val="22"/>
        </w:rPr>
        <w:t xml:space="preserve"> 397, Satalice, 190 15 Praha 9</w:t>
      </w:r>
    </w:p>
    <w:p w:rsidR="00D46AE7" w:rsidRPr="00C315EC" w:rsidRDefault="00D46AE7" w:rsidP="00D46AE7">
      <w:pPr>
        <w:jc w:val="center"/>
        <w:rPr>
          <w:sz w:val="22"/>
          <w:szCs w:val="22"/>
        </w:rPr>
      </w:pPr>
      <w:r w:rsidRPr="00C315EC">
        <w:rPr>
          <w:sz w:val="22"/>
          <w:szCs w:val="22"/>
        </w:rPr>
        <w:t>IČ/</w:t>
      </w:r>
      <w:proofErr w:type="spellStart"/>
      <w:r w:rsidRPr="00C315EC">
        <w:rPr>
          <w:sz w:val="22"/>
          <w:szCs w:val="22"/>
        </w:rPr>
        <w:t>r.č</w:t>
      </w:r>
      <w:proofErr w:type="spellEnd"/>
      <w:r w:rsidRPr="00C315EC">
        <w:rPr>
          <w:sz w:val="22"/>
          <w:szCs w:val="22"/>
        </w:rPr>
        <w:t>.</w:t>
      </w:r>
      <w:r>
        <w:rPr>
          <w:sz w:val="22"/>
          <w:szCs w:val="22"/>
        </w:rPr>
        <w:t>: 27903125</w:t>
      </w:r>
    </w:p>
    <w:p w:rsidR="00D46AE7" w:rsidRPr="00C315EC" w:rsidRDefault="00D46AE7" w:rsidP="00D46AE7">
      <w:pPr>
        <w:jc w:val="center"/>
        <w:rPr>
          <w:sz w:val="22"/>
          <w:szCs w:val="22"/>
        </w:rPr>
      </w:pPr>
      <w:r w:rsidRPr="00C315EC">
        <w:rPr>
          <w:sz w:val="22"/>
          <w:szCs w:val="22"/>
        </w:rPr>
        <w:t>zastoupená</w:t>
      </w:r>
      <w:r>
        <w:rPr>
          <w:sz w:val="22"/>
          <w:szCs w:val="22"/>
        </w:rPr>
        <w:t xml:space="preserve">: jednatelem společnosti Milanem </w:t>
      </w:r>
      <w:proofErr w:type="spellStart"/>
      <w:r>
        <w:rPr>
          <w:sz w:val="22"/>
          <w:szCs w:val="22"/>
        </w:rPr>
        <w:t>Bíškem</w:t>
      </w:r>
      <w:proofErr w:type="spellEnd"/>
    </w:p>
    <w:p w:rsidR="00D46AE7" w:rsidRPr="00796FEE" w:rsidRDefault="00D46AE7" w:rsidP="00D46AE7">
      <w:pPr>
        <w:jc w:val="center"/>
        <w:rPr>
          <w:sz w:val="22"/>
          <w:szCs w:val="22"/>
          <w:highlight w:val="black"/>
        </w:rPr>
      </w:pPr>
      <w:r w:rsidRPr="00796FEE">
        <w:rPr>
          <w:sz w:val="22"/>
          <w:szCs w:val="22"/>
          <w:highlight w:val="black"/>
        </w:rPr>
        <w:t>bankovní spojení: Komerční banka a.s.</w:t>
      </w:r>
    </w:p>
    <w:p w:rsidR="00D46AE7" w:rsidRPr="00C315EC" w:rsidRDefault="00D46AE7" w:rsidP="00D46AE7">
      <w:pPr>
        <w:jc w:val="center"/>
        <w:rPr>
          <w:sz w:val="22"/>
          <w:szCs w:val="22"/>
        </w:rPr>
      </w:pPr>
      <w:proofErr w:type="spellStart"/>
      <w:proofErr w:type="gramStart"/>
      <w:r w:rsidRPr="00796FEE">
        <w:rPr>
          <w:bCs/>
          <w:color w:val="000000"/>
          <w:spacing w:val="-3"/>
          <w:sz w:val="22"/>
          <w:szCs w:val="22"/>
          <w:highlight w:val="black"/>
        </w:rPr>
        <w:t>Č.účtu</w:t>
      </w:r>
      <w:proofErr w:type="spellEnd"/>
      <w:proofErr w:type="gramEnd"/>
      <w:r w:rsidRPr="00796FEE">
        <w:rPr>
          <w:bCs/>
          <w:color w:val="000000"/>
          <w:spacing w:val="-3"/>
          <w:sz w:val="22"/>
          <w:szCs w:val="22"/>
          <w:highlight w:val="black"/>
        </w:rPr>
        <w:t>:</w:t>
      </w:r>
      <w:r w:rsidRPr="00796FEE">
        <w:rPr>
          <w:bCs/>
          <w:color w:val="000000"/>
          <w:spacing w:val="-3"/>
          <w:sz w:val="22"/>
          <w:szCs w:val="22"/>
          <w:highlight w:val="black"/>
        </w:rPr>
        <w:tab/>
        <w:t>35-9469000287/0100</w:t>
      </w:r>
    </w:p>
    <w:p w:rsidR="00D46AE7" w:rsidRPr="00C315EC" w:rsidRDefault="00D46AE7" w:rsidP="00D46AE7">
      <w:pPr>
        <w:jc w:val="center"/>
        <w:rPr>
          <w:sz w:val="22"/>
          <w:szCs w:val="22"/>
        </w:rPr>
      </w:pPr>
    </w:p>
    <w:p w:rsidR="00D46AE7" w:rsidRPr="00C315EC" w:rsidRDefault="00D46AE7" w:rsidP="00D46AE7">
      <w:pPr>
        <w:jc w:val="center"/>
        <w:rPr>
          <w:sz w:val="22"/>
          <w:szCs w:val="22"/>
        </w:rPr>
      </w:pPr>
      <w:r w:rsidRPr="00C315EC">
        <w:rPr>
          <w:sz w:val="22"/>
          <w:szCs w:val="22"/>
        </w:rPr>
        <w:t xml:space="preserve">zapsaný u </w:t>
      </w:r>
      <w:r>
        <w:rPr>
          <w:sz w:val="22"/>
          <w:szCs w:val="22"/>
        </w:rPr>
        <w:t xml:space="preserve">Městského </w:t>
      </w:r>
      <w:proofErr w:type="gramStart"/>
      <w:r w:rsidRPr="00C315EC">
        <w:rPr>
          <w:sz w:val="22"/>
          <w:szCs w:val="22"/>
        </w:rPr>
        <w:t xml:space="preserve">soudu  v </w:t>
      </w:r>
      <w:r>
        <w:rPr>
          <w:sz w:val="22"/>
          <w:szCs w:val="22"/>
        </w:rPr>
        <w:t>Praze</w:t>
      </w:r>
      <w:proofErr w:type="gramEnd"/>
      <w:r w:rsidRPr="00C315EC">
        <w:rPr>
          <w:sz w:val="22"/>
          <w:szCs w:val="22"/>
        </w:rPr>
        <w:t xml:space="preserve">, oddíl </w:t>
      </w:r>
      <w:r>
        <w:rPr>
          <w:sz w:val="22"/>
          <w:szCs w:val="22"/>
        </w:rPr>
        <w:t>C</w:t>
      </w:r>
      <w:r w:rsidRPr="00C315EC">
        <w:rPr>
          <w:sz w:val="22"/>
          <w:szCs w:val="22"/>
        </w:rPr>
        <w:t xml:space="preserve">, vložka </w:t>
      </w:r>
      <w:r>
        <w:rPr>
          <w:sz w:val="22"/>
          <w:szCs w:val="22"/>
        </w:rPr>
        <w:t>125385</w:t>
      </w:r>
    </w:p>
    <w:p w:rsidR="00D46AE7" w:rsidRPr="00C315EC" w:rsidRDefault="00D46AE7" w:rsidP="00D46AE7">
      <w:pPr>
        <w:jc w:val="center"/>
        <w:rPr>
          <w:sz w:val="22"/>
          <w:szCs w:val="22"/>
        </w:rPr>
      </w:pPr>
    </w:p>
    <w:p w:rsidR="00D46AE7" w:rsidRDefault="00D46AE7" w:rsidP="00D46AE7">
      <w:pPr>
        <w:jc w:val="center"/>
        <w:rPr>
          <w:sz w:val="22"/>
          <w:szCs w:val="22"/>
        </w:rPr>
      </w:pPr>
      <w:r w:rsidRPr="00C315EC">
        <w:rPr>
          <w:sz w:val="22"/>
          <w:szCs w:val="22"/>
        </w:rPr>
        <w:t>(dále jen „</w:t>
      </w:r>
      <w:r w:rsidRPr="00C315EC">
        <w:rPr>
          <w:b/>
          <w:sz w:val="22"/>
          <w:szCs w:val="22"/>
        </w:rPr>
        <w:t>příjemce</w:t>
      </w:r>
      <w:r w:rsidRPr="00C315EC">
        <w:rPr>
          <w:sz w:val="22"/>
          <w:szCs w:val="22"/>
        </w:rPr>
        <w:t>“)</w:t>
      </w:r>
      <w:bookmarkStart w:id="0" w:name="_GoBack"/>
      <w:bookmarkEnd w:id="0"/>
    </w:p>
    <w:p w:rsidR="00B21EA9" w:rsidRDefault="00B21EA9" w:rsidP="00D46AE7">
      <w:pPr>
        <w:jc w:val="center"/>
        <w:rPr>
          <w:sz w:val="22"/>
          <w:szCs w:val="22"/>
        </w:rPr>
      </w:pPr>
    </w:p>
    <w:p w:rsidR="00B21EA9" w:rsidRPr="00C315EC" w:rsidRDefault="00B21EA9" w:rsidP="00D46AE7">
      <w:pPr>
        <w:jc w:val="center"/>
        <w:rPr>
          <w:sz w:val="22"/>
          <w:szCs w:val="22"/>
        </w:rPr>
      </w:pPr>
    </w:p>
    <w:p w:rsidR="00D46AE7" w:rsidRPr="00C315EC" w:rsidRDefault="00D46AE7" w:rsidP="00D46AE7">
      <w:pPr>
        <w:rPr>
          <w:sz w:val="22"/>
          <w:szCs w:val="22"/>
        </w:rPr>
      </w:pPr>
    </w:p>
    <w:p w:rsidR="00D46AE7" w:rsidRDefault="00D46AE7" w:rsidP="00D46AE7">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D46AE7" w:rsidRDefault="00D46AE7" w:rsidP="00D46AE7">
      <w:pPr>
        <w:jc w:val="both"/>
        <w:rPr>
          <w:sz w:val="22"/>
          <w:szCs w:val="22"/>
        </w:rPr>
      </w:pPr>
    </w:p>
    <w:p w:rsidR="00D46AE7" w:rsidRDefault="00D46AE7" w:rsidP="00D46AE7">
      <w:pPr>
        <w:jc w:val="both"/>
        <w:rPr>
          <w:sz w:val="22"/>
          <w:szCs w:val="22"/>
        </w:rPr>
      </w:pPr>
      <w:r w:rsidRPr="00C315EC">
        <w:rPr>
          <w:sz w:val="22"/>
          <w:szCs w:val="22"/>
        </w:rPr>
        <w:t xml:space="preserve">Zastupitelstvo městské části Praha-Satalice rozhodlo svým usnesením č </w:t>
      </w:r>
      <w:r w:rsidR="005A26FE">
        <w:rPr>
          <w:sz w:val="22"/>
          <w:szCs w:val="22"/>
        </w:rPr>
        <w:t>6</w:t>
      </w:r>
      <w:r>
        <w:rPr>
          <w:sz w:val="22"/>
          <w:szCs w:val="22"/>
        </w:rPr>
        <w:t>/2</w:t>
      </w:r>
      <w:r w:rsidR="005A26FE">
        <w:rPr>
          <w:sz w:val="22"/>
          <w:szCs w:val="22"/>
        </w:rPr>
        <w:t>4</w:t>
      </w:r>
      <w:r>
        <w:rPr>
          <w:sz w:val="22"/>
          <w:szCs w:val="22"/>
        </w:rPr>
        <w:t>/201</w:t>
      </w:r>
      <w:r w:rsidR="005A26FE">
        <w:rPr>
          <w:sz w:val="22"/>
          <w:szCs w:val="22"/>
        </w:rPr>
        <w:t>7</w:t>
      </w:r>
      <w:r>
        <w:rPr>
          <w:sz w:val="22"/>
          <w:szCs w:val="22"/>
        </w:rPr>
        <w:t xml:space="preserve"> </w:t>
      </w:r>
      <w:r w:rsidRPr="00C315EC">
        <w:rPr>
          <w:sz w:val="22"/>
          <w:szCs w:val="22"/>
        </w:rPr>
        <w:t xml:space="preserve">ze dne </w:t>
      </w:r>
      <w:proofErr w:type="gramStart"/>
      <w:r w:rsidR="005A26FE">
        <w:rPr>
          <w:sz w:val="22"/>
          <w:szCs w:val="22"/>
        </w:rPr>
        <w:t>16</w:t>
      </w:r>
      <w:r>
        <w:rPr>
          <w:sz w:val="22"/>
          <w:szCs w:val="22"/>
        </w:rPr>
        <w:t>.</w:t>
      </w:r>
      <w:r w:rsidR="005A26FE">
        <w:rPr>
          <w:sz w:val="22"/>
          <w:szCs w:val="22"/>
        </w:rPr>
        <w:t>2</w:t>
      </w:r>
      <w:r>
        <w:rPr>
          <w:sz w:val="22"/>
          <w:szCs w:val="22"/>
        </w:rPr>
        <w:t>.201</w:t>
      </w:r>
      <w:r w:rsidR="005A26FE">
        <w:rPr>
          <w:sz w:val="22"/>
          <w:szCs w:val="22"/>
        </w:rPr>
        <w:t>7</w:t>
      </w:r>
      <w:proofErr w:type="gramEnd"/>
      <w:r w:rsidRPr="00C315EC">
        <w:rPr>
          <w:sz w:val="22"/>
          <w:szCs w:val="22"/>
        </w:rPr>
        <w:t xml:space="preserve"> podle ustanovení § 89 odst. 2 písm. f) zákona č. 131/2000 Sb., o hlavním městě Praze, ve znění pozdějších předpisu, a v souladu s ustanovením § 10a a násl. zákona č. 250/2000 Sb., o rozpočtových pravidlech územních rozpočtů, ve znění pozdějších předpisům o poskytnutí dotace z rozpočtu městské části Praha- Satalice v roce 201</w:t>
      </w:r>
      <w:r>
        <w:rPr>
          <w:sz w:val="22"/>
          <w:szCs w:val="22"/>
        </w:rPr>
        <w:t>6</w:t>
      </w:r>
      <w:r w:rsidRPr="00C315EC">
        <w:rPr>
          <w:sz w:val="22"/>
          <w:szCs w:val="22"/>
        </w:rPr>
        <w:t xml:space="preserve"> na podporu subjektů provádějící veřejně prospěšné činnosti ve výši a za podmínek dále uvedených v této smlouvě.</w:t>
      </w:r>
    </w:p>
    <w:p w:rsidR="00B21EA9" w:rsidRDefault="00B21EA9" w:rsidP="00D46AE7">
      <w:pPr>
        <w:jc w:val="both"/>
        <w:rPr>
          <w:sz w:val="22"/>
          <w:szCs w:val="22"/>
        </w:rPr>
      </w:pPr>
    </w:p>
    <w:p w:rsidR="00B21EA9" w:rsidRPr="00C03884" w:rsidRDefault="00B21EA9" w:rsidP="00D46AE7">
      <w:pPr>
        <w:jc w:val="both"/>
        <w:rPr>
          <w:sz w:val="22"/>
          <w:szCs w:val="22"/>
        </w:rPr>
      </w:pPr>
    </w:p>
    <w:p w:rsidR="00D46AE7" w:rsidRPr="00C315EC" w:rsidRDefault="00D46AE7" w:rsidP="00D46AE7">
      <w:pPr>
        <w:jc w:val="center"/>
        <w:rPr>
          <w:b/>
          <w:sz w:val="22"/>
          <w:szCs w:val="22"/>
        </w:rPr>
      </w:pPr>
    </w:p>
    <w:p w:rsidR="00D46AE7" w:rsidRPr="00C315EC" w:rsidRDefault="00D46AE7" w:rsidP="00D46AE7">
      <w:pPr>
        <w:jc w:val="center"/>
        <w:rPr>
          <w:b/>
          <w:sz w:val="22"/>
          <w:szCs w:val="22"/>
        </w:rPr>
      </w:pPr>
      <w:r w:rsidRPr="00C315EC">
        <w:rPr>
          <w:b/>
          <w:sz w:val="22"/>
          <w:szCs w:val="22"/>
        </w:rPr>
        <w:t>I.</w:t>
      </w:r>
    </w:p>
    <w:p w:rsidR="00D46AE7" w:rsidRDefault="00D46AE7" w:rsidP="00D46AE7">
      <w:pPr>
        <w:jc w:val="center"/>
        <w:rPr>
          <w:b/>
          <w:sz w:val="22"/>
          <w:szCs w:val="22"/>
        </w:rPr>
      </w:pPr>
      <w:r w:rsidRPr="00C315EC">
        <w:rPr>
          <w:b/>
          <w:sz w:val="22"/>
          <w:szCs w:val="22"/>
        </w:rPr>
        <w:t>Předmět smlouvy</w:t>
      </w:r>
    </w:p>
    <w:p w:rsidR="00B21EA9" w:rsidRDefault="00B21EA9" w:rsidP="00D46AE7">
      <w:pPr>
        <w:jc w:val="center"/>
        <w:rPr>
          <w:b/>
          <w:sz w:val="22"/>
          <w:szCs w:val="22"/>
        </w:rPr>
      </w:pPr>
    </w:p>
    <w:p w:rsidR="00D46AE7" w:rsidRPr="00C315EC" w:rsidRDefault="00D46AE7" w:rsidP="00D46AE7">
      <w:pPr>
        <w:jc w:val="center"/>
        <w:rPr>
          <w:b/>
          <w:sz w:val="22"/>
          <w:szCs w:val="22"/>
        </w:rPr>
      </w:pPr>
    </w:p>
    <w:p w:rsidR="00D46AE7" w:rsidRPr="00C315EC" w:rsidRDefault="00D46AE7" w:rsidP="00D46AE7">
      <w:pPr>
        <w:pStyle w:val="Odstavecseseznamem"/>
        <w:numPr>
          <w:ilvl w:val="0"/>
          <w:numId w:val="1"/>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poskytne příjemci na níže uvedený účel za podmínek níže uvedených účelovou neinvestiční dotaci z rozpočtu městské části Praha-Satalice ve výši </w:t>
      </w:r>
      <w:r>
        <w:rPr>
          <w:rFonts w:ascii="Times New Roman" w:hAnsi="Times New Roman" w:cs="Times New Roman"/>
          <w:sz w:val="22"/>
          <w:szCs w:val="22"/>
        </w:rPr>
        <w:t>2</w:t>
      </w:r>
      <w:r w:rsidR="005A26FE">
        <w:rPr>
          <w:rFonts w:ascii="Times New Roman" w:hAnsi="Times New Roman" w:cs="Times New Roman"/>
          <w:sz w:val="22"/>
          <w:szCs w:val="22"/>
        </w:rPr>
        <w:t>00</w:t>
      </w:r>
      <w:r>
        <w:rPr>
          <w:rFonts w:ascii="Times New Roman" w:hAnsi="Times New Roman" w:cs="Times New Roman"/>
          <w:sz w:val="22"/>
          <w:szCs w:val="22"/>
        </w:rPr>
        <w:t>.</w:t>
      </w:r>
      <w:r w:rsidR="005A26FE">
        <w:rPr>
          <w:rFonts w:ascii="Times New Roman" w:hAnsi="Times New Roman" w:cs="Times New Roman"/>
          <w:sz w:val="22"/>
          <w:szCs w:val="22"/>
        </w:rPr>
        <w:t>0</w:t>
      </w:r>
      <w:r>
        <w:rPr>
          <w:rFonts w:ascii="Times New Roman" w:hAnsi="Times New Roman" w:cs="Times New Roman"/>
          <w:sz w:val="22"/>
          <w:szCs w:val="22"/>
        </w:rPr>
        <w:t>00</w:t>
      </w:r>
      <w:r w:rsidRPr="00C315EC">
        <w:rPr>
          <w:rFonts w:ascii="Times New Roman" w:hAnsi="Times New Roman" w:cs="Times New Roman"/>
          <w:sz w:val="22"/>
          <w:szCs w:val="22"/>
        </w:rPr>
        <w:t>,- Kč, slovy (</w:t>
      </w:r>
      <w:r>
        <w:rPr>
          <w:rFonts w:ascii="Times New Roman" w:hAnsi="Times New Roman" w:cs="Times New Roman"/>
          <w:sz w:val="22"/>
          <w:szCs w:val="22"/>
        </w:rPr>
        <w:t xml:space="preserve">dvě stě </w:t>
      </w:r>
      <w:r w:rsidR="005A26FE">
        <w:rPr>
          <w:rFonts w:ascii="Times New Roman" w:hAnsi="Times New Roman" w:cs="Times New Roman"/>
          <w:sz w:val="22"/>
          <w:szCs w:val="22"/>
        </w:rPr>
        <w:t xml:space="preserve">tisíc </w:t>
      </w:r>
      <w:r>
        <w:rPr>
          <w:rFonts w:ascii="Times New Roman" w:hAnsi="Times New Roman" w:cs="Times New Roman"/>
          <w:sz w:val="22"/>
          <w:szCs w:val="22"/>
        </w:rPr>
        <w:t>korun</w:t>
      </w:r>
      <w:r w:rsidRPr="00C315EC">
        <w:rPr>
          <w:rFonts w:ascii="Times New Roman" w:hAnsi="Times New Roman" w:cs="Times New Roman"/>
          <w:sz w:val="22"/>
          <w:szCs w:val="22"/>
        </w:rPr>
        <w:t xml:space="preserve"> českých). </w:t>
      </w:r>
    </w:p>
    <w:p w:rsidR="005A26FE" w:rsidRDefault="00D46AE7" w:rsidP="00D46AE7">
      <w:pPr>
        <w:pStyle w:val="Odstavecseseznamem"/>
        <w:numPr>
          <w:ilvl w:val="0"/>
          <w:numId w:val="1"/>
        </w:numPr>
        <w:jc w:val="both"/>
        <w:rPr>
          <w:rFonts w:ascii="Times New Roman" w:hAnsi="Times New Roman" w:cs="Times New Roman"/>
          <w:sz w:val="22"/>
          <w:szCs w:val="22"/>
        </w:rPr>
      </w:pPr>
      <w:r w:rsidRPr="00582452">
        <w:rPr>
          <w:rFonts w:ascii="Times New Roman" w:hAnsi="Times New Roman" w:cs="Times New Roman"/>
          <w:sz w:val="22"/>
          <w:szCs w:val="22"/>
        </w:rPr>
        <w:t>Účelová dota</w:t>
      </w:r>
      <w:r>
        <w:rPr>
          <w:rFonts w:ascii="Times New Roman" w:hAnsi="Times New Roman" w:cs="Times New Roman"/>
          <w:sz w:val="22"/>
          <w:szCs w:val="22"/>
        </w:rPr>
        <w:t>c</w:t>
      </w:r>
      <w:r w:rsidRPr="00582452">
        <w:rPr>
          <w:rFonts w:ascii="Times New Roman" w:hAnsi="Times New Roman" w:cs="Times New Roman"/>
          <w:sz w:val="22"/>
          <w:szCs w:val="22"/>
        </w:rPr>
        <w:t>e je poskytována na podporu sportu v městské části Praha-Satalice, který spočívá v úhradě nákladů spojených s</w:t>
      </w:r>
      <w:r w:rsidR="005A26FE">
        <w:rPr>
          <w:rFonts w:ascii="Times New Roman" w:hAnsi="Times New Roman" w:cs="Times New Roman"/>
          <w:sz w:val="22"/>
          <w:szCs w:val="22"/>
        </w:rPr>
        <w:t> vyúčtováním záloh na energie nájemcům, vypořádání kaucí, zajištění údržby, oprav, služeb a běžného chodu společnosti.</w:t>
      </w:r>
    </w:p>
    <w:p w:rsidR="00D46AE7" w:rsidRDefault="005A26FE" w:rsidP="00D46AE7">
      <w:pPr>
        <w:pStyle w:val="Odstavecseseznamem"/>
        <w:numPr>
          <w:ilvl w:val="0"/>
          <w:numId w:val="1"/>
        </w:numPr>
        <w:jc w:val="both"/>
        <w:rPr>
          <w:rFonts w:ascii="Times New Roman" w:hAnsi="Times New Roman" w:cs="Times New Roman"/>
          <w:sz w:val="22"/>
          <w:szCs w:val="22"/>
        </w:rPr>
      </w:pPr>
      <w:r w:rsidRPr="00582452">
        <w:rPr>
          <w:rFonts w:ascii="Times New Roman" w:hAnsi="Times New Roman" w:cs="Times New Roman"/>
          <w:sz w:val="22"/>
          <w:szCs w:val="22"/>
        </w:rPr>
        <w:t xml:space="preserve"> </w:t>
      </w:r>
      <w:r w:rsidR="00D46AE7" w:rsidRPr="00582452">
        <w:rPr>
          <w:rFonts w:ascii="Times New Roman" w:hAnsi="Times New Roman" w:cs="Times New Roman"/>
          <w:sz w:val="22"/>
          <w:szCs w:val="22"/>
        </w:rPr>
        <w:t xml:space="preserve">Dotace je poskytována na dobu od </w:t>
      </w:r>
      <w:proofErr w:type="gramStart"/>
      <w:r w:rsidR="00D46AE7">
        <w:rPr>
          <w:rFonts w:ascii="Times New Roman" w:hAnsi="Times New Roman" w:cs="Times New Roman"/>
          <w:sz w:val="22"/>
          <w:szCs w:val="22"/>
        </w:rPr>
        <w:t>1</w:t>
      </w:r>
      <w:r>
        <w:rPr>
          <w:rFonts w:ascii="Times New Roman" w:hAnsi="Times New Roman" w:cs="Times New Roman"/>
          <w:sz w:val="22"/>
          <w:szCs w:val="22"/>
        </w:rPr>
        <w:t>6</w:t>
      </w:r>
      <w:r w:rsidR="00D46AE7" w:rsidRPr="00582452">
        <w:rPr>
          <w:rFonts w:ascii="Times New Roman" w:hAnsi="Times New Roman" w:cs="Times New Roman"/>
          <w:sz w:val="22"/>
          <w:szCs w:val="22"/>
        </w:rPr>
        <w:t>.</w:t>
      </w:r>
      <w:r w:rsidR="00D46AE7">
        <w:rPr>
          <w:rFonts w:ascii="Times New Roman" w:hAnsi="Times New Roman" w:cs="Times New Roman"/>
          <w:sz w:val="22"/>
          <w:szCs w:val="22"/>
        </w:rPr>
        <w:t>2</w:t>
      </w:r>
      <w:r w:rsidR="00D46AE7" w:rsidRPr="00582452">
        <w:rPr>
          <w:rFonts w:ascii="Times New Roman" w:hAnsi="Times New Roman" w:cs="Times New Roman"/>
          <w:sz w:val="22"/>
          <w:szCs w:val="22"/>
        </w:rPr>
        <w:t>.201</w:t>
      </w:r>
      <w:r>
        <w:rPr>
          <w:rFonts w:ascii="Times New Roman" w:hAnsi="Times New Roman" w:cs="Times New Roman"/>
          <w:sz w:val="22"/>
          <w:szCs w:val="22"/>
        </w:rPr>
        <w:t>7</w:t>
      </w:r>
      <w:proofErr w:type="gramEnd"/>
      <w:r w:rsidR="00D46AE7" w:rsidRPr="00582452">
        <w:rPr>
          <w:rFonts w:ascii="Times New Roman" w:hAnsi="Times New Roman" w:cs="Times New Roman"/>
          <w:sz w:val="22"/>
          <w:szCs w:val="22"/>
        </w:rPr>
        <w:t xml:space="preserve"> do 3</w:t>
      </w:r>
      <w:r w:rsidR="00D46AE7">
        <w:rPr>
          <w:rFonts w:ascii="Times New Roman" w:hAnsi="Times New Roman" w:cs="Times New Roman"/>
          <w:sz w:val="22"/>
          <w:szCs w:val="22"/>
        </w:rPr>
        <w:t>1</w:t>
      </w:r>
      <w:r w:rsidR="00D46AE7" w:rsidRPr="00582452">
        <w:rPr>
          <w:rFonts w:ascii="Times New Roman" w:hAnsi="Times New Roman" w:cs="Times New Roman"/>
          <w:sz w:val="22"/>
          <w:szCs w:val="22"/>
        </w:rPr>
        <w:t>.1</w:t>
      </w:r>
      <w:r w:rsidR="00D46AE7">
        <w:rPr>
          <w:rFonts w:ascii="Times New Roman" w:hAnsi="Times New Roman" w:cs="Times New Roman"/>
          <w:sz w:val="22"/>
          <w:szCs w:val="22"/>
        </w:rPr>
        <w:t>2</w:t>
      </w:r>
      <w:r w:rsidR="00D46AE7" w:rsidRPr="00582452">
        <w:rPr>
          <w:rFonts w:ascii="Times New Roman" w:hAnsi="Times New Roman" w:cs="Times New Roman"/>
          <w:sz w:val="22"/>
          <w:szCs w:val="22"/>
        </w:rPr>
        <w:t>.201</w:t>
      </w:r>
      <w:r>
        <w:rPr>
          <w:rFonts w:ascii="Times New Roman" w:hAnsi="Times New Roman" w:cs="Times New Roman"/>
          <w:sz w:val="22"/>
          <w:szCs w:val="22"/>
        </w:rPr>
        <w:t>7</w:t>
      </w:r>
      <w:r w:rsidR="00D46AE7" w:rsidRPr="00582452">
        <w:rPr>
          <w:rFonts w:ascii="Times New Roman" w:hAnsi="Times New Roman" w:cs="Times New Roman"/>
          <w:sz w:val="22"/>
          <w:szCs w:val="22"/>
        </w:rPr>
        <w:t>.</w:t>
      </w:r>
    </w:p>
    <w:p w:rsidR="00D46AE7" w:rsidRDefault="00D46AE7" w:rsidP="00D46AE7">
      <w:pPr>
        <w:jc w:val="both"/>
        <w:rPr>
          <w:sz w:val="22"/>
          <w:szCs w:val="22"/>
        </w:rPr>
      </w:pPr>
    </w:p>
    <w:p w:rsidR="00D46AE7" w:rsidRPr="00C315EC" w:rsidRDefault="00D46AE7" w:rsidP="00D46AE7">
      <w:pPr>
        <w:jc w:val="center"/>
        <w:rPr>
          <w:b/>
          <w:sz w:val="22"/>
          <w:szCs w:val="22"/>
        </w:rPr>
      </w:pPr>
      <w:r w:rsidRPr="00C315EC">
        <w:rPr>
          <w:b/>
          <w:sz w:val="22"/>
          <w:szCs w:val="22"/>
        </w:rPr>
        <w:lastRenderedPageBreak/>
        <w:t>II.</w:t>
      </w:r>
    </w:p>
    <w:p w:rsidR="00D46AE7" w:rsidRDefault="00D46AE7" w:rsidP="00D46AE7">
      <w:pPr>
        <w:jc w:val="center"/>
        <w:rPr>
          <w:b/>
          <w:sz w:val="22"/>
          <w:szCs w:val="22"/>
        </w:rPr>
      </w:pPr>
      <w:r w:rsidRPr="00C315EC">
        <w:rPr>
          <w:b/>
          <w:sz w:val="22"/>
          <w:szCs w:val="22"/>
        </w:rPr>
        <w:t>Splatnost peněžních prostředků</w:t>
      </w:r>
    </w:p>
    <w:p w:rsidR="00B21EA9" w:rsidRDefault="00B21EA9" w:rsidP="00D46AE7">
      <w:pPr>
        <w:jc w:val="center"/>
        <w:rPr>
          <w:b/>
          <w:sz w:val="22"/>
          <w:szCs w:val="22"/>
        </w:rPr>
      </w:pPr>
    </w:p>
    <w:p w:rsidR="00B21EA9" w:rsidRDefault="00B21EA9" w:rsidP="00D46AE7">
      <w:pPr>
        <w:jc w:val="center"/>
        <w:rPr>
          <w:b/>
          <w:sz w:val="22"/>
          <w:szCs w:val="22"/>
        </w:rPr>
      </w:pPr>
    </w:p>
    <w:p w:rsidR="00B21EA9" w:rsidRPr="00C315EC" w:rsidRDefault="00B21EA9" w:rsidP="00D46AE7">
      <w:pPr>
        <w:jc w:val="center"/>
        <w:rPr>
          <w:b/>
          <w:sz w:val="22"/>
          <w:szCs w:val="22"/>
        </w:rPr>
      </w:pPr>
    </w:p>
    <w:p w:rsidR="00D46AE7" w:rsidRPr="00C315EC" w:rsidRDefault="00D46AE7" w:rsidP="00D46AE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se zavazuje poskytnout příjemci dotaci za účelem uvedeným v článku I. na účet příjemce uvedený v rubrice této smlouvy nejpozději do </w:t>
      </w:r>
      <w:r>
        <w:rPr>
          <w:rFonts w:ascii="Times New Roman" w:hAnsi="Times New Roman" w:cs="Times New Roman"/>
          <w:sz w:val="22"/>
          <w:szCs w:val="22"/>
        </w:rPr>
        <w:t>7</w:t>
      </w:r>
      <w:r w:rsidRPr="00C315EC">
        <w:rPr>
          <w:rFonts w:ascii="Times New Roman" w:hAnsi="Times New Roman" w:cs="Times New Roman"/>
          <w:sz w:val="22"/>
          <w:szCs w:val="22"/>
        </w:rPr>
        <w:t xml:space="preserve"> dnů poté, co tato smlouva nabyde účinnosti. </w:t>
      </w:r>
    </w:p>
    <w:p w:rsidR="00D46AE7" w:rsidRPr="00C315EC" w:rsidRDefault="00D46AE7" w:rsidP="00D46AE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Finanční prostředky lze použít na úhradu nákladů vzniklých v období od </w:t>
      </w:r>
      <w:proofErr w:type="gramStart"/>
      <w:r>
        <w:rPr>
          <w:rFonts w:ascii="Times New Roman" w:hAnsi="Times New Roman" w:cs="Times New Roman"/>
          <w:sz w:val="22"/>
          <w:szCs w:val="22"/>
        </w:rPr>
        <w:t>1</w:t>
      </w:r>
      <w:r w:rsidR="00B21EA9">
        <w:rPr>
          <w:rFonts w:ascii="Times New Roman" w:hAnsi="Times New Roman" w:cs="Times New Roman"/>
          <w:sz w:val="22"/>
          <w:szCs w:val="22"/>
        </w:rPr>
        <w:t>6</w:t>
      </w:r>
      <w:r>
        <w:rPr>
          <w:rFonts w:ascii="Times New Roman" w:hAnsi="Times New Roman" w:cs="Times New Roman"/>
          <w:sz w:val="22"/>
          <w:szCs w:val="22"/>
        </w:rPr>
        <w:t>.2.201</w:t>
      </w:r>
      <w:r w:rsidR="00B21EA9">
        <w:rPr>
          <w:rFonts w:ascii="Times New Roman" w:hAnsi="Times New Roman" w:cs="Times New Roman"/>
          <w:sz w:val="22"/>
          <w:szCs w:val="22"/>
        </w:rPr>
        <w:t>7</w:t>
      </w:r>
      <w:proofErr w:type="gramEnd"/>
      <w:r w:rsidRPr="00C315EC">
        <w:rPr>
          <w:rFonts w:ascii="Times New Roman" w:hAnsi="Times New Roman" w:cs="Times New Roman"/>
          <w:sz w:val="22"/>
          <w:szCs w:val="22"/>
        </w:rPr>
        <w:t xml:space="preserve"> do </w:t>
      </w:r>
      <w:r>
        <w:rPr>
          <w:rFonts w:ascii="Times New Roman" w:hAnsi="Times New Roman" w:cs="Times New Roman"/>
          <w:sz w:val="22"/>
          <w:szCs w:val="22"/>
        </w:rPr>
        <w:t>31.12.201</w:t>
      </w:r>
      <w:r w:rsidR="00B21EA9">
        <w:rPr>
          <w:rFonts w:ascii="Times New Roman" w:hAnsi="Times New Roman" w:cs="Times New Roman"/>
          <w:sz w:val="22"/>
          <w:szCs w:val="22"/>
        </w:rPr>
        <w:t>7</w:t>
      </w:r>
      <w:r w:rsidRPr="00C315EC">
        <w:rPr>
          <w:rFonts w:ascii="Times New Roman" w:hAnsi="Times New Roman" w:cs="Times New Roman"/>
          <w:sz w:val="22"/>
          <w:szCs w:val="22"/>
        </w:rPr>
        <w:t xml:space="preserve"> vztahujících se ke stanovenému účelu poskytnutí. Finanční prostředky nelze převádět do následujícího období. </w:t>
      </w:r>
    </w:p>
    <w:p w:rsidR="00D46AE7" w:rsidRDefault="00D46AE7" w:rsidP="00D46AE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V termínu pro předložení vyúčtování dotace dle článku III. odst. 4 vrátí příjemce nevyčerpané finanční prostředky na účet poskytovatele. </w:t>
      </w:r>
    </w:p>
    <w:p w:rsidR="00B21EA9" w:rsidRPr="00B21EA9" w:rsidRDefault="00B21EA9" w:rsidP="00B21EA9">
      <w:pPr>
        <w:jc w:val="both"/>
        <w:rPr>
          <w:sz w:val="22"/>
          <w:szCs w:val="22"/>
        </w:rPr>
      </w:pPr>
    </w:p>
    <w:p w:rsidR="00D46AE7" w:rsidRPr="00C315EC" w:rsidRDefault="00D46AE7" w:rsidP="00D46AE7">
      <w:pPr>
        <w:rPr>
          <w:sz w:val="22"/>
          <w:szCs w:val="22"/>
        </w:rPr>
      </w:pPr>
    </w:p>
    <w:p w:rsidR="00D46AE7" w:rsidRPr="00C315EC" w:rsidRDefault="00D46AE7" w:rsidP="00D46AE7">
      <w:pPr>
        <w:jc w:val="center"/>
        <w:rPr>
          <w:b/>
          <w:sz w:val="22"/>
          <w:szCs w:val="22"/>
        </w:rPr>
      </w:pPr>
      <w:r w:rsidRPr="00C315EC">
        <w:rPr>
          <w:b/>
          <w:sz w:val="22"/>
          <w:szCs w:val="22"/>
        </w:rPr>
        <w:t>III.</w:t>
      </w:r>
    </w:p>
    <w:p w:rsidR="00D46AE7" w:rsidRDefault="00D46AE7" w:rsidP="00D46AE7">
      <w:pPr>
        <w:jc w:val="center"/>
        <w:rPr>
          <w:b/>
          <w:sz w:val="22"/>
          <w:szCs w:val="22"/>
        </w:rPr>
      </w:pPr>
      <w:r w:rsidRPr="00C315EC">
        <w:rPr>
          <w:b/>
          <w:sz w:val="22"/>
          <w:szCs w:val="22"/>
        </w:rPr>
        <w:t>Podmínky udělení dotace a vyúčtování dotace</w:t>
      </w:r>
    </w:p>
    <w:p w:rsidR="00B21EA9" w:rsidRDefault="00B21EA9" w:rsidP="00D46AE7">
      <w:pPr>
        <w:jc w:val="center"/>
        <w:rPr>
          <w:b/>
          <w:sz w:val="22"/>
          <w:szCs w:val="22"/>
        </w:rPr>
      </w:pPr>
    </w:p>
    <w:p w:rsidR="00B21EA9" w:rsidRDefault="00B21EA9" w:rsidP="00D46AE7">
      <w:pPr>
        <w:jc w:val="center"/>
        <w:rPr>
          <w:b/>
          <w:sz w:val="22"/>
          <w:szCs w:val="22"/>
        </w:rPr>
      </w:pPr>
    </w:p>
    <w:p w:rsidR="00D46AE7" w:rsidRPr="00C315EC" w:rsidRDefault="00D46AE7" w:rsidP="00D46AE7">
      <w:pPr>
        <w:jc w:val="center"/>
        <w:rPr>
          <w:b/>
          <w:sz w:val="22"/>
          <w:szCs w:val="22"/>
        </w:rPr>
      </w:pPr>
    </w:p>
    <w:p w:rsidR="00D46AE7" w:rsidRPr="00C315EC" w:rsidRDefault="00D46AE7" w:rsidP="00D46AE7">
      <w:pPr>
        <w:pStyle w:val="Odstavecseseznamem"/>
        <w:numPr>
          <w:ilvl w:val="0"/>
          <w:numId w:val="3"/>
        </w:numPr>
        <w:rPr>
          <w:rFonts w:ascii="Times New Roman" w:hAnsi="Times New Roman" w:cs="Times New Roman"/>
          <w:sz w:val="22"/>
          <w:szCs w:val="22"/>
        </w:rPr>
      </w:pPr>
      <w:r w:rsidRPr="00C315EC">
        <w:rPr>
          <w:rFonts w:ascii="Times New Roman" w:hAnsi="Times New Roman" w:cs="Times New Roman"/>
          <w:sz w:val="22"/>
          <w:szCs w:val="22"/>
        </w:rPr>
        <w:t>Příjemce je oprávněn použít dotaci pouze k účelu uvedenému v článku I této smlouvy. Dotace je určena:</w:t>
      </w:r>
    </w:p>
    <w:p w:rsidR="00D46AE7" w:rsidRDefault="00B21EA9" w:rsidP="00B21EA9">
      <w:pPr>
        <w:pStyle w:val="Odstavecseseznamem"/>
        <w:ind w:left="2136"/>
        <w:jc w:val="both"/>
        <w:rPr>
          <w:rFonts w:ascii="Times New Roman" w:hAnsi="Times New Roman" w:cs="Times New Roman"/>
          <w:sz w:val="22"/>
          <w:szCs w:val="22"/>
        </w:rPr>
      </w:pPr>
      <w:r>
        <w:rPr>
          <w:rFonts w:ascii="Times New Roman" w:hAnsi="Times New Roman" w:cs="Times New Roman"/>
          <w:sz w:val="22"/>
          <w:szCs w:val="22"/>
        </w:rPr>
        <w:t xml:space="preserve">K </w:t>
      </w:r>
      <w:r w:rsidRPr="00582452">
        <w:rPr>
          <w:rFonts w:ascii="Times New Roman" w:hAnsi="Times New Roman" w:cs="Times New Roman"/>
          <w:sz w:val="22"/>
          <w:szCs w:val="22"/>
        </w:rPr>
        <w:t>úhradě nákladů spojených s</w:t>
      </w:r>
      <w:r>
        <w:rPr>
          <w:rFonts w:ascii="Times New Roman" w:hAnsi="Times New Roman" w:cs="Times New Roman"/>
          <w:sz w:val="22"/>
          <w:szCs w:val="22"/>
        </w:rPr>
        <w:t xml:space="preserve"> vyúčtováním záloh na energie nájemcům, vypořádání kaucí, zajištění údržby, oprav, služeb a běžného chodu </w:t>
      </w:r>
      <w:r w:rsidR="00D46AE7">
        <w:rPr>
          <w:rFonts w:ascii="Times New Roman" w:hAnsi="Times New Roman" w:cs="Times New Roman"/>
          <w:sz w:val="22"/>
          <w:szCs w:val="22"/>
        </w:rPr>
        <w:t>sportovního areálu</w:t>
      </w:r>
    </w:p>
    <w:p w:rsidR="00D46AE7" w:rsidRPr="00371BEE" w:rsidRDefault="00D46AE7" w:rsidP="00D46AE7">
      <w:pPr>
        <w:pStyle w:val="Odstavecseseznamem"/>
        <w:ind w:left="2136"/>
        <w:rPr>
          <w:rFonts w:ascii="Times New Roman" w:hAnsi="Times New Roman" w:cs="Times New Roman"/>
          <w:sz w:val="22"/>
          <w:szCs w:val="22"/>
        </w:rPr>
      </w:pPr>
    </w:p>
    <w:p w:rsidR="00D46AE7" w:rsidRPr="00C315EC" w:rsidRDefault="00D46AE7" w:rsidP="00D46AE7">
      <w:pPr>
        <w:pStyle w:val="Odstavecseseznamem"/>
        <w:numPr>
          <w:ilvl w:val="0"/>
          <w:numId w:val="4"/>
        </w:numPr>
        <w:rPr>
          <w:rFonts w:ascii="Times New Roman" w:hAnsi="Times New Roman" w:cs="Times New Roman"/>
          <w:sz w:val="22"/>
          <w:szCs w:val="22"/>
        </w:rPr>
      </w:pPr>
      <w:r w:rsidRPr="00C315EC">
        <w:rPr>
          <w:rFonts w:ascii="Times New Roman" w:hAnsi="Times New Roman" w:cs="Times New Roman"/>
          <w:sz w:val="22"/>
          <w:szCs w:val="22"/>
        </w:rPr>
        <w:t xml:space="preserve">Příjemce je povinen vést evidenci </w:t>
      </w:r>
      <w:r>
        <w:rPr>
          <w:rFonts w:ascii="Times New Roman" w:hAnsi="Times New Roman" w:cs="Times New Roman"/>
          <w:sz w:val="22"/>
          <w:szCs w:val="22"/>
        </w:rPr>
        <w:t>výdajů, které vzniknou v souvislosti s předmětem a účelem smlouvy</w:t>
      </w:r>
      <w:r w:rsidRPr="00C315EC">
        <w:rPr>
          <w:rFonts w:ascii="Times New Roman" w:hAnsi="Times New Roman" w:cs="Times New Roman"/>
          <w:sz w:val="22"/>
          <w:szCs w:val="22"/>
        </w:rPr>
        <w:t>. Poskytovateli v rámci vyúčtování dotace předkládá údaje z této evidence.</w:t>
      </w:r>
    </w:p>
    <w:p w:rsidR="00D46AE7" w:rsidRPr="00C315EC" w:rsidRDefault="00D46AE7" w:rsidP="00D46AE7">
      <w:pPr>
        <w:pStyle w:val="Odstavecseseznamem"/>
        <w:numPr>
          <w:ilvl w:val="0"/>
          <w:numId w:val="4"/>
        </w:numPr>
        <w:spacing w:before="240" w:after="160"/>
        <w:jc w:val="both"/>
        <w:rPr>
          <w:rFonts w:ascii="Times New Roman" w:hAnsi="Times New Roman" w:cs="Times New Roman"/>
          <w:sz w:val="22"/>
          <w:szCs w:val="22"/>
        </w:rPr>
      </w:pPr>
      <w:r w:rsidRPr="00C315EC">
        <w:rPr>
          <w:rFonts w:ascii="Times New Roman" w:hAnsi="Times New Roman" w:cs="Times New Roman"/>
          <w:sz w:val="22"/>
          <w:szCs w:val="22"/>
        </w:rPr>
        <w:t>Příjemce je povinen využívat dotaci co nejhospodárněji a vést řádnou a oddělenou evidenci jejího čerpání.</w:t>
      </w:r>
    </w:p>
    <w:p w:rsidR="00D46AE7" w:rsidRPr="00C315EC" w:rsidRDefault="00D46AE7" w:rsidP="00D46AE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 xml:space="preserve">Vyúčtování dotace předloží příjemce </w:t>
      </w:r>
      <w:r>
        <w:rPr>
          <w:rFonts w:ascii="Times New Roman" w:hAnsi="Times New Roman" w:cs="Times New Roman"/>
          <w:sz w:val="22"/>
          <w:szCs w:val="22"/>
        </w:rPr>
        <w:t>do podatelny úřadu městské části</w:t>
      </w:r>
      <w:r w:rsidRPr="00C315EC">
        <w:rPr>
          <w:rFonts w:ascii="Times New Roman" w:hAnsi="Times New Roman" w:cs="Times New Roman"/>
          <w:sz w:val="22"/>
          <w:szCs w:val="22"/>
        </w:rPr>
        <w:t xml:space="preserve"> do </w:t>
      </w:r>
      <w:proofErr w:type="gramStart"/>
      <w:r>
        <w:rPr>
          <w:rFonts w:ascii="Times New Roman" w:hAnsi="Times New Roman" w:cs="Times New Roman"/>
          <w:sz w:val="22"/>
          <w:szCs w:val="22"/>
        </w:rPr>
        <w:t>31.1.201</w:t>
      </w:r>
      <w:r w:rsidR="00B21EA9">
        <w:rPr>
          <w:rFonts w:ascii="Times New Roman" w:hAnsi="Times New Roman" w:cs="Times New Roman"/>
          <w:sz w:val="22"/>
          <w:szCs w:val="22"/>
        </w:rPr>
        <w:t>8</w:t>
      </w:r>
      <w:proofErr w:type="gramEnd"/>
      <w:r w:rsidRPr="00C315EC">
        <w:rPr>
          <w:rFonts w:ascii="Times New Roman" w:hAnsi="Times New Roman" w:cs="Times New Roman"/>
          <w:sz w:val="22"/>
          <w:szCs w:val="22"/>
        </w:rPr>
        <w:t>. Vyúčtováním dotace se rozumí předložení tabulkového přehledu vynaložených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rsidR="00D46AE7" w:rsidRPr="00C315EC" w:rsidRDefault="00D46AE7" w:rsidP="00D46AE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Příslušné kontrolní orgány poskytovatele jsou oprávněny v souladu se zákonem č. 320/2001 Sb., o finanční kontrole, v platném znění, kontrolovat dodržení podmínek, za kterých je dotace poskytnuta.</w:t>
      </w:r>
    </w:p>
    <w:p w:rsidR="00D46AE7" w:rsidRPr="00C315EC" w:rsidRDefault="00D46AE7" w:rsidP="00D46AE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v rámci výkonu kontrolní činnosti dle odst. 1 tohoto článku předložit kontrolním orgánům poskytovatele k nahlédnutí originály všech účetních dokladů týkajících se čerpání dotace.</w:t>
      </w:r>
    </w:p>
    <w:p w:rsidR="00D46AE7" w:rsidRPr="00C315EC" w:rsidRDefault="00D46AE7" w:rsidP="00D46AE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rsidR="00D46AE7" w:rsidRPr="00C315EC" w:rsidRDefault="00D46AE7" w:rsidP="00D46AE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rsidR="00D46AE7" w:rsidRDefault="00D46AE7" w:rsidP="00D46AE7">
      <w:pPr>
        <w:rPr>
          <w:sz w:val="22"/>
          <w:szCs w:val="22"/>
        </w:rPr>
      </w:pPr>
    </w:p>
    <w:p w:rsidR="00B21EA9" w:rsidRDefault="00B21EA9" w:rsidP="00D46AE7">
      <w:pPr>
        <w:rPr>
          <w:sz w:val="22"/>
          <w:szCs w:val="22"/>
        </w:rPr>
      </w:pPr>
    </w:p>
    <w:p w:rsidR="00B21EA9" w:rsidRDefault="00B21EA9" w:rsidP="00D46AE7">
      <w:pPr>
        <w:rPr>
          <w:sz w:val="22"/>
          <w:szCs w:val="22"/>
        </w:rPr>
      </w:pPr>
    </w:p>
    <w:p w:rsidR="00D46AE7" w:rsidRPr="00C315EC" w:rsidRDefault="00D46AE7" w:rsidP="00D46AE7">
      <w:pPr>
        <w:jc w:val="center"/>
        <w:rPr>
          <w:b/>
          <w:sz w:val="22"/>
          <w:szCs w:val="22"/>
        </w:rPr>
      </w:pPr>
      <w:r w:rsidRPr="00C315EC">
        <w:rPr>
          <w:b/>
          <w:sz w:val="22"/>
          <w:szCs w:val="22"/>
        </w:rPr>
        <w:lastRenderedPageBreak/>
        <w:t>IV</w:t>
      </w:r>
    </w:p>
    <w:p w:rsidR="00D46AE7" w:rsidRPr="00C315EC" w:rsidRDefault="00D46AE7" w:rsidP="00D46AE7">
      <w:pPr>
        <w:jc w:val="center"/>
        <w:rPr>
          <w:b/>
          <w:sz w:val="22"/>
          <w:szCs w:val="22"/>
        </w:rPr>
      </w:pPr>
      <w:r w:rsidRPr="00C315EC">
        <w:rPr>
          <w:b/>
          <w:sz w:val="22"/>
          <w:szCs w:val="22"/>
        </w:rPr>
        <w:t>Ukončení smlouvy</w:t>
      </w:r>
    </w:p>
    <w:p w:rsidR="00D46AE7" w:rsidRDefault="00D46AE7" w:rsidP="00D46AE7">
      <w:pPr>
        <w:jc w:val="both"/>
        <w:rPr>
          <w:b/>
          <w:sz w:val="22"/>
          <w:szCs w:val="22"/>
        </w:rPr>
      </w:pPr>
    </w:p>
    <w:p w:rsidR="00B21EA9" w:rsidRPr="00C315EC" w:rsidRDefault="00B21EA9" w:rsidP="00D46AE7">
      <w:pPr>
        <w:jc w:val="both"/>
        <w:rPr>
          <w:b/>
          <w:sz w:val="22"/>
          <w:szCs w:val="22"/>
        </w:rPr>
      </w:pPr>
    </w:p>
    <w:p w:rsidR="00D46AE7" w:rsidRPr="00C315EC" w:rsidRDefault="00D46AE7" w:rsidP="00D46AE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Smlouvu lze ukončit na základě písemné dohody obou smluvních stran nebo písemnou výpovědí smlouvy, a to za podmínek dále stanovených. </w:t>
      </w:r>
    </w:p>
    <w:p w:rsidR="00D46AE7" w:rsidRPr="00C315EC" w:rsidRDefault="00D46AE7" w:rsidP="00D46AE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Poskytovatel může Smlouvu vypovědět jak před proplacením, tak i po proplacení dotace. </w:t>
      </w:r>
    </w:p>
    <w:p w:rsidR="00D46AE7" w:rsidRPr="00C315EC" w:rsidRDefault="00D46AE7" w:rsidP="00D46AE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Výpovědním důvodem je porušení povinností příjemcem dotace stanovených touto smlouvou nebo obecně závaznými právními předpisy, kterého se příjemce dopustí zejména pokud: </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svým jednáním poruší rozpočtovou kázeň dle zákona č. 250/2000 Sb., o rozpočtových pravidlech územních rozpočtů, ve znění pozdějších předpisů,  </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poruší pravidla veřejné podpory,</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bylo zahájeno insolvenční řízení podle zákona č. 182/2006 Sb., o úpadku a způsobech jeho řešení, ve znění pozdějších předpisů,  </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příjemce uvedl nepravdivé, neúplné nebo zkreslené údaje, na které se váže uzavření této Smlouvy,</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v likvidaci, </w:t>
      </w:r>
    </w:p>
    <w:p w:rsidR="00D46AE7" w:rsidRPr="00C315EC" w:rsidRDefault="00D46AE7" w:rsidP="00D46AE7">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opakovaně neplní povinnosti stanovené Smlouvou, i když byl k jejich nápravě vyzván poskytovatelem. </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Výpověď Smlouvy musí být učiněna písemně a musí v ní být uvedeny důvody jejího udělení. </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D46AE7" w:rsidRPr="00C315EC"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D46AE7" w:rsidRPr="00C03884" w:rsidRDefault="00D46AE7" w:rsidP="00D46AE7">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Dohoda o ukončení Smlouvy nabývá účinnosti dnem připsání vrácených peněžních prostředků na účet poskytovatele, nedohodnou-li se smluvní strany jinak.</w:t>
      </w:r>
    </w:p>
    <w:p w:rsidR="00D46AE7" w:rsidRDefault="00D46AE7" w:rsidP="00D46AE7">
      <w:pPr>
        <w:jc w:val="center"/>
        <w:rPr>
          <w:b/>
          <w:sz w:val="22"/>
          <w:szCs w:val="22"/>
        </w:rPr>
      </w:pPr>
    </w:p>
    <w:p w:rsidR="00B21EA9" w:rsidRDefault="00B21EA9" w:rsidP="00D46AE7">
      <w:pPr>
        <w:jc w:val="center"/>
        <w:rPr>
          <w:b/>
          <w:sz w:val="22"/>
          <w:szCs w:val="22"/>
        </w:rPr>
      </w:pPr>
    </w:p>
    <w:p w:rsidR="00B21EA9" w:rsidRPr="00C315EC" w:rsidRDefault="00B21EA9" w:rsidP="00D46AE7">
      <w:pPr>
        <w:jc w:val="center"/>
        <w:rPr>
          <w:b/>
          <w:sz w:val="22"/>
          <w:szCs w:val="22"/>
        </w:rPr>
      </w:pPr>
    </w:p>
    <w:p w:rsidR="00D46AE7" w:rsidRPr="00C315EC" w:rsidRDefault="00D46AE7" w:rsidP="00D46AE7">
      <w:pPr>
        <w:jc w:val="center"/>
        <w:rPr>
          <w:b/>
          <w:sz w:val="22"/>
          <w:szCs w:val="22"/>
        </w:rPr>
      </w:pPr>
      <w:r w:rsidRPr="00C315EC">
        <w:rPr>
          <w:b/>
          <w:sz w:val="22"/>
          <w:szCs w:val="22"/>
        </w:rPr>
        <w:t>V</w:t>
      </w:r>
    </w:p>
    <w:p w:rsidR="00D46AE7" w:rsidRPr="00C315EC" w:rsidRDefault="00D46AE7" w:rsidP="00D46AE7">
      <w:pPr>
        <w:jc w:val="center"/>
        <w:rPr>
          <w:b/>
          <w:sz w:val="22"/>
          <w:szCs w:val="22"/>
        </w:rPr>
      </w:pPr>
      <w:r w:rsidRPr="00C315EC">
        <w:rPr>
          <w:b/>
          <w:sz w:val="22"/>
          <w:szCs w:val="22"/>
        </w:rPr>
        <w:t>Závěrečné ustanovení</w:t>
      </w:r>
    </w:p>
    <w:p w:rsidR="00D46AE7" w:rsidRPr="00C315EC" w:rsidRDefault="00D46AE7" w:rsidP="00D46AE7">
      <w:pPr>
        <w:jc w:val="both"/>
        <w:rPr>
          <w:b/>
          <w:sz w:val="22"/>
          <w:szCs w:val="22"/>
        </w:rPr>
      </w:pPr>
    </w:p>
    <w:p w:rsidR="00D46AE7" w:rsidRPr="00C315EC" w:rsidRDefault="00D46AE7" w:rsidP="00D46AE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Smluvní strany prohlašují, že se seznámily s obsahem této smlouvy a že tato plně vyjadřuje jejich pravou a svobodnou vůli.</w:t>
      </w:r>
    </w:p>
    <w:p w:rsidR="00D46AE7" w:rsidRPr="00C315EC" w:rsidRDefault="00D46AE7" w:rsidP="00D46AE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lastRenderedPageBreak/>
        <w:t>Všechny změny a doplňky této smlouvy musí být učiněny formou písemných, číslovaných dodatků podepsaných oběma smluvními stranami.</w:t>
      </w:r>
    </w:p>
    <w:p w:rsidR="00D46AE7" w:rsidRPr="00C315EC" w:rsidRDefault="00D46AE7" w:rsidP="00D46AE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Tato smlouva nabývá platnosti a účinnosti podpisem smluvních stran a je vyhotovena ve </w:t>
      </w:r>
      <w:r>
        <w:rPr>
          <w:rFonts w:ascii="Times New Roman" w:hAnsi="Times New Roman" w:cs="Times New Roman"/>
          <w:sz w:val="22"/>
          <w:szCs w:val="22"/>
        </w:rPr>
        <w:t>dvou</w:t>
      </w:r>
      <w:r w:rsidRPr="00C315EC">
        <w:rPr>
          <w:rFonts w:ascii="Times New Roman" w:hAnsi="Times New Roman" w:cs="Times New Roman"/>
          <w:sz w:val="22"/>
          <w:szCs w:val="22"/>
        </w:rPr>
        <w:t xml:space="preserve"> stejnopisech, z nichž jeden obdrží příjemce a </w:t>
      </w:r>
      <w:r>
        <w:rPr>
          <w:rFonts w:ascii="Times New Roman" w:hAnsi="Times New Roman" w:cs="Times New Roman"/>
          <w:sz w:val="22"/>
          <w:szCs w:val="22"/>
        </w:rPr>
        <w:t>jeden městská část</w:t>
      </w:r>
      <w:r w:rsidRPr="00C315EC">
        <w:rPr>
          <w:rFonts w:ascii="Times New Roman" w:hAnsi="Times New Roman" w:cs="Times New Roman"/>
          <w:sz w:val="22"/>
          <w:szCs w:val="22"/>
        </w:rPr>
        <w:t>.</w:t>
      </w:r>
    </w:p>
    <w:p w:rsidR="00D46AE7" w:rsidRPr="00C03884" w:rsidRDefault="00D46AE7" w:rsidP="00D46AE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O poskytnutí dotace rozhodlo Zastupitelstvo </w:t>
      </w:r>
      <w:r>
        <w:rPr>
          <w:rFonts w:ascii="Times New Roman" w:hAnsi="Times New Roman" w:cs="Times New Roman"/>
          <w:sz w:val="22"/>
          <w:szCs w:val="22"/>
        </w:rPr>
        <w:t>městské části Praha-Satalice</w:t>
      </w:r>
      <w:r w:rsidRPr="00C315EC">
        <w:rPr>
          <w:rFonts w:ascii="Times New Roman" w:hAnsi="Times New Roman" w:cs="Times New Roman"/>
          <w:sz w:val="22"/>
          <w:szCs w:val="22"/>
        </w:rPr>
        <w:t xml:space="preserve"> usnesením č.</w:t>
      </w:r>
      <w:r w:rsidR="00B21EA9">
        <w:rPr>
          <w:rFonts w:ascii="Times New Roman" w:hAnsi="Times New Roman" w:cs="Times New Roman"/>
          <w:sz w:val="22"/>
          <w:szCs w:val="22"/>
        </w:rPr>
        <w:t>6</w:t>
      </w:r>
      <w:r>
        <w:rPr>
          <w:rFonts w:ascii="Times New Roman" w:hAnsi="Times New Roman" w:cs="Times New Roman"/>
          <w:sz w:val="22"/>
          <w:szCs w:val="22"/>
        </w:rPr>
        <w:t>/2</w:t>
      </w:r>
      <w:r w:rsidR="00B21EA9">
        <w:rPr>
          <w:rFonts w:ascii="Times New Roman" w:hAnsi="Times New Roman" w:cs="Times New Roman"/>
          <w:sz w:val="22"/>
          <w:szCs w:val="22"/>
        </w:rPr>
        <w:t>4</w:t>
      </w:r>
      <w:r>
        <w:rPr>
          <w:rFonts w:ascii="Times New Roman" w:hAnsi="Times New Roman" w:cs="Times New Roman"/>
          <w:sz w:val="22"/>
          <w:szCs w:val="22"/>
        </w:rPr>
        <w:t>/201</w:t>
      </w:r>
      <w:r w:rsidR="00B21EA9">
        <w:rPr>
          <w:rFonts w:ascii="Times New Roman" w:hAnsi="Times New Roman" w:cs="Times New Roman"/>
          <w:sz w:val="22"/>
          <w:szCs w:val="22"/>
        </w:rPr>
        <w:t>7</w:t>
      </w:r>
      <w:r>
        <w:rPr>
          <w:rFonts w:ascii="Times New Roman" w:hAnsi="Times New Roman" w:cs="Times New Roman"/>
          <w:sz w:val="22"/>
          <w:szCs w:val="22"/>
        </w:rPr>
        <w:t xml:space="preserve"> </w:t>
      </w:r>
      <w:r w:rsidRPr="00C03884">
        <w:rPr>
          <w:rFonts w:ascii="Times New Roman" w:hAnsi="Times New Roman" w:cs="Times New Roman"/>
          <w:sz w:val="22"/>
          <w:szCs w:val="22"/>
        </w:rPr>
        <w:t xml:space="preserve">ze dne </w:t>
      </w:r>
      <w:proofErr w:type="gramStart"/>
      <w:r w:rsidR="00B21EA9">
        <w:rPr>
          <w:rFonts w:ascii="Times New Roman" w:hAnsi="Times New Roman" w:cs="Times New Roman"/>
          <w:sz w:val="22"/>
          <w:szCs w:val="22"/>
        </w:rPr>
        <w:t>16</w:t>
      </w:r>
      <w:r>
        <w:rPr>
          <w:rFonts w:ascii="Times New Roman" w:hAnsi="Times New Roman" w:cs="Times New Roman"/>
          <w:sz w:val="22"/>
          <w:szCs w:val="22"/>
        </w:rPr>
        <w:t>.</w:t>
      </w:r>
      <w:r w:rsidR="00B21EA9">
        <w:rPr>
          <w:rFonts w:ascii="Times New Roman" w:hAnsi="Times New Roman" w:cs="Times New Roman"/>
          <w:sz w:val="22"/>
          <w:szCs w:val="22"/>
        </w:rPr>
        <w:t>2</w:t>
      </w:r>
      <w:r>
        <w:rPr>
          <w:rFonts w:ascii="Times New Roman" w:hAnsi="Times New Roman" w:cs="Times New Roman"/>
          <w:sz w:val="22"/>
          <w:szCs w:val="22"/>
        </w:rPr>
        <w:t>.201</w:t>
      </w:r>
      <w:r w:rsidR="00B21EA9">
        <w:rPr>
          <w:rFonts w:ascii="Times New Roman" w:hAnsi="Times New Roman" w:cs="Times New Roman"/>
          <w:sz w:val="22"/>
          <w:szCs w:val="22"/>
        </w:rPr>
        <w:t>7</w:t>
      </w:r>
      <w:proofErr w:type="gramEnd"/>
      <w:r>
        <w:rPr>
          <w:rFonts w:ascii="Times New Roman" w:hAnsi="Times New Roman" w:cs="Times New Roman"/>
          <w:sz w:val="22"/>
          <w:szCs w:val="22"/>
        </w:rPr>
        <w:t>.</w:t>
      </w:r>
    </w:p>
    <w:p w:rsidR="00D46AE7" w:rsidRDefault="00D46AE7" w:rsidP="00D46AE7">
      <w:pPr>
        <w:pStyle w:val="Odstavecseseznamem"/>
        <w:ind w:left="360"/>
        <w:jc w:val="both"/>
        <w:rPr>
          <w:rFonts w:ascii="Times New Roman" w:hAnsi="Times New Roman" w:cs="Times New Roman"/>
          <w:sz w:val="22"/>
          <w:szCs w:val="22"/>
        </w:rPr>
      </w:pPr>
      <w:r w:rsidRPr="00C315EC">
        <w:rPr>
          <w:rFonts w:ascii="Times New Roman" w:hAnsi="Times New Roman" w:cs="Times New Roman"/>
          <w:sz w:val="22"/>
          <w:szCs w:val="22"/>
        </w:rPr>
        <w:t xml:space="preserve"> </w:t>
      </w:r>
    </w:p>
    <w:p w:rsidR="00B21EA9" w:rsidRDefault="00B21EA9" w:rsidP="00D46AE7">
      <w:pPr>
        <w:pStyle w:val="Odstavecseseznamem"/>
        <w:ind w:left="360"/>
        <w:jc w:val="both"/>
        <w:rPr>
          <w:rFonts w:ascii="Times New Roman" w:hAnsi="Times New Roman" w:cs="Times New Roman"/>
          <w:sz w:val="22"/>
          <w:szCs w:val="22"/>
        </w:rPr>
      </w:pPr>
    </w:p>
    <w:p w:rsidR="00B21EA9" w:rsidRPr="00C315EC" w:rsidRDefault="00B21EA9" w:rsidP="00D46AE7">
      <w:pPr>
        <w:pStyle w:val="Odstavecseseznamem"/>
        <w:ind w:left="360"/>
        <w:jc w:val="both"/>
        <w:rPr>
          <w:rFonts w:ascii="Times New Roman" w:hAnsi="Times New Roman" w:cs="Times New Roman"/>
          <w:sz w:val="22"/>
          <w:szCs w:val="22"/>
        </w:rPr>
      </w:pPr>
    </w:p>
    <w:p w:rsidR="00D46AE7" w:rsidRPr="00A132EB" w:rsidRDefault="00D46AE7" w:rsidP="00D46AE7">
      <w:pPr>
        <w:jc w:val="both"/>
        <w:rPr>
          <w:sz w:val="22"/>
          <w:szCs w:val="22"/>
        </w:rPr>
      </w:pPr>
      <w:r w:rsidRPr="00A132EB">
        <w:rPr>
          <w:sz w:val="22"/>
          <w:szCs w:val="22"/>
        </w:rPr>
        <w:t xml:space="preserve">V Praze </w:t>
      </w:r>
      <w:proofErr w:type="gramStart"/>
      <w:r w:rsidRPr="00A132EB">
        <w:rPr>
          <w:sz w:val="22"/>
          <w:szCs w:val="22"/>
        </w:rPr>
        <w:t>dne</w:t>
      </w:r>
      <w:r>
        <w:rPr>
          <w:sz w:val="22"/>
          <w:szCs w:val="22"/>
        </w:rPr>
        <w:t xml:space="preserve"> </w:t>
      </w:r>
      <w:r>
        <w:rPr>
          <w:sz w:val="22"/>
          <w:szCs w:val="22"/>
        </w:rPr>
        <w:tab/>
      </w:r>
      <w:r w:rsidR="00B21EA9">
        <w:rPr>
          <w:sz w:val="22"/>
          <w:szCs w:val="22"/>
        </w:rPr>
        <w:tab/>
      </w:r>
      <w:r>
        <w:rPr>
          <w:sz w:val="22"/>
          <w:szCs w:val="22"/>
        </w:rPr>
        <w:t>.2.201</w:t>
      </w:r>
      <w:r w:rsidR="00B21EA9">
        <w:rPr>
          <w:sz w:val="22"/>
          <w:szCs w:val="22"/>
        </w:rPr>
        <w:t>7</w:t>
      </w:r>
      <w:proofErr w:type="gramEnd"/>
    </w:p>
    <w:p w:rsidR="00D46AE7" w:rsidRDefault="00D46AE7" w:rsidP="00D46AE7">
      <w:pPr>
        <w:jc w:val="both"/>
        <w:rPr>
          <w:sz w:val="22"/>
          <w:szCs w:val="22"/>
        </w:rPr>
      </w:pPr>
    </w:p>
    <w:p w:rsidR="00B21EA9" w:rsidRDefault="00B21EA9" w:rsidP="00D46AE7">
      <w:pPr>
        <w:jc w:val="both"/>
        <w:rPr>
          <w:sz w:val="22"/>
          <w:szCs w:val="22"/>
        </w:rPr>
      </w:pPr>
    </w:p>
    <w:p w:rsidR="00B21EA9" w:rsidRPr="00A132EB" w:rsidRDefault="00B21EA9" w:rsidP="00D46AE7">
      <w:pPr>
        <w:jc w:val="both"/>
        <w:rPr>
          <w:sz w:val="22"/>
          <w:szCs w:val="22"/>
        </w:rPr>
      </w:pPr>
    </w:p>
    <w:p w:rsidR="00D46AE7" w:rsidRDefault="00D46AE7" w:rsidP="00D46AE7">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__________________________</w:t>
      </w:r>
    </w:p>
    <w:p w:rsidR="003204D1" w:rsidRPr="00D46AE7" w:rsidRDefault="00D46AE7" w:rsidP="00D46AE7">
      <w:pPr>
        <w:jc w:val="both"/>
        <w:rPr>
          <w:sz w:val="22"/>
          <w:szCs w:val="22"/>
        </w:rPr>
      </w:pPr>
      <w:r>
        <w:rPr>
          <w:sz w:val="22"/>
          <w:szCs w:val="22"/>
        </w:rPr>
        <w:t>Městská část Praha-Satalice</w:t>
      </w:r>
      <w:r>
        <w:rPr>
          <w:sz w:val="22"/>
          <w:szCs w:val="22"/>
        </w:rPr>
        <w:tab/>
      </w:r>
      <w:r>
        <w:rPr>
          <w:sz w:val="22"/>
          <w:szCs w:val="22"/>
        </w:rPr>
        <w:tab/>
      </w:r>
      <w:r>
        <w:rPr>
          <w:sz w:val="22"/>
          <w:szCs w:val="22"/>
        </w:rPr>
        <w:tab/>
      </w:r>
      <w:r>
        <w:rPr>
          <w:sz w:val="22"/>
          <w:szCs w:val="22"/>
        </w:rPr>
        <w:tab/>
      </w:r>
      <w:r>
        <w:rPr>
          <w:sz w:val="22"/>
          <w:szCs w:val="22"/>
        </w:rPr>
        <w:tab/>
        <w:t xml:space="preserve">                Příjemce</w:t>
      </w:r>
    </w:p>
    <w:sectPr w:rsidR="003204D1" w:rsidRPr="00D46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8F"/>
    <w:multiLevelType w:val="multilevel"/>
    <w:tmpl w:val="687A727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E7"/>
    <w:rsid w:val="003204D1"/>
    <w:rsid w:val="005763E5"/>
    <w:rsid w:val="005A26FE"/>
    <w:rsid w:val="00796FEE"/>
    <w:rsid w:val="00B21EA9"/>
    <w:rsid w:val="00D46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6A64B-567A-46D2-A6FB-BFCBE4D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AE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D46AE7"/>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6AE7"/>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D46AE7"/>
    <w:rPr>
      <w:sz w:val="24"/>
      <w:szCs w:val="24"/>
    </w:rPr>
  </w:style>
  <w:style w:type="paragraph" w:styleId="Odstavecseseznamem">
    <w:name w:val="List Paragraph"/>
    <w:basedOn w:val="Normln"/>
    <w:link w:val="OdstavecseseznamemChar"/>
    <w:uiPriority w:val="34"/>
    <w:qFormat/>
    <w:rsid w:val="00D46AE7"/>
    <w:pPr>
      <w:ind w:left="720"/>
      <w:contextualSpacing/>
    </w:pPr>
    <w:rPr>
      <w:rFonts w:asciiTheme="minorHAnsi" w:eastAsiaTheme="minorHAnsi" w:hAnsiTheme="minorHAnsi" w:cstheme="minorBidi"/>
      <w:lang w:eastAsia="en-US"/>
    </w:rPr>
  </w:style>
  <w:style w:type="paragraph" w:styleId="Normlnweb">
    <w:name w:val="Normal (Web)"/>
    <w:basedOn w:val="Normln"/>
    <w:rsid w:val="00D46AE7"/>
    <w:pPr>
      <w:spacing w:before="100" w:beforeAutospacing="1" w:after="100" w:afterAutospacing="1"/>
    </w:pPr>
  </w:style>
  <w:style w:type="paragraph" w:styleId="Textbubliny">
    <w:name w:val="Balloon Text"/>
    <w:basedOn w:val="Normln"/>
    <w:link w:val="TextbublinyChar"/>
    <w:uiPriority w:val="99"/>
    <w:semiHidden/>
    <w:unhideWhenUsed/>
    <w:rsid w:val="00796F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6FE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1223</Words>
  <Characters>7220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 </cp:lastModifiedBy>
  <cp:revision>7</cp:revision>
  <cp:lastPrinted>2017-02-21T08:17:00Z</cp:lastPrinted>
  <dcterms:created xsi:type="dcterms:W3CDTF">2017-02-17T09:25:00Z</dcterms:created>
  <dcterms:modified xsi:type="dcterms:W3CDTF">2017-02-21T08:17:00Z</dcterms:modified>
</cp:coreProperties>
</file>