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1E" w:rsidRPr="0037591E" w:rsidRDefault="00706938" w:rsidP="000C72FB">
      <w:pPr>
        <w:keepNext/>
        <w:spacing w:after="0" w:line="240" w:lineRule="auto"/>
        <w:jc w:val="right"/>
        <w:rPr>
          <w:rFonts w:ascii="Times New Roman" w:eastAsia="Times New Roman" w:hAnsi="Times New Roman"/>
          <w:sz w:val="24"/>
          <w:szCs w:val="24"/>
          <w:lang w:eastAsia="cs-CZ"/>
        </w:rPr>
      </w:pPr>
      <w:r>
        <w:rPr>
          <w:noProof/>
          <w:lang w:eastAsia="cs-CZ"/>
        </w:rPr>
        <w:drawing>
          <wp:anchor distT="0" distB="0" distL="0" distR="0" simplePos="0" relativeHeight="251657728" behindDoc="0" locked="0" layoutInCell="1" allowOverlap="0">
            <wp:simplePos x="0" y="0"/>
            <wp:positionH relativeFrom="column">
              <wp:posOffset>-120015</wp:posOffset>
            </wp:positionH>
            <wp:positionV relativeFrom="page">
              <wp:posOffset>333375</wp:posOffset>
            </wp:positionV>
            <wp:extent cx="1619250" cy="688340"/>
            <wp:effectExtent l="0" t="0" r="0"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nature.cz/intranet/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91E" w:rsidRPr="0037591E">
        <w:rPr>
          <w:rFonts w:ascii="Arial" w:eastAsia="Times New Roman" w:hAnsi="Arial" w:cs="Arial"/>
          <w:szCs w:val="24"/>
          <w:lang w:eastAsia="cs-CZ"/>
        </w:rPr>
        <w:t xml:space="preserve">Číslo smlouvy: </w:t>
      </w:r>
      <w:r w:rsidR="0037591E" w:rsidRPr="0037591E">
        <w:rPr>
          <w:rFonts w:ascii="Arial" w:eastAsia="Times New Roman" w:hAnsi="Arial" w:cs="Arial"/>
          <w:b/>
          <w:szCs w:val="24"/>
          <w:lang w:eastAsia="cs-CZ"/>
        </w:rPr>
        <w:t>PPK-</w:t>
      </w:r>
      <w:r w:rsidR="009015D2">
        <w:rPr>
          <w:rFonts w:ascii="Arial" w:eastAsia="Times New Roman" w:hAnsi="Arial" w:cs="Arial"/>
          <w:b/>
          <w:szCs w:val="24"/>
          <w:lang w:eastAsia="cs-CZ"/>
        </w:rPr>
        <w:t>4</w:t>
      </w:r>
      <w:r w:rsidR="008856C1">
        <w:rPr>
          <w:rFonts w:ascii="Arial" w:eastAsia="Times New Roman" w:hAnsi="Arial" w:cs="Arial"/>
          <w:b/>
          <w:szCs w:val="24"/>
          <w:lang w:eastAsia="cs-CZ"/>
        </w:rPr>
        <w:t>4</w:t>
      </w:r>
      <w:r w:rsidR="00A1506E">
        <w:rPr>
          <w:rFonts w:ascii="Arial" w:eastAsia="Times New Roman" w:hAnsi="Arial" w:cs="Arial"/>
          <w:b/>
          <w:szCs w:val="24"/>
          <w:lang w:eastAsia="cs-CZ"/>
        </w:rPr>
        <w:t>f</w:t>
      </w:r>
      <w:r w:rsidR="0037591E" w:rsidRPr="0037591E">
        <w:rPr>
          <w:rFonts w:ascii="Arial" w:eastAsia="Times New Roman" w:hAnsi="Arial" w:cs="Arial"/>
          <w:b/>
          <w:szCs w:val="24"/>
          <w:lang w:eastAsia="cs-CZ"/>
        </w:rPr>
        <w:t>/82/</w:t>
      </w:r>
      <w:r w:rsidR="007E37AF">
        <w:rPr>
          <w:rFonts w:ascii="Arial" w:eastAsia="Times New Roman" w:hAnsi="Arial" w:cs="Arial"/>
          <w:b/>
          <w:szCs w:val="24"/>
          <w:lang w:eastAsia="cs-CZ"/>
        </w:rPr>
        <w:t>20</w:t>
      </w:r>
      <w:r w:rsidR="0037591E" w:rsidRPr="0037591E">
        <w:rPr>
          <w:rFonts w:ascii="Arial" w:eastAsia="Times New Roman" w:hAnsi="Arial" w:cs="Arial"/>
          <w:szCs w:val="24"/>
          <w:lang w:eastAsia="cs-CZ"/>
        </w:rPr>
        <w:t xml:space="preserve"> </w:t>
      </w:r>
    </w:p>
    <w:p w:rsidR="0037591E" w:rsidRDefault="0037591E" w:rsidP="000C72FB">
      <w:pPr>
        <w:keepNext/>
        <w:spacing w:after="0" w:line="240" w:lineRule="auto"/>
        <w:jc w:val="right"/>
        <w:rPr>
          <w:rFonts w:ascii="Times New Roman" w:eastAsia="Times New Roman" w:hAnsi="Times New Roman"/>
          <w:sz w:val="24"/>
          <w:szCs w:val="24"/>
          <w:lang w:eastAsia="cs-CZ"/>
        </w:rPr>
      </w:pPr>
      <w:r w:rsidRPr="0037591E">
        <w:rPr>
          <w:rFonts w:ascii="Arial" w:eastAsia="Times New Roman" w:hAnsi="Arial" w:cs="Arial"/>
          <w:szCs w:val="24"/>
          <w:lang w:eastAsia="cs-CZ"/>
        </w:rPr>
        <w:t>Dotační titul: A</w:t>
      </w:r>
      <w:r w:rsidR="00706938">
        <w:rPr>
          <w:rFonts w:ascii="Arial" w:eastAsia="Times New Roman" w:hAnsi="Arial" w:cs="Arial"/>
          <w:szCs w:val="24"/>
          <w:lang w:eastAsia="cs-CZ"/>
        </w:rPr>
        <w:t>1</w:t>
      </w:r>
      <w:r w:rsidRPr="0037591E">
        <w:rPr>
          <w:rFonts w:ascii="Arial" w:eastAsia="Times New Roman" w:hAnsi="Arial" w:cs="Arial"/>
          <w:szCs w:val="24"/>
          <w:lang w:eastAsia="cs-CZ"/>
        </w:rPr>
        <w:t xml:space="preserve"> </w:t>
      </w:r>
    </w:p>
    <w:p w:rsidR="00A1506E" w:rsidRDefault="00A1506E" w:rsidP="00A1506E">
      <w:pPr>
        <w:pStyle w:val="Normlnweb"/>
        <w:jc w:val="center"/>
      </w:pPr>
      <w:r>
        <w:rPr>
          <w:rStyle w:val="Siln"/>
          <w:rFonts w:ascii="Arial" w:hAnsi="Arial" w:cs="Arial"/>
          <w:sz w:val="22"/>
        </w:rPr>
        <w:t>SMLOUVA O DÍLO</w:t>
      </w:r>
    </w:p>
    <w:p w:rsidR="00A1506E" w:rsidRDefault="00A1506E" w:rsidP="00A1506E">
      <w:pPr>
        <w:pStyle w:val="Normlnweb"/>
        <w:jc w:val="center"/>
      </w:pPr>
      <w:r>
        <w:rPr>
          <w:rStyle w:val="Siln"/>
          <w:rFonts w:ascii="Arial" w:hAnsi="Arial" w:cs="Arial"/>
          <w:sz w:val="22"/>
        </w:rPr>
        <w:t>UZAVŘENÁ DLE USTANOVENÍ § 2586 A NÁSL. ZÁK. Č. 89/2012 SB., OBČANSKÉHO ZÁKONÍKU, VE ZNĚNÍ POZDĚJŠÍCH PŘEDPISŮ</w:t>
      </w:r>
    </w:p>
    <w:p w:rsidR="00A1506E" w:rsidRDefault="00A1506E" w:rsidP="00A1506E">
      <w:pPr>
        <w:pStyle w:val="Normlnweb"/>
        <w:jc w:val="center"/>
      </w:pPr>
      <w:r>
        <w:rPr>
          <w:rStyle w:val="Siln"/>
          <w:rFonts w:ascii="Arial" w:hAnsi="Arial" w:cs="Arial"/>
          <w:sz w:val="22"/>
        </w:rPr>
        <w:t>I. Smluvní strany</w:t>
      </w:r>
    </w:p>
    <w:p w:rsidR="00A1506E" w:rsidRDefault="00A1506E" w:rsidP="00A1506E">
      <w:pPr>
        <w:pStyle w:val="Normlnweb"/>
      </w:pPr>
      <w:r>
        <w:rPr>
          <w:rFonts w:ascii="Arial" w:hAnsi="Arial" w:cs="Arial"/>
          <w:sz w:val="22"/>
        </w:rPr>
        <w:t>1.1</w:t>
      </w:r>
      <w:r>
        <w:rPr>
          <w:rStyle w:val="Siln"/>
          <w:rFonts w:ascii="Arial" w:hAnsi="Arial" w:cs="Arial"/>
          <w:sz w:val="22"/>
        </w:rPr>
        <w:t xml:space="preserve"> Objednatel</w:t>
      </w:r>
    </w:p>
    <w:p w:rsidR="00A1506E" w:rsidRDefault="00A1506E" w:rsidP="00A1506E">
      <w:pPr>
        <w:pStyle w:val="Normlnweb"/>
      </w:pPr>
      <w:r>
        <w:rPr>
          <w:rStyle w:val="Siln"/>
          <w:rFonts w:ascii="Arial" w:hAnsi="Arial" w:cs="Arial"/>
          <w:sz w:val="22"/>
        </w:rPr>
        <w:t>Česká republika - Agentura ochrany přírody a krajiny ČR</w:t>
      </w:r>
    </w:p>
    <w:p w:rsidR="00A1506E" w:rsidRDefault="00A1506E" w:rsidP="00A1506E">
      <w:pPr>
        <w:pStyle w:val="Normlnweb"/>
        <w:spacing w:before="0" w:beforeAutospacing="0" w:after="0" w:afterAutospacing="0"/>
      </w:pPr>
      <w:r>
        <w:rPr>
          <w:rFonts w:ascii="Arial" w:hAnsi="Arial" w:cs="Arial"/>
          <w:sz w:val="22"/>
        </w:rPr>
        <w:t xml:space="preserve">Sídlo: Kaplanova 1931/1, 148 00 Praha 11 - Chodov </w:t>
      </w:r>
    </w:p>
    <w:p w:rsidR="00A1506E" w:rsidRDefault="00A1506E" w:rsidP="00A1506E">
      <w:pPr>
        <w:pStyle w:val="Normlnweb"/>
        <w:spacing w:before="0" w:beforeAutospacing="0" w:after="0" w:afterAutospacing="0"/>
      </w:pPr>
      <w:r>
        <w:rPr>
          <w:rFonts w:ascii="Arial" w:hAnsi="Arial" w:cs="Arial"/>
          <w:sz w:val="22"/>
        </w:rPr>
        <w:t xml:space="preserve">Zastoupený: Mgr. František Jaskula </w:t>
      </w:r>
      <w:r>
        <w:rPr>
          <w:rFonts w:ascii="Arial" w:hAnsi="Arial" w:cs="Arial"/>
          <w:sz w:val="22"/>
        </w:rPr>
        <w:br/>
        <w:t xml:space="preserve">ředitel RP SCHKO Beskydy </w:t>
      </w:r>
    </w:p>
    <w:p w:rsidR="00A1506E" w:rsidRDefault="00A1506E" w:rsidP="00A1506E">
      <w:pPr>
        <w:pStyle w:val="Normlnweb"/>
        <w:spacing w:before="0" w:beforeAutospacing="0" w:after="0" w:afterAutospacing="0"/>
      </w:pPr>
      <w:r>
        <w:rPr>
          <w:rFonts w:ascii="Arial" w:hAnsi="Arial" w:cs="Arial"/>
          <w:sz w:val="22"/>
        </w:rPr>
        <w:t>Bankovní spojení: ČNB Praha, Číslo účtu: 18228011/0710</w:t>
      </w:r>
    </w:p>
    <w:p w:rsidR="00A1506E" w:rsidRDefault="00A1506E" w:rsidP="00A1506E">
      <w:pPr>
        <w:pStyle w:val="Normlnweb"/>
        <w:spacing w:before="0" w:beforeAutospacing="0" w:after="0" w:afterAutospacing="0"/>
      </w:pPr>
      <w:r>
        <w:rPr>
          <w:rFonts w:ascii="Arial" w:hAnsi="Arial" w:cs="Arial"/>
          <w:sz w:val="22"/>
        </w:rPr>
        <w:t>IČO: 629 335 91, DIČ: neplátce DPH</w:t>
      </w:r>
    </w:p>
    <w:p w:rsidR="00A1506E" w:rsidRDefault="00A1506E" w:rsidP="00A1506E">
      <w:pPr>
        <w:pStyle w:val="Normlnweb"/>
        <w:spacing w:before="0" w:beforeAutospacing="0" w:after="0" w:afterAutospacing="0"/>
        <w:jc w:val="both"/>
      </w:pPr>
      <w:r>
        <w:rPr>
          <w:rFonts w:ascii="Arial" w:hAnsi="Arial" w:cs="Arial"/>
          <w:sz w:val="22"/>
        </w:rPr>
        <w:t>V rozsahu této smlouvy osoba zmocněná k jednání se zhotovitelem, k věcným úkonům a k převzetí díla: Mgr. Tomáš Myslikovjan</w:t>
      </w:r>
    </w:p>
    <w:p w:rsidR="00A1506E" w:rsidRDefault="00A1506E" w:rsidP="00A1506E">
      <w:pPr>
        <w:pStyle w:val="Normlnweb"/>
      </w:pPr>
      <w:r>
        <w:rPr>
          <w:rFonts w:ascii="Arial" w:hAnsi="Arial" w:cs="Arial"/>
          <w:sz w:val="22"/>
        </w:rPr>
        <w:t xml:space="preserve">(dále jen </w:t>
      </w:r>
      <w:r>
        <w:rPr>
          <w:rFonts w:ascii="Arial" w:hAnsi="Arial" w:cs="Arial"/>
          <w:sz w:val="22"/>
          <w:szCs w:val="22"/>
          <w:lang w:eastAsia="en-US"/>
        </w:rPr>
        <w:t>„</w:t>
      </w:r>
      <w:r>
        <w:rPr>
          <w:rFonts w:ascii="Arial" w:hAnsi="Arial" w:cs="Arial"/>
          <w:sz w:val="22"/>
        </w:rPr>
        <w:t>objednatel”)</w:t>
      </w:r>
    </w:p>
    <w:p w:rsidR="00A1506E" w:rsidRDefault="00A1506E" w:rsidP="00A1506E">
      <w:pPr>
        <w:pStyle w:val="Normlnweb"/>
      </w:pPr>
      <w:r>
        <w:rPr>
          <w:rFonts w:ascii="Arial" w:hAnsi="Arial" w:cs="Arial"/>
          <w:sz w:val="22"/>
        </w:rPr>
        <w:t>a</w:t>
      </w:r>
    </w:p>
    <w:p w:rsidR="00A1506E" w:rsidRDefault="00A1506E" w:rsidP="00A1506E">
      <w:pPr>
        <w:pStyle w:val="Normlnweb"/>
      </w:pPr>
      <w:r>
        <w:rPr>
          <w:rFonts w:ascii="Arial" w:hAnsi="Arial" w:cs="Arial"/>
          <w:sz w:val="22"/>
        </w:rPr>
        <w:t>1.2</w:t>
      </w:r>
      <w:r>
        <w:rPr>
          <w:rStyle w:val="Siln"/>
          <w:rFonts w:ascii="Arial" w:hAnsi="Arial" w:cs="Arial"/>
          <w:sz w:val="22"/>
        </w:rPr>
        <w:t xml:space="preserve"> Zhotovitel</w:t>
      </w:r>
    </w:p>
    <w:p w:rsidR="00A1506E" w:rsidRDefault="00A1506E" w:rsidP="00A1506E">
      <w:pPr>
        <w:pStyle w:val="Normlnweb"/>
      </w:pPr>
      <w:r>
        <w:rPr>
          <w:rStyle w:val="Siln"/>
          <w:rFonts w:ascii="Arial" w:hAnsi="Arial" w:cs="Arial"/>
          <w:sz w:val="22"/>
        </w:rPr>
        <w:t xml:space="preserve">TEON STAV, s. r.o. </w:t>
      </w:r>
    </w:p>
    <w:p w:rsidR="00A1506E" w:rsidRDefault="00A1506E" w:rsidP="00A1506E">
      <w:pPr>
        <w:pStyle w:val="Normlnweb"/>
      </w:pPr>
      <w:r>
        <w:rPr>
          <w:rFonts w:ascii="Arial" w:hAnsi="Arial" w:cs="Arial"/>
          <w:sz w:val="22"/>
        </w:rPr>
        <w:t>Sídlo: Nádražní 417, 73911 Frýdlant nad Ostravicí</w:t>
      </w:r>
      <w:r>
        <w:rPr>
          <w:rFonts w:ascii="Arial" w:hAnsi="Arial" w:cs="Arial"/>
          <w:sz w:val="22"/>
        </w:rPr>
        <w:br/>
        <w:t>Zastoupený: Ing. Andrea Milatová</w:t>
      </w:r>
      <w:r>
        <w:rPr>
          <w:rFonts w:ascii="Arial" w:hAnsi="Arial" w:cs="Arial"/>
          <w:sz w:val="22"/>
        </w:rPr>
        <w:br/>
        <w:t>IČO: 28647777</w:t>
      </w:r>
      <w:r>
        <w:rPr>
          <w:rFonts w:ascii="Arial" w:hAnsi="Arial" w:cs="Arial"/>
          <w:sz w:val="22"/>
        </w:rPr>
        <w:br/>
        <w:t>DIČ: CZ28647777</w:t>
      </w:r>
    </w:p>
    <w:p w:rsidR="00A1506E" w:rsidRDefault="00A1506E" w:rsidP="00A1506E">
      <w:pPr>
        <w:pStyle w:val="Normlnweb"/>
        <w:spacing w:before="0" w:beforeAutospacing="0" w:after="0" w:afterAutospacing="0"/>
        <w:rPr>
          <w:rFonts w:ascii="Arial" w:hAnsi="Arial" w:cs="Arial"/>
          <w:sz w:val="22"/>
        </w:rPr>
      </w:pPr>
      <w:r>
        <w:rPr>
          <w:rFonts w:ascii="Arial" w:hAnsi="Arial" w:cs="Arial"/>
          <w:sz w:val="22"/>
        </w:rPr>
        <w:t xml:space="preserve">(dále jen </w:t>
      </w:r>
      <w:r>
        <w:rPr>
          <w:rFonts w:ascii="Arial" w:hAnsi="Arial" w:cs="Arial"/>
          <w:sz w:val="22"/>
          <w:szCs w:val="22"/>
          <w:lang w:eastAsia="en-US"/>
        </w:rPr>
        <w:t>„</w:t>
      </w:r>
      <w:r>
        <w:rPr>
          <w:rFonts w:ascii="Arial" w:hAnsi="Arial" w:cs="Arial"/>
          <w:sz w:val="22"/>
        </w:rPr>
        <w:t xml:space="preserve">zhotovitel”) </w:t>
      </w:r>
    </w:p>
    <w:p w:rsidR="00A1506E" w:rsidRDefault="00A1506E" w:rsidP="00A1506E">
      <w:pPr>
        <w:pStyle w:val="Normlnweb"/>
        <w:spacing w:before="0" w:beforeAutospacing="0" w:after="0" w:afterAutospacing="0"/>
        <w:jc w:val="center"/>
      </w:pPr>
      <w:r>
        <w:rPr>
          <w:rStyle w:val="Siln"/>
          <w:rFonts w:ascii="Arial" w:hAnsi="Arial" w:cs="Arial"/>
          <w:sz w:val="22"/>
        </w:rPr>
        <w:t>II. Předmět smlouvy</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 xml:space="preserve">2.1 </w:t>
      </w:r>
      <w:r>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A1506E" w:rsidRDefault="00A1506E" w:rsidP="00A1506E">
      <w:pPr>
        <w:pStyle w:val="Normlnweb"/>
        <w:keepLines/>
        <w:spacing w:before="120" w:beforeAutospacing="0" w:after="120" w:afterAutospacing="0"/>
        <w:ind w:left="340" w:hanging="340"/>
        <w:jc w:val="both"/>
        <w:rPr>
          <w:rFonts w:ascii="Arial" w:hAnsi="Arial" w:cs="Arial"/>
          <w:sz w:val="22"/>
        </w:rPr>
      </w:pPr>
      <w:r>
        <w:rPr>
          <w:rFonts w:ascii="Arial" w:hAnsi="Arial" w:cs="Arial"/>
          <w:sz w:val="22"/>
        </w:rPr>
        <w:t xml:space="preserve">2.2 Dílem se rozumí: </w:t>
      </w:r>
    </w:p>
    <w:p w:rsidR="00A1506E" w:rsidRPr="002E3643" w:rsidRDefault="00A1506E" w:rsidP="00A1506E">
      <w:pPr>
        <w:keepLines/>
        <w:spacing w:before="120" w:after="120" w:line="240" w:lineRule="auto"/>
        <w:jc w:val="both"/>
        <w:rPr>
          <w:rFonts w:ascii="Arial" w:eastAsia="Times New Roman" w:hAnsi="Arial" w:cs="Arial"/>
          <w:lang w:eastAsia="cs-CZ"/>
        </w:rPr>
      </w:pPr>
      <w:r w:rsidRPr="007C48F6">
        <w:rPr>
          <w:rFonts w:ascii="Arial" w:eastAsia="Times New Roman" w:hAnsi="Arial" w:cs="Arial"/>
          <w:b/>
          <w:lang w:eastAsia="cs-CZ"/>
        </w:rPr>
        <w:t>Hloubení tůní na podporu</w:t>
      </w:r>
      <w:r>
        <w:rPr>
          <w:rFonts w:ascii="Arial" w:eastAsia="Times New Roman" w:hAnsi="Arial" w:cs="Arial"/>
          <w:b/>
          <w:lang w:eastAsia="cs-CZ"/>
        </w:rPr>
        <w:t xml:space="preserve"> předmětů ochrany EVL Beskydy (kuňka žlutobřichá, čolek karpatský) </w:t>
      </w:r>
      <w:r w:rsidRPr="00380E23">
        <w:rPr>
          <w:rFonts w:ascii="Arial" w:eastAsia="Times New Roman" w:hAnsi="Arial" w:cs="Arial"/>
          <w:b/>
          <w:lang w:eastAsia="cs-CZ"/>
        </w:rPr>
        <w:t>a</w:t>
      </w:r>
      <w:r>
        <w:rPr>
          <w:rFonts w:ascii="Arial" w:eastAsia="Times New Roman" w:hAnsi="Arial" w:cs="Arial"/>
          <w:b/>
          <w:lang w:eastAsia="cs-CZ"/>
        </w:rPr>
        <w:t xml:space="preserve"> </w:t>
      </w:r>
      <w:r w:rsidRPr="00380E23">
        <w:rPr>
          <w:rFonts w:ascii="Arial" w:eastAsia="Times New Roman" w:hAnsi="Arial" w:cs="Arial"/>
          <w:b/>
          <w:lang w:eastAsia="cs-CZ"/>
        </w:rPr>
        <w:t>k</w:t>
      </w:r>
      <w:r>
        <w:rPr>
          <w:rFonts w:ascii="Arial" w:eastAsia="Times New Roman" w:hAnsi="Arial" w:cs="Arial"/>
          <w:b/>
          <w:lang w:eastAsia="cs-CZ"/>
        </w:rPr>
        <w:t xml:space="preserve"> </w:t>
      </w:r>
      <w:r w:rsidRPr="00380E23">
        <w:rPr>
          <w:rFonts w:ascii="Arial" w:eastAsia="Times New Roman" w:hAnsi="Arial" w:cs="Arial"/>
          <w:b/>
          <w:lang w:eastAsia="cs-CZ"/>
        </w:rPr>
        <w:t xml:space="preserve">zadržování vody v krajině včetně obnovy mokřadních ploch </w:t>
      </w:r>
      <w:r>
        <w:rPr>
          <w:rFonts w:ascii="Arial" w:eastAsia="Times New Roman" w:hAnsi="Arial" w:cs="Arial"/>
          <w:b/>
          <w:lang w:eastAsia="cs-CZ"/>
        </w:rPr>
        <w:t xml:space="preserve">na území přírodních rezervací Velký Polom a Uplaz </w:t>
      </w:r>
      <w:r w:rsidRPr="00380E23">
        <w:rPr>
          <w:rFonts w:ascii="Arial" w:eastAsia="Times New Roman" w:hAnsi="Arial" w:cs="Arial"/>
          <w:lang w:eastAsia="cs-CZ"/>
        </w:rPr>
        <w:t>– lokalizace viz mapová příloha smlouvy</w:t>
      </w:r>
      <w:r>
        <w:rPr>
          <w:rFonts w:ascii="Arial" w:eastAsia="Times New Roman" w:hAnsi="Arial" w:cs="Arial"/>
          <w:lang w:eastAsia="cs-CZ"/>
        </w:rPr>
        <w:t xml:space="preserve"> (čísla </w:t>
      </w:r>
      <w:r w:rsidRPr="002E3643">
        <w:rPr>
          <w:rFonts w:ascii="Arial" w:eastAsia="Times New Roman" w:hAnsi="Arial" w:cs="Arial"/>
          <w:lang w:eastAsia="cs-CZ"/>
        </w:rPr>
        <w:t xml:space="preserve">v závorkách odkazují na označení tůní v mapě). </w:t>
      </w:r>
    </w:p>
    <w:p w:rsidR="00A1506E" w:rsidRPr="002E3643" w:rsidRDefault="00A1506E" w:rsidP="00A1506E">
      <w:pPr>
        <w:numPr>
          <w:ilvl w:val="0"/>
          <w:numId w:val="10"/>
        </w:numPr>
        <w:spacing w:after="160" w:line="259" w:lineRule="auto"/>
        <w:ind w:left="284"/>
        <w:jc w:val="both"/>
        <w:rPr>
          <w:rFonts w:ascii="Arial" w:hAnsi="Arial" w:cs="Arial"/>
        </w:rPr>
      </w:pPr>
      <w:r w:rsidRPr="002E3643">
        <w:rPr>
          <w:rFonts w:ascii="Arial" w:hAnsi="Arial" w:cs="Arial"/>
        </w:rPr>
        <w:t xml:space="preserve">vyhloubení a obnova dvou tůní o rozměrech 3 x 3 m (č. 1) a 15 x 3 m (č. 2) a průměrnou hloubkou 0,5 m v trase bývalé přibližovací linky. Opatření budou realizována v severozápadní části dílce 413 C v rámci PR Velký Polom na pozemku p. č. 1366/2 v k. ú. Dolní Lomná., </w:t>
      </w:r>
    </w:p>
    <w:p w:rsidR="00A1506E" w:rsidRPr="002E3643" w:rsidRDefault="00A1506E" w:rsidP="00A1506E">
      <w:pPr>
        <w:numPr>
          <w:ilvl w:val="0"/>
          <w:numId w:val="10"/>
        </w:numPr>
        <w:spacing w:after="160" w:line="259" w:lineRule="auto"/>
        <w:ind w:left="284"/>
        <w:jc w:val="both"/>
        <w:rPr>
          <w:rFonts w:ascii="Arial" w:hAnsi="Arial" w:cs="Arial"/>
        </w:rPr>
      </w:pPr>
      <w:r w:rsidRPr="002E3643">
        <w:rPr>
          <w:rFonts w:ascii="Arial" w:hAnsi="Arial" w:cs="Arial"/>
        </w:rPr>
        <w:t>vyhloubení a obnova čtyř tůní o rozměrech 3 x 3 m (č. 3), 3 x 4 m (č. 4), 4 x 3 m (č. 5) a 4 x 4 m (č. 6) vždy s průměrnou hloubkou 0,5 m v trase bývalé traktorové linky. Opatření budou realizována v severozápadní části dílce 413 B v rámci PR Velký Polom na pozemku p. č. 2369/47 v k. ú. Horní Lomná,</w:t>
      </w:r>
    </w:p>
    <w:p w:rsidR="00A1506E" w:rsidRPr="002E3643" w:rsidRDefault="00A1506E" w:rsidP="00A1506E">
      <w:pPr>
        <w:numPr>
          <w:ilvl w:val="0"/>
          <w:numId w:val="10"/>
        </w:numPr>
        <w:spacing w:after="160" w:line="259" w:lineRule="auto"/>
        <w:ind w:left="284"/>
        <w:jc w:val="both"/>
        <w:rPr>
          <w:rFonts w:ascii="Arial" w:hAnsi="Arial" w:cs="Arial"/>
        </w:rPr>
      </w:pPr>
      <w:r w:rsidRPr="002E3643">
        <w:rPr>
          <w:rFonts w:ascii="Arial" w:hAnsi="Arial" w:cs="Arial"/>
        </w:rPr>
        <w:lastRenderedPageBreak/>
        <w:t xml:space="preserve">vyhloubení a obnova drobné tůně o rozměrech 3 x 2 m (č. 7) a průměrné hloubce 0,5 m u lesní odvozní cesty při západní hranici porostní skupiny 413 B 12/1c a zároveň PR Velký Polom. Tůňka bude vyhloubena na části pozemku </w:t>
      </w:r>
      <w:proofErr w:type="gramStart"/>
      <w:r w:rsidRPr="002E3643">
        <w:rPr>
          <w:rFonts w:ascii="Arial" w:hAnsi="Arial" w:cs="Arial"/>
        </w:rPr>
        <w:t>p.č.</w:t>
      </w:r>
      <w:proofErr w:type="gramEnd"/>
      <w:r w:rsidRPr="002E3643">
        <w:rPr>
          <w:rFonts w:ascii="Arial" w:hAnsi="Arial" w:cs="Arial"/>
        </w:rPr>
        <w:t xml:space="preserve"> 2369/47 v k. ú. Horní Lomná,</w:t>
      </w:r>
    </w:p>
    <w:p w:rsidR="00A1506E" w:rsidRPr="002E3643" w:rsidRDefault="00A1506E" w:rsidP="00A1506E">
      <w:pPr>
        <w:numPr>
          <w:ilvl w:val="0"/>
          <w:numId w:val="10"/>
        </w:numPr>
        <w:spacing w:after="160" w:line="259" w:lineRule="auto"/>
        <w:ind w:left="284"/>
        <w:jc w:val="both"/>
        <w:rPr>
          <w:rFonts w:ascii="Arial" w:hAnsi="Arial" w:cs="Arial"/>
        </w:rPr>
      </w:pPr>
      <w:r w:rsidRPr="002E3643">
        <w:rPr>
          <w:rFonts w:ascii="Arial" w:hAnsi="Arial" w:cs="Arial"/>
        </w:rPr>
        <w:t>obnova tůně o přibližných rozměrech 5 x 5 m (č. 8) a průměrné hloubce 0,5 m u lesní odvozní cesty u severozápadního cípu PR Velký Polom. Opatření bude realizováno na části pozemku p. č. 2369/5 v k. ú. Horní Lomná,</w:t>
      </w:r>
    </w:p>
    <w:p w:rsidR="00A1506E" w:rsidRPr="002E3643" w:rsidRDefault="00A1506E" w:rsidP="00A1506E">
      <w:pPr>
        <w:numPr>
          <w:ilvl w:val="0"/>
          <w:numId w:val="10"/>
        </w:numPr>
        <w:spacing w:after="160" w:line="259" w:lineRule="auto"/>
        <w:ind w:left="284"/>
        <w:jc w:val="both"/>
        <w:rPr>
          <w:rFonts w:ascii="Arial" w:hAnsi="Arial" w:cs="Arial"/>
        </w:rPr>
      </w:pPr>
      <w:r w:rsidRPr="002E3643">
        <w:rPr>
          <w:rFonts w:ascii="Arial" w:hAnsi="Arial" w:cs="Arial"/>
        </w:rPr>
        <w:t xml:space="preserve">vyhloubení tůní o rozměrech 4 x 4 m (č. 9), 3 x 3 m (č. 10) a 7 x 3 m (č. 11), vždy o průměrné hloubce 0, 5 m v trase bývalé traktorové linky v severní části porostní skupiny 402 A 12. Opatření </w:t>
      </w:r>
      <w:proofErr w:type="gramStart"/>
      <w:r w:rsidRPr="002E3643">
        <w:rPr>
          <w:rFonts w:ascii="Arial" w:hAnsi="Arial" w:cs="Arial"/>
        </w:rPr>
        <w:t>bude</w:t>
      </w:r>
      <w:proofErr w:type="gramEnd"/>
      <w:r w:rsidRPr="002E3643">
        <w:rPr>
          <w:rFonts w:ascii="Arial" w:hAnsi="Arial" w:cs="Arial"/>
        </w:rPr>
        <w:t xml:space="preserve"> realizováno na území PR </w:t>
      </w:r>
      <w:proofErr w:type="gramStart"/>
      <w:r w:rsidRPr="002E3643">
        <w:rPr>
          <w:rFonts w:ascii="Arial" w:hAnsi="Arial" w:cs="Arial"/>
        </w:rPr>
        <w:t>Uplaz</w:t>
      </w:r>
      <w:proofErr w:type="gramEnd"/>
      <w:r w:rsidRPr="002E3643">
        <w:rPr>
          <w:rFonts w:ascii="Arial" w:hAnsi="Arial" w:cs="Arial"/>
        </w:rPr>
        <w:t xml:space="preserve"> na části pozemku p. č. 2369/5 v k. ú. Horní Lomná,</w:t>
      </w:r>
    </w:p>
    <w:p w:rsidR="00A1506E" w:rsidRPr="002E3643" w:rsidRDefault="00A1506E" w:rsidP="00A1506E">
      <w:pPr>
        <w:numPr>
          <w:ilvl w:val="0"/>
          <w:numId w:val="10"/>
        </w:numPr>
        <w:spacing w:after="160" w:line="259" w:lineRule="auto"/>
        <w:ind w:left="284"/>
        <w:jc w:val="both"/>
        <w:rPr>
          <w:rFonts w:ascii="Arial" w:hAnsi="Arial" w:cs="Arial"/>
        </w:rPr>
      </w:pPr>
      <w:r w:rsidRPr="002E3643">
        <w:rPr>
          <w:rFonts w:ascii="Arial" w:hAnsi="Arial" w:cs="Arial"/>
        </w:rPr>
        <w:t xml:space="preserve">realizace povrchových protierozních úprav a opatření k zasakování vody ve dvou úsecích bývalé traktorové svážnice o celkové délce 110 m; opatření bude spočívat v hloubkovém narušení půdy pomocí lžíce bagru, a to podebráním zeminy a zpětným uložením do téhož místa. Mezi jednotlivými jámami bude ponechána zhutněná (bagrem nenarušená) hrázka o šířce 0,7-1,5m, která bude sloužit jako stabilizační prvek. Opatření bude provedeno v rámci revitalizace bývalých traktorových svážnic v severozápadní části dílců 413 C a 413 B v PR Velký </w:t>
      </w:r>
      <w:proofErr w:type="gramStart"/>
      <w:r w:rsidRPr="002E3643">
        <w:rPr>
          <w:rFonts w:ascii="Arial" w:hAnsi="Arial" w:cs="Arial"/>
        </w:rPr>
        <w:t>Polom</w:t>
      </w:r>
      <w:proofErr w:type="gramEnd"/>
      <w:r w:rsidRPr="002E3643">
        <w:rPr>
          <w:rFonts w:ascii="Arial" w:hAnsi="Arial" w:cs="Arial"/>
        </w:rPr>
        <w:t xml:space="preserve">.  </w:t>
      </w:r>
    </w:p>
    <w:p w:rsidR="00A1506E" w:rsidRPr="002E3643" w:rsidRDefault="00A1506E" w:rsidP="00A1506E">
      <w:pPr>
        <w:keepNext/>
        <w:keepLines/>
        <w:spacing w:after="0" w:line="240" w:lineRule="auto"/>
        <w:ind w:firstLine="284"/>
        <w:jc w:val="both"/>
        <w:rPr>
          <w:rFonts w:ascii="Arial" w:eastAsia="Times New Roman" w:hAnsi="Arial"/>
          <w:lang w:eastAsia="cs-CZ"/>
        </w:rPr>
      </w:pPr>
      <w:r w:rsidRPr="002E3643">
        <w:rPr>
          <w:rFonts w:ascii="Arial" w:eastAsia="Times New Roman" w:hAnsi="Arial"/>
          <w:lang w:eastAsia="cs-CZ"/>
        </w:rPr>
        <w:t>Všechna opatření budou provedena v souladu se standardem péče o přírodu a krajinu AOPK ČR – „Vytváření a obnova tůní“. Tůně budou mít nepravidelný tvar odpovídající terénu a celkový objem vytěženého substrátu bude dosahovat nejméně 90 m</w:t>
      </w:r>
      <w:r w:rsidRPr="002E3643">
        <w:rPr>
          <w:rFonts w:ascii="Arial" w:eastAsia="Times New Roman" w:hAnsi="Arial"/>
          <w:vertAlign w:val="superscript"/>
          <w:lang w:eastAsia="cs-CZ"/>
        </w:rPr>
        <w:t>3</w:t>
      </w:r>
      <w:r w:rsidRPr="002E3643">
        <w:rPr>
          <w:rFonts w:ascii="Arial" w:eastAsia="Times New Roman" w:hAnsi="Arial"/>
          <w:lang w:eastAsia="cs-CZ"/>
        </w:rPr>
        <w:t>. Tůně budou vyhloubeny na vlhkých místech často s porosty skřípiny a sítiny. Vytěžený materiál bude uložen převážně ze spodní strany tůní, čímž bude vytvořen val k zadržení většího objemu vody (na mikrolokalitách v mírném svahu), nebo rozprostřen do okolí tůní.</w:t>
      </w:r>
    </w:p>
    <w:p w:rsidR="00A1506E" w:rsidRDefault="00A1506E" w:rsidP="00A1506E">
      <w:pPr>
        <w:keepNext/>
        <w:keepLines/>
        <w:spacing w:after="0" w:line="240" w:lineRule="auto"/>
        <w:ind w:firstLine="709"/>
        <w:jc w:val="both"/>
      </w:pPr>
      <w:r w:rsidRPr="002E3643">
        <w:rPr>
          <w:rFonts w:ascii="Arial" w:eastAsia="Times New Roman" w:hAnsi="Arial"/>
          <w:lang w:eastAsia="cs-CZ"/>
        </w:rPr>
        <w:t xml:space="preserve">Opatření jsou v souladu také s plány péče o PR Velký Polom a PR Uplaz. Realizací budou zlepšeny podmínky pro rozmnožování chráněných druhů obojživelníků, zejména čolků horských a karpatských, skokana hnědého, ropuchy obecné a kuňky žlutobřiché.  </w:t>
      </w:r>
      <w:r>
        <w:rPr>
          <w:rFonts w:ascii="Arial" w:hAnsi="Arial" w:cs="Arial"/>
        </w:rPr>
        <w:t>Opatření bude provedeno v souladu se standardem AOPK: 02 001 Vytváření a obnova tůní.</w:t>
      </w:r>
    </w:p>
    <w:p w:rsidR="00A1506E" w:rsidRDefault="00A1506E" w:rsidP="00A1506E">
      <w:pPr>
        <w:pStyle w:val="Normlnweb"/>
        <w:spacing w:before="120" w:beforeAutospacing="0" w:after="120" w:afterAutospacing="0"/>
        <w:ind w:left="340"/>
        <w:jc w:val="both"/>
      </w:pPr>
      <w:r>
        <w:rPr>
          <w:rFonts w:ascii="Arial" w:hAnsi="Arial" w:cs="Arial"/>
          <w:sz w:val="22"/>
        </w:rPr>
        <w:t>(dále jen „dílo“)</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2.3 Při provádění díla je zhotovitel vázán pokyny objednatele.</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A1506E" w:rsidRDefault="00A1506E" w:rsidP="00A1506E">
      <w:pPr>
        <w:pStyle w:val="Normlnweb"/>
        <w:jc w:val="center"/>
      </w:pPr>
      <w:r>
        <w:rPr>
          <w:rStyle w:val="Siln"/>
          <w:rFonts w:ascii="Arial" w:hAnsi="Arial" w:cs="Arial"/>
          <w:sz w:val="22"/>
        </w:rPr>
        <w:t>III. Cena díla a platební podmínky</w:t>
      </w:r>
    </w:p>
    <w:p w:rsidR="00A1506E" w:rsidRDefault="00A1506E" w:rsidP="00A1506E">
      <w:pPr>
        <w:pStyle w:val="Normlnweb"/>
        <w:spacing w:before="0" w:beforeAutospacing="0" w:after="0" w:afterAutospacing="0"/>
      </w:pPr>
      <w:r>
        <w:rPr>
          <w:rFonts w:ascii="Arial" w:hAnsi="Arial" w:cs="Arial"/>
          <w:sz w:val="22"/>
        </w:rPr>
        <w:t>3.1 Cena díla je stanovena v souladu s právními předpisy:</w:t>
      </w:r>
    </w:p>
    <w:p w:rsidR="00A1506E" w:rsidRDefault="00A1506E" w:rsidP="00A1506E">
      <w:pPr>
        <w:pStyle w:val="Normlnweb"/>
        <w:spacing w:before="120" w:beforeAutospacing="0" w:after="120" w:afterAutospacing="0"/>
        <w:ind w:left="340"/>
        <w:jc w:val="both"/>
      </w:pPr>
      <w:r>
        <w:rPr>
          <w:rFonts w:ascii="Arial" w:hAnsi="Arial" w:cs="Arial"/>
          <w:sz w:val="22"/>
        </w:rPr>
        <w:t>Cena bez DPH: 82 644,63Kč</w:t>
      </w:r>
    </w:p>
    <w:p w:rsidR="00A1506E" w:rsidRDefault="00A1506E" w:rsidP="00A1506E">
      <w:pPr>
        <w:pStyle w:val="Normlnweb"/>
        <w:spacing w:before="120" w:beforeAutospacing="0" w:after="120" w:afterAutospacing="0"/>
        <w:ind w:left="340"/>
        <w:jc w:val="both"/>
      </w:pPr>
      <w:r>
        <w:rPr>
          <w:rFonts w:ascii="Arial" w:hAnsi="Arial" w:cs="Arial"/>
          <w:sz w:val="22"/>
        </w:rPr>
        <w:t>DPH 21%: 17 355,37Kč</w:t>
      </w:r>
    </w:p>
    <w:p w:rsidR="00A1506E" w:rsidRDefault="00A1506E" w:rsidP="00A1506E">
      <w:pPr>
        <w:pStyle w:val="Normlnweb"/>
        <w:spacing w:before="120" w:beforeAutospacing="0" w:after="120" w:afterAutospacing="0"/>
        <w:ind w:left="340"/>
        <w:jc w:val="both"/>
      </w:pPr>
      <w:r>
        <w:rPr>
          <w:rFonts w:ascii="Arial" w:hAnsi="Arial" w:cs="Arial"/>
          <w:sz w:val="22"/>
        </w:rPr>
        <w:t xml:space="preserve">Cena včetně DPH: </w:t>
      </w:r>
      <w:r w:rsidRPr="00A1506E">
        <w:rPr>
          <w:rFonts w:ascii="Arial" w:hAnsi="Arial" w:cs="Arial"/>
          <w:b/>
          <w:sz w:val="22"/>
        </w:rPr>
        <w:t>100 000,- Kč</w:t>
      </w:r>
      <w:r>
        <w:rPr>
          <w:rFonts w:ascii="Arial" w:hAnsi="Arial" w:cs="Arial"/>
          <w:sz w:val="22"/>
        </w:rPr>
        <w:t>, (slovy stotisíckorun českých).</w:t>
      </w:r>
    </w:p>
    <w:p w:rsidR="00A1506E" w:rsidRDefault="00A1506E" w:rsidP="00A1506E">
      <w:pPr>
        <w:pStyle w:val="Normlnweb"/>
        <w:spacing w:before="120" w:beforeAutospacing="0" w:after="120" w:afterAutospacing="0"/>
        <w:ind w:left="340"/>
        <w:jc w:val="both"/>
      </w:pPr>
      <w:r>
        <w:rPr>
          <w:rFonts w:ascii="Arial" w:hAnsi="Arial" w:cs="Arial"/>
          <w:sz w:val="22"/>
        </w:rPr>
        <w:t>Zhotovitel je plátce DPH.</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3.2 Dohodnutá cena je stanovena jako nejvýše přípustná. Ke změně může dojít pouze při změně zákonných sazeb DPH.</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 xml:space="preserve">3.3 Veškeré náklady vzniklé zhotoviteli v souvislosti s prováděním díla jsou zahrnuty v ceně díla. </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Pr>
          <w:rFonts w:ascii="Arial" w:hAnsi="Arial" w:cs="Arial"/>
          <w:sz w:val="22"/>
        </w:rPr>
        <w:t>15.12. kalendářního</w:t>
      </w:r>
      <w:proofErr w:type="gramEnd"/>
      <w:r>
        <w:rPr>
          <w:rFonts w:ascii="Arial" w:hAnsi="Arial" w:cs="Arial"/>
          <w:sz w:val="22"/>
        </w:rPr>
        <w:t xml:space="preserve"> roku) na základě předávacího protokolu na adresu: Regionální pracoviště SCHKO Beskydy, Nádražní 36, 75661 Rožnov pod Radhoštěm.</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lastRenderedPageBreak/>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A1506E" w:rsidRDefault="00A1506E" w:rsidP="00A1506E">
      <w:pPr>
        <w:pStyle w:val="Normlnweb"/>
        <w:keepLines/>
        <w:spacing w:before="120" w:beforeAutospacing="0" w:after="120" w:afterAutospacing="0"/>
        <w:ind w:left="340" w:hanging="340"/>
        <w:jc w:val="both"/>
      </w:pPr>
      <w:r>
        <w:t> </w:t>
      </w:r>
      <w:r>
        <w:rPr>
          <w:rFonts w:ascii="Arial" w:hAnsi="Arial" w:cs="Arial"/>
          <w:sz w:val="22"/>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 xml:space="preserve">3.7 Smluvní strany se dohodly, že objednatel nebude poskytovat zálohové platby. </w:t>
      </w:r>
    </w:p>
    <w:p w:rsidR="00A1506E" w:rsidRDefault="00A1506E" w:rsidP="00A1506E">
      <w:pPr>
        <w:pStyle w:val="Normlnweb"/>
        <w:jc w:val="center"/>
      </w:pPr>
      <w:r>
        <w:rPr>
          <w:rStyle w:val="Siln"/>
          <w:rFonts w:ascii="Arial" w:hAnsi="Arial" w:cs="Arial"/>
          <w:sz w:val="22"/>
        </w:rPr>
        <w:t>IV.</w:t>
      </w:r>
      <w:r>
        <w:rPr>
          <w:rFonts w:ascii="Arial" w:hAnsi="Arial" w:cs="Arial"/>
          <w:sz w:val="22"/>
        </w:rPr>
        <w:t xml:space="preserve"> </w:t>
      </w:r>
      <w:r>
        <w:rPr>
          <w:rStyle w:val="Siln"/>
          <w:rFonts w:ascii="Arial" w:hAnsi="Arial" w:cs="Arial"/>
          <w:sz w:val="22"/>
        </w:rPr>
        <w:t>Doba a místo plnění</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 xml:space="preserve">4.1 Zhotovitel se zavazuje provést dílo a předat jej objednateli nejpozději </w:t>
      </w:r>
      <w:proofErr w:type="gramStart"/>
      <w:r>
        <w:rPr>
          <w:rFonts w:ascii="Arial" w:hAnsi="Arial" w:cs="Arial"/>
          <w:sz w:val="22"/>
        </w:rPr>
        <w:t>do</w:t>
      </w:r>
      <w:proofErr w:type="gramEnd"/>
      <w:r>
        <w:rPr>
          <w:rFonts w:ascii="Arial" w:hAnsi="Arial" w:cs="Arial"/>
          <w:sz w:val="22"/>
        </w:rPr>
        <w:t xml:space="preserve">: </w:t>
      </w:r>
      <w:proofErr w:type="gramStart"/>
      <w:r>
        <w:rPr>
          <w:rFonts w:ascii="Arial" w:hAnsi="Arial" w:cs="Arial"/>
          <w:sz w:val="22"/>
        </w:rPr>
        <w:t>15.12.2020</w:t>
      </w:r>
      <w:proofErr w:type="gramEnd"/>
      <w:r>
        <w:rPr>
          <w:rFonts w:ascii="Arial" w:hAnsi="Arial" w:cs="Arial"/>
          <w:sz w:val="22"/>
        </w:rPr>
        <w:t>.</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4.2 Pokud zhotovitel dokončí dílo před dohodnutým termínem, zavazuje se objednatel, že převezme dílo i v dřívějším nabídnutém termínu, pokud bude bez vad a nedodělků.</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4.3 Místem plnění je viz mapová příloha.</w:t>
      </w:r>
    </w:p>
    <w:p w:rsidR="00A1506E" w:rsidRDefault="00A1506E" w:rsidP="00A1506E">
      <w:pPr>
        <w:pStyle w:val="Normlnweb"/>
        <w:jc w:val="center"/>
      </w:pPr>
      <w:r>
        <w:rPr>
          <w:rStyle w:val="Siln"/>
          <w:rFonts w:ascii="Arial" w:hAnsi="Arial" w:cs="Arial"/>
          <w:sz w:val="22"/>
        </w:rPr>
        <w:t>V. Další ujednání</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5.1 Zhotovitel je povinen provést dílo v kvalitě, formě a obsahu, které vyžaduje tato smlouva a která je obvyklá pro díla obdobného typu. Zhotovitel je povinen po celou dobu provádění díla dbát pokynů objednatele.</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6" w:history="1">
        <w:r>
          <w:rPr>
            <w:rStyle w:val="Hypertextovodkaz"/>
            <w:rFonts w:ascii="Arial" w:hAnsi="Arial" w:cs="Arial"/>
            <w:sz w:val="22"/>
          </w:rPr>
          <w:t>https://portal.nature.cz/publik_syst/files/oop_mngmonvyj.pdf</w:t>
        </w:r>
      </w:hyperlink>
      <w:r>
        <w:rPr>
          <w:rFonts w:ascii="Arial" w:hAnsi="Arial" w:cs="Arial"/>
          <w:sz w:val="22"/>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A1506E" w:rsidRDefault="00A1506E" w:rsidP="00A1506E">
      <w:pPr>
        <w:pStyle w:val="Normlnweb"/>
        <w:jc w:val="center"/>
      </w:pPr>
      <w:r>
        <w:rPr>
          <w:rStyle w:val="Siln"/>
          <w:rFonts w:ascii="Arial" w:hAnsi="Arial" w:cs="Arial"/>
          <w:sz w:val="22"/>
        </w:rPr>
        <w:t>VI. Předání a převzetí díla</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6.1 O předání díla vyhotoví smluvní strany předávací protokol podepsaný oběma smluvními stranami. Objednatel není povinen převzít dílo vykazující byť drobné vady či nedodělky.</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A1506E" w:rsidRDefault="00A1506E" w:rsidP="00A1506E">
      <w:pPr>
        <w:pStyle w:val="Normlnweb"/>
        <w:keepLines/>
        <w:spacing w:before="120" w:beforeAutospacing="0" w:after="120" w:afterAutospacing="0"/>
        <w:ind w:left="340" w:hanging="340"/>
        <w:jc w:val="both"/>
        <w:rPr>
          <w:rFonts w:ascii="Arial" w:hAnsi="Arial" w:cs="Arial"/>
          <w:sz w:val="22"/>
        </w:rPr>
      </w:pPr>
      <w:r>
        <w:rPr>
          <w:rFonts w:ascii="Arial" w:hAnsi="Arial" w:cs="Arial"/>
          <w:sz w:val="22"/>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A1506E" w:rsidRDefault="00A1506E" w:rsidP="00A1506E">
      <w:pPr>
        <w:pStyle w:val="Normlnweb"/>
        <w:keepLines/>
        <w:spacing w:before="120" w:beforeAutospacing="0" w:after="120" w:afterAutospacing="0"/>
        <w:ind w:left="340" w:hanging="340"/>
        <w:jc w:val="both"/>
      </w:pPr>
    </w:p>
    <w:p w:rsidR="00A1506E" w:rsidRDefault="00A1506E" w:rsidP="00A1506E">
      <w:pPr>
        <w:pStyle w:val="Normlnweb"/>
        <w:keepLines/>
        <w:spacing w:before="120" w:beforeAutospacing="0" w:after="120" w:afterAutospacing="0"/>
        <w:ind w:left="340" w:hanging="340"/>
        <w:jc w:val="center"/>
      </w:pPr>
      <w:r>
        <w:rPr>
          <w:rStyle w:val="Siln"/>
          <w:rFonts w:ascii="Arial" w:hAnsi="Arial" w:cs="Arial"/>
          <w:sz w:val="22"/>
        </w:rPr>
        <w:t>VII. Odpovědnost za vady</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7.1 Zhotovitel odpovídá za vady, jež má dílo v době jeho předání objednateli, byť se vady projeví až později.</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 xml:space="preserve">7.3 Objednatel je oprávněn požadovat odstranění vady opravou, poskytnutím náhradního plnění nebo slevu ze sjednané ceny. Výběr způsobu nápravy náleží objednateli. </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7.4 Zhotovitel poskytuje na dílo záruku v délce 24 měsíců. V případě, že délka záruky činí 0 měsíců, ustanovení článků 7.5 až 7.7 pozbývají platnosti.</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7.5 Záruční doba počíná běžet dnem předání kompletního a bezvadného díla, popř. dnem odstranění poslední vady a nedodělku uvedeného v předávacím protokolu.</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7.7 Objednatel je oprávněn požadovat odstranění vady, na kterou se vztahuje záruka, opravou, poskytnutím náhradního plnění nebo slevu ze sjednané ceny. Výběr způsobu nápravy náleží objednateli.</w:t>
      </w:r>
    </w:p>
    <w:p w:rsidR="00A1506E" w:rsidRDefault="00A1506E" w:rsidP="00A1506E">
      <w:pPr>
        <w:pStyle w:val="Normlnweb"/>
        <w:keepLines/>
        <w:spacing w:before="120" w:beforeAutospacing="0" w:after="120" w:afterAutospacing="0"/>
        <w:ind w:left="340" w:hanging="340"/>
        <w:jc w:val="center"/>
      </w:pPr>
      <w:r>
        <w:rPr>
          <w:rStyle w:val="Siln"/>
          <w:rFonts w:ascii="Arial" w:hAnsi="Arial" w:cs="Arial"/>
          <w:sz w:val="22"/>
        </w:rPr>
        <w:t>VIII. Sankce</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 xml:space="preserve">8.2 V případě prodlení objednatele s placením vyúčtování je objednatel povinen zaplatit zhotoviteli úrok z prodlení z nezaplacené částky v zákonné výši. </w:t>
      </w:r>
    </w:p>
    <w:p w:rsidR="00A1506E" w:rsidRDefault="00A1506E" w:rsidP="00A1506E">
      <w:pPr>
        <w:pStyle w:val="Normlnweb"/>
        <w:keepLines/>
        <w:spacing w:before="120" w:beforeAutospacing="0" w:after="120" w:afterAutospacing="0"/>
        <w:ind w:left="340" w:hanging="340"/>
        <w:jc w:val="both"/>
        <w:rPr>
          <w:rFonts w:ascii="Arial" w:hAnsi="Arial" w:cs="Arial"/>
          <w:sz w:val="22"/>
        </w:rPr>
      </w:pPr>
      <w:r>
        <w:rPr>
          <w:rFonts w:ascii="Arial" w:hAnsi="Arial" w:cs="Arial"/>
          <w:sz w:val="22"/>
        </w:rPr>
        <w:t>8.3 Ustanoveními o smluvní pokutě není dotčen nárok oprávněné smluvní strany požadovat náhradu škody v plném rozsahu.</w:t>
      </w:r>
    </w:p>
    <w:p w:rsidR="00A1506E" w:rsidRDefault="00A1506E" w:rsidP="00A1506E">
      <w:pPr>
        <w:pStyle w:val="Normlnweb"/>
        <w:keepLines/>
        <w:spacing w:before="120" w:beforeAutospacing="0" w:after="120" w:afterAutospacing="0"/>
        <w:ind w:left="340" w:hanging="340"/>
        <w:jc w:val="both"/>
      </w:pPr>
    </w:p>
    <w:p w:rsidR="00A1506E" w:rsidRDefault="00A1506E" w:rsidP="00A1506E">
      <w:pPr>
        <w:pStyle w:val="Normlnweb"/>
        <w:keepLines/>
        <w:spacing w:before="120" w:beforeAutospacing="0" w:after="120" w:afterAutospacing="0"/>
        <w:ind w:left="340" w:hanging="340"/>
        <w:jc w:val="center"/>
      </w:pPr>
      <w:r>
        <w:rPr>
          <w:rStyle w:val="Siln"/>
          <w:rFonts w:ascii="Arial" w:hAnsi="Arial" w:cs="Arial"/>
          <w:sz w:val="22"/>
        </w:rPr>
        <w:t>IX. Závěrečná ustanovení</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 xml:space="preserve">9.1 Tato smlouva může být měněna a doplňována pouze písemnými a očíslovanými dodatky podepsanými oprávněnými zástupci smluvních stran, není-li v této smlouvě uvedeno jinak. </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 xml:space="preserve">9.2 Ve věcech touto smlouvou neupravených se řídí práva a povinnosti smluvních stran příslušnými ustanoveními zákona č. 89/2012 Sb., občanského zákoníku. </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 xml:space="preserve">9.4 Tato smlouva je vyhotovena ve třech stejnopisech, z nichž každý má platnost originálu. Dva stejnopisy obdrží objednatel, jeden stejnopis obdrží zhotovitel. </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lastRenderedPageBreak/>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A1506E" w:rsidRDefault="00A1506E" w:rsidP="00A1506E">
      <w:pPr>
        <w:pStyle w:val="Normlnweb"/>
        <w:keepLines/>
        <w:spacing w:before="120" w:beforeAutospacing="0" w:after="120" w:afterAutospacing="0"/>
        <w:ind w:left="340" w:hanging="340"/>
        <w:jc w:val="both"/>
      </w:pPr>
      <w:r>
        <w:rPr>
          <w:rFonts w:ascii="Arial" w:hAnsi="Arial" w:cs="Arial"/>
          <w:sz w:val="22"/>
        </w:rPr>
        <w:t>9.7 Nedílnou součástí smlouvy jsou tyto přílohy:</w:t>
      </w:r>
    </w:p>
    <w:p w:rsidR="00A1506E" w:rsidRDefault="00A1506E" w:rsidP="00A1506E">
      <w:pPr>
        <w:pStyle w:val="Normlnweb"/>
        <w:keepLines/>
        <w:spacing w:before="120" w:beforeAutospacing="0" w:after="120" w:afterAutospacing="0"/>
        <w:ind w:left="340"/>
        <w:jc w:val="both"/>
      </w:pPr>
      <w:r>
        <w:rPr>
          <w:rFonts w:ascii="Arial" w:hAnsi="Arial" w:cs="Arial"/>
          <w:sz w:val="22"/>
        </w:rPr>
        <w:t>Příloha č. 1 – položkový rozpočet</w:t>
      </w:r>
    </w:p>
    <w:p w:rsidR="00A1506E" w:rsidRDefault="00A1506E" w:rsidP="00A1506E">
      <w:pPr>
        <w:pStyle w:val="Normlnweb"/>
        <w:keepLines/>
        <w:spacing w:before="120" w:beforeAutospacing="0" w:after="120" w:afterAutospacing="0"/>
        <w:ind w:left="340"/>
        <w:jc w:val="both"/>
      </w:pPr>
      <w:r>
        <w:rPr>
          <w:rFonts w:ascii="Arial" w:hAnsi="Arial" w:cs="Arial"/>
          <w:sz w:val="22"/>
        </w:rPr>
        <w:t>Příloha č. 2 – mapový zákres</w:t>
      </w:r>
    </w:p>
    <w:p w:rsidR="00A1506E" w:rsidRDefault="00A1506E" w:rsidP="00A1506E">
      <w:pPr>
        <w:pStyle w:val="Normlnweb"/>
        <w:spacing w:before="0" w:beforeAutospacing="0" w:after="0" w:afterAutospacing="0"/>
        <w:jc w:val="both"/>
      </w:pPr>
      <w:r>
        <w:t> </w:t>
      </w:r>
    </w:p>
    <w:p w:rsidR="00A1506E" w:rsidRDefault="00A1506E" w:rsidP="00A1506E">
      <w:pPr>
        <w:pStyle w:val="Normlnweb"/>
      </w:pPr>
      <w:r>
        <w:t> </w:t>
      </w:r>
    </w:p>
    <w:tbl>
      <w:tblPr>
        <w:tblW w:w="0" w:type="auto"/>
        <w:jc w:val="center"/>
        <w:tblCellMar>
          <w:left w:w="0" w:type="dxa"/>
          <w:right w:w="0" w:type="dxa"/>
        </w:tblCellMar>
        <w:tblLook w:val="04A0" w:firstRow="1" w:lastRow="0" w:firstColumn="1" w:lastColumn="0" w:noHBand="0" w:noVBand="1"/>
      </w:tblPr>
      <w:tblGrid>
        <w:gridCol w:w="845"/>
        <w:gridCol w:w="859"/>
        <w:gridCol w:w="425"/>
        <w:gridCol w:w="50"/>
        <w:gridCol w:w="1755"/>
        <w:gridCol w:w="275"/>
        <w:gridCol w:w="996"/>
        <w:gridCol w:w="1766"/>
        <w:gridCol w:w="424"/>
        <w:gridCol w:w="50"/>
        <w:gridCol w:w="432"/>
        <w:gridCol w:w="1500"/>
        <w:gridCol w:w="211"/>
        <w:gridCol w:w="50"/>
      </w:tblGrid>
      <w:tr w:rsidR="00A1506E" w:rsidTr="00A1506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A1506E" w:rsidRDefault="00A1506E">
            <w:pPr>
              <w:pStyle w:val="Normlnweb"/>
              <w:spacing w:before="0" w:beforeAutospacing="0" w:after="0" w:afterAutospacing="0"/>
              <w:jc w:val="center"/>
            </w:pPr>
            <w:r>
              <w:rPr>
                <w:rFonts w:ascii="Arial" w:hAnsi="Arial" w:cs="Arial"/>
                <w:sz w:val="22"/>
              </w:rPr>
              <w:t xml:space="preserve">V Rožnově </w:t>
            </w:r>
            <w:proofErr w:type="gramStart"/>
            <w:r>
              <w:rPr>
                <w:rFonts w:ascii="Arial" w:hAnsi="Arial" w:cs="Arial"/>
                <w:sz w:val="22"/>
              </w:rPr>
              <w:t>p.R.</w:t>
            </w:r>
            <w:proofErr w:type="gramEnd"/>
          </w:p>
        </w:tc>
        <w:tc>
          <w:tcPr>
            <w:tcW w:w="540" w:type="dxa"/>
            <w:tcBorders>
              <w:top w:val="nil"/>
              <w:left w:val="nil"/>
              <w:bottom w:val="nil"/>
              <w:right w:val="nil"/>
            </w:tcBorders>
            <w:shd w:val="clear" w:color="auto" w:fill="auto"/>
            <w:vAlign w:val="center"/>
            <w:hideMark/>
          </w:tcPr>
          <w:p w:rsidR="00A1506E" w:rsidRDefault="00A1506E">
            <w:r>
              <w:t> </w:t>
            </w:r>
          </w:p>
        </w:tc>
        <w:tc>
          <w:tcPr>
            <w:tcW w:w="2418" w:type="dxa"/>
            <w:gridSpan w:val="3"/>
            <w:tcBorders>
              <w:top w:val="nil"/>
              <w:left w:val="nil"/>
              <w:bottom w:val="nil"/>
              <w:right w:val="nil"/>
            </w:tcBorders>
            <w:shd w:val="clear" w:color="auto" w:fill="auto"/>
            <w:vAlign w:val="center"/>
            <w:hideMark/>
          </w:tcPr>
          <w:p w:rsidR="00A1506E" w:rsidRDefault="00A1506E" w:rsidP="00CB3051">
            <w:pPr>
              <w:pStyle w:val="Normlnweb"/>
              <w:spacing w:before="0" w:beforeAutospacing="0" w:after="0" w:afterAutospacing="0"/>
            </w:pPr>
            <w:r>
              <w:rPr>
                <w:rFonts w:ascii="Arial" w:hAnsi="Arial" w:cs="Arial"/>
                <w:sz w:val="22"/>
              </w:rPr>
              <w:t xml:space="preserve">dne </w:t>
            </w:r>
            <w:proofErr w:type="gramStart"/>
            <w:r w:rsidR="00CB3051">
              <w:rPr>
                <w:rFonts w:ascii="Arial" w:hAnsi="Arial" w:cs="Arial"/>
                <w:sz w:val="22"/>
              </w:rPr>
              <w:t>7</w:t>
            </w:r>
            <w:r>
              <w:rPr>
                <w:rFonts w:ascii="Arial" w:hAnsi="Arial" w:cs="Arial"/>
                <w:sz w:val="22"/>
              </w:rPr>
              <w:t>.12.2020</w:t>
            </w:r>
            <w:proofErr w:type="gramEnd"/>
          </w:p>
        </w:tc>
        <w:tc>
          <w:tcPr>
            <w:tcW w:w="1287" w:type="dxa"/>
            <w:tcBorders>
              <w:top w:val="nil"/>
              <w:left w:val="nil"/>
              <w:bottom w:val="nil"/>
              <w:right w:val="nil"/>
            </w:tcBorders>
            <w:shd w:val="clear" w:color="auto" w:fill="auto"/>
            <w:vAlign w:val="center"/>
            <w:hideMark/>
          </w:tcPr>
          <w:p w:rsidR="00A1506E" w:rsidRDefault="00A1506E">
            <w: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A1506E" w:rsidRDefault="00A1506E">
            <w:pPr>
              <w:pStyle w:val="Normlnweb"/>
              <w:spacing w:before="0" w:beforeAutospacing="0" w:after="0" w:afterAutospacing="0"/>
              <w:jc w:val="center"/>
            </w:pPr>
            <w:proofErr w:type="gramStart"/>
            <w:r>
              <w:rPr>
                <w:rFonts w:ascii="Arial" w:hAnsi="Arial" w:cs="Arial"/>
                <w:sz w:val="22"/>
              </w:rPr>
              <w:t>V Frýdlantu</w:t>
            </w:r>
            <w:proofErr w:type="gramEnd"/>
            <w:r>
              <w:rPr>
                <w:rFonts w:ascii="Arial" w:hAnsi="Arial" w:cs="Arial"/>
                <w:sz w:val="22"/>
              </w:rPr>
              <w:t xml:space="preserve"> nad Ostravicí</w:t>
            </w:r>
          </w:p>
        </w:tc>
        <w:tc>
          <w:tcPr>
            <w:tcW w:w="539" w:type="dxa"/>
            <w:tcBorders>
              <w:top w:val="nil"/>
              <w:left w:val="nil"/>
              <w:bottom w:val="nil"/>
              <w:right w:val="nil"/>
            </w:tcBorders>
            <w:shd w:val="clear" w:color="auto" w:fill="auto"/>
            <w:vAlign w:val="center"/>
            <w:hideMark/>
          </w:tcPr>
          <w:p w:rsidR="00A1506E" w:rsidRDefault="00A1506E">
            <w:r>
              <w:t> </w:t>
            </w:r>
          </w:p>
        </w:tc>
        <w:tc>
          <w:tcPr>
            <w:tcW w:w="2276" w:type="dxa"/>
            <w:gridSpan w:val="3"/>
            <w:tcBorders>
              <w:top w:val="nil"/>
              <w:left w:val="nil"/>
              <w:bottom w:val="nil"/>
              <w:right w:val="nil"/>
            </w:tcBorders>
            <w:shd w:val="clear" w:color="auto" w:fill="auto"/>
            <w:vAlign w:val="center"/>
            <w:hideMark/>
          </w:tcPr>
          <w:p w:rsidR="00A1506E" w:rsidRDefault="00A1506E" w:rsidP="00CB3051">
            <w:pPr>
              <w:pStyle w:val="Normlnweb"/>
              <w:spacing w:before="0" w:beforeAutospacing="0" w:after="0" w:afterAutospacing="0"/>
            </w:pPr>
            <w:r>
              <w:rPr>
                <w:rFonts w:ascii="Arial" w:hAnsi="Arial" w:cs="Arial"/>
                <w:sz w:val="22"/>
              </w:rPr>
              <w:t xml:space="preserve">dne </w:t>
            </w:r>
            <w:r w:rsidR="00CB3051">
              <w:rPr>
                <w:rFonts w:ascii="Arial" w:hAnsi="Arial" w:cs="Arial"/>
                <w:sz w:val="22"/>
              </w:rPr>
              <w:t>7</w:t>
            </w:r>
            <w:bookmarkStart w:id="0" w:name="_GoBack"/>
            <w:bookmarkEnd w:id="0"/>
            <w:r>
              <w:rPr>
                <w:rFonts w:ascii="Arial" w:hAnsi="Arial" w:cs="Arial"/>
                <w:sz w:val="22"/>
              </w:rPr>
              <w:t>.12.2020</w:t>
            </w:r>
          </w:p>
        </w:tc>
      </w:tr>
      <w:tr w:rsidR="00A1506E" w:rsidTr="00A1506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A1506E" w:rsidRDefault="00A1506E">
            <w: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506E" w:rsidRDefault="00A1506E">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1506E" w:rsidRDefault="00A1506E">
            <w:r>
              <w:t> </w:t>
            </w:r>
          </w:p>
        </w:tc>
      </w:tr>
      <w:tr w:rsidR="00A1506E" w:rsidTr="00A1506E">
        <w:trPr>
          <w:gridAfter w:val="2"/>
          <w:wAfter w:w="310" w:type="dxa"/>
          <w:jc w:val="center"/>
        </w:trPr>
        <w:tc>
          <w:tcPr>
            <w:tcW w:w="4583" w:type="dxa"/>
            <w:gridSpan w:val="5"/>
            <w:tcBorders>
              <w:top w:val="nil"/>
              <w:left w:val="nil"/>
              <w:bottom w:val="nil"/>
              <w:right w:val="nil"/>
            </w:tcBorders>
            <w:shd w:val="clear" w:color="auto" w:fill="auto"/>
            <w:vAlign w:val="center"/>
            <w:hideMark/>
          </w:tcPr>
          <w:p w:rsidR="00A1506E" w:rsidRDefault="00A1506E">
            <w:r>
              <w:rPr>
                <w:rFonts w:ascii="Arial" w:hAnsi="Arial" w:cs="Arial"/>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506E" w:rsidRDefault="00A1506E">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1506E" w:rsidRDefault="00A1506E">
            <w:r>
              <w:rPr>
                <w:rFonts w:ascii="Arial" w:hAnsi="Arial" w:cs="Arial"/>
              </w:rPr>
              <w:t>Zhotovitel</w:t>
            </w:r>
          </w:p>
        </w:tc>
      </w:tr>
      <w:tr w:rsidR="00A1506E" w:rsidTr="00A1506E">
        <w:trPr>
          <w:gridAfter w:val="2"/>
          <w:wAfter w:w="310" w:type="dxa"/>
          <w:trHeight w:val="388"/>
          <w:jc w:val="center"/>
        </w:trPr>
        <w:tc>
          <w:tcPr>
            <w:tcW w:w="946" w:type="dxa"/>
            <w:tcBorders>
              <w:top w:val="nil"/>
              <w:left w:val="nil"/>
              <w:bottom w:val="nil"/>
              <w:right w:val="nil"/>
            </w:tcBorders>
            <w:shd w:val="clear" w:color="auto" w:fill="auto"/>
            <w:vAlign w:val="center"/>
            <w:hideMark/>
          </w:tcPr>
          <w:p w:rsidR="00A1506E" w:rsidRDefault="00A1506E">
            <w:r>
              <w:t> </w:t>
            </w:r>
          </w:p>
        </w:tc>
        <w:tc>
          <w:tcPr>
            <w:tcW w:w="1555" w:type="dxa"/>
            <w:gridSpan w:val="2"/>
            <w:tcBorders>
              <w:top w:val="nil"/>
              <w:left w:val="nil"/>
              <w:bottom w:val="nil"/>
              <w:right w:val="nil"/>
            </w:tcBorders>
            <w:shd w:val="clear" w:color="auto" w:fill="auto"/>
            <w:vAlign w:val="center"/>
            <w:hideMark/>
          </w:tcPr>
          <w:p w:rsidR="00A1506E" w:rsidRDefault="00A1506E">
            <w:r>
              <w:t> </w:t>
            </w:r>
          </w:p>
        </w:tc>
        <w:tc>
          <w:tcPr>
            <w:tcW w:w="50" w:type="dxa"/>
            <w:tcBorders>
              <w:top w:val="nil"/>
              <w:left w:val="nil"/>
              <w:bottom w:val="nil"/>
              <w:right w:val="nil"/>
            </w:tcBorders>
            <w:shd w:val="clear" w:color="auto" w:fill="auto"/>
            <w:vAlign w:val="center"/>
            <w:hideMark/>
          </w:tcPr>
          <w:p w:rsidR="00A1506E" w:rsidRDefault="00A1506E">
            <w:r>
              <w:t> </w:t>
            </w:r>
          </w:p>
        </w:tc>
        <w:tc>
          <w:tcPr>
            <w:tcW w:w="2032" w:type="dxa"/>
            <w:tcBorders>
              <w:top w:val="nil"/>
              <w:left w:val="nil"/>
              <w:bottom w:val="nil"/>
              <w:right w:val="nil"/>
            </w:tcBorders>
            <w:shd w:val="clear" w:color="auto" w:fill="auto"/>
            <w:vAlign w:val="center"/>
            <w:hideMark/>
          </w:tcPr>
          <w:p w:rsidR="00A1506E" w:rsidRDefault="00A1506E">
            <w:r>
              <w:t> </w:t>
            </w:r>
          </w:p>
        </w:tc>
        <w:tc>
          <w:tcPr>
            <w:tcW w:w="1623" w:type="dxa"/>
            <w:gridSpan w:val="2"/>
            <w:tcBorders>
              <w:top w:val="nil"/>
              <w:left w:val="nil"/>
              <w:bottom w:val="nil"/>
              <w:right w:val="nil"/>
            </w:tcBorders>
            <w:shd w:val="clear" w:color="auto" w:fill="auto"/>
            <w:vAlign w:val="center"/>
            <w:hideMark/>
          </w:tcPr>
          <w:p w:rsidR="00A1506E" w:rsidRDefault="00A1506E">
            <w:r>
              <w:t> </w:t>
            </w:r>
          </w:p>
        </w:tc>
        <w:tc>
          <w:tcPr>
            <w:tcW w:w="2018" w:type="dxa"/>
            <w:tcBorders>
              <w:top w:val="nil"/>
              <w:left w:val="nil"/>
              <w:bottom w:val="nil"/>
              <w:right w:val="nil"/>
            </w:tcBorders>
            <w:shd w:val="clear" w:color="auto" w:fill="auto"/>
            <w:vAlign w:val="center"/>
            <w:hideMark/>
          </w:tcPr>
          <w:p w:rsidR="00A1506E" w:rsidRDefault="00A1506E">
            <w:r>
              <w:t> </w:t>
            </w:r>
          </w:p>
        </w:tc>
        <w:tc>
          <w:tcPr>
            <w:tcW w:w="539" w:type="dxa"/>
            <w:tcBorders>
              <w:top w:val="nil"/>
              <w:left w:val="nil"/>
              <w:bottom w:val="nil"/>
              <w:right w:val="nil"/>
            </w:tcBorders>
            <w:shd w:val="clear" w:color="auto" w:fill="auto"/>
            <w:vAlign w:val="center"/>
            <w:hideMark/>
          </w:tcPr>
          <w:p w:rsidR="00A1506E" w:rsidRDefault="00A1506E">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506E" w:rsidRDefault="00A1506E">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1506E" w:rsidRDefault="00A1506E">
            <w:r>
              <w:t> </w:t>
            </w:r>
          </w:p>
        </w:tc>
      </w:tr>
      <w:tr w:rsidR="00A1506E" w:rsidTr="00A1506E">
        <w:trPr>
          <w:gridAfter w:val="2"/>
          <w:wAfter w:w="310" w:type="dxa"/>
          <w:trHeight w:val="1268"/>
          <w:jc w:val="center"/>
        </w:trPr>
        <w:tc>
          <w:tcPr>
            <w:tcW w:w="946" w:type="dxa"/>
            <w:tcBorders>
              <w:top w:val="nil"/>
              <w:left w:val="nil"/>
              <w:bottom w:val="nil"/>
              <w:right w:val="nil"/>
            </w:tcBorders>
            <w:shd w:val="clear" w:color="auto" w:fill="auto"/>
            <w:vAlign w:val="center"/>
            <w:hideMark/>
          </w:tcPr>
          <w:p w:rsidR="00A1506E" w:rsidRDefault="00A1506E">
            <w:r>
              <w:t> </w:t>
            </w:r>
          </w:p>
        </w:tc>
        <w:tc>
          <w:tcPr>
            <w:tcW w:w="1555" w:type="dxa"/>
            <w:gridSpan w:val="2"/>
            <w:tcBorders>
              <w:top w:val="nil"/>
              <w:left w:val="nil"/>
              <w:bottom w:val="nil"/>
              <w:right w:val="nil"/>
            </w:tcBorders>
            <w:shd w:val="clear" w:color="auto" w:fill="auto"/>
            <w:vAlign w:val="center"/>
            <w:hideMark/>
          </w:tcPr>
          <w:p w:rsidR="00A1506E" w:rsidRDefault="00A1506E">
            <w:r>
              <w:t> </w:t>
            </w:r>
          </w:p>
        </w:tc>
        <w:tc>
          <w:tcPr>
            <w:tcW w:w="50" w:type="dxa"/>
            <w:tcBorders>
              <w:top w:val="nil"/>
              <w:left w:val="nil"/>
              <w:bottom w:val="nil"/>
              <w:right w:val="nil"/>
            </w:tcBorders>
            <w:shd w:val="clear" w:color="auto" w:fill="auto"/>
            <w:vAlign w:val="center"/>
            <w:hideMark/>
          </w:tcPr>
          <w:p w:rsidR="00A1506E" w:rsidRDefault="00A1506E">
            <w:r>
              <w:t> </w:t>
            </w:r>
          </w:p>
        </w:tc>
        <w:tc>
          <w:tcPr>
            <w:tcW w:w="2032" w:type="dxa"/>
            <w:tcBorders>
              <w:top w:val="nil"/>
              <w:left w:val="nil"/>
              <w:bottom w:val="nil"/>
              <w:right w:val="nil"/>
            </w:tcBorders>
            <w:shd w:val="clear" w:color="auto" w:fill="auto"/>
            <w:vAlign w:val="center"/>
            <w:hideMark/>
          </w:tcPr>
          <w:p w:rsidR="00A1506E" w:rsidRDefault="00A1506E">
            <w:r>
              <w:t> </w:t>
            </w:r>
          </w:p>
        </w:tc>
        <w:tc>
          <w:tcPr>
            <w:tcW w:w="1623" w:type="dxa"/>
            <w:gridSpan w:val="2"/>
            <w:tcBorders>
              <w:top w:val="nil"/>
              <w:left w:val="nil"/>
              <w:bottom w:val="nil"/>
              <w:right w:val="nil"/>
            </w:tcBorders>
            <w:shd w:val="clear" w:color="auto" w:fill="auto"/>
            <w:vAlign w:val="center"/>
            <w:hideMark/>
          </w:tcPr>
          <w:p w:rsidR="00A1506E" w:rsidRDefault="00A1506E">
            <w:r>
              <w:t> </w:t>
            </w:r>
          </w:p>
        </w:tc>
        <w:tc>
          <w:tcPr>
            <w:tcW w:w="2018" w:type="dxa"/>
            <w:tcBorders>
              <w:top w:val="nil"/>
              <w:left w:val="nil"/>
              <w:bottom w:val="nil"/>
              <w:right w:val="nil"/>
            </w:tcBorders>
            <w:shd w:val="clear" w:color="auto" w:fill="auto"/>
            <w:vAlign w:val="center"/>
            <w:hideMark/>
          </w:tcPr>
          <w:p w:rsidR="00A1506E" w:rsidRDefault="00A1506E">
            <w:r>
              <w:t> </w:t>
            </w:r>
          </w:p>
        </w:tc>
        <w:tc>
          <w:tcPr>
            <w:tcW w:w="539" w:type="dxa"/>
            <w:tcBorders>
              <w:top w:val="nil"/>
              <w:left w:val="nil"/>
              <w:bottom w:val="nil"/>
              <w:right w:val="nil"/>
            </w:tcBorders>
            <w:shd w:val="clear" w:color="auto" w:fill="auto"/>
            <w:vAlign w:val="center"/>
            <w:hideMark/>
          </w:tcPr>
          <w:p w:rsidR="00A1506E" w:rsidRDefault="00A1506E">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506E" w:rsidRDefault="00A1506E">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1506E" w:rsidRDefault="00A1506E">
            <w:r>
              <w:t> </w:t>
            </w:r>
          </w:p>
        </w:tc>
      </w:tr>
      <w:tr w:rsidR="00A1506E" w:rsidTr="00A1506E">
        <w:trPr>
          <w:gridAfter w:val="2"/>
          <w:wAfter w:w="310" w:type="dxa"/>
          <w:jc w:val="center"/>
        </w:trPr>
        <w:tc>
          <w:tcPr>
            <w:tcW w:w="4583" w:type="dxa"/>
            <w:gridSpan w:val="5"/>
            <w:tcBorders>
              <w:top w:val="nil"/>
              <w:left w:val="nil"/>
              <w:bottom w:val="nil"/>
              <w:right w:val="nil"/>
            </w:tcBorders>
            <w:shd w:val="clear" w:color="auto" w:fill="auto"/>
            <w:vAlign w:val="center"/>
            <w:hideMark/>
          </w:tcPr>
          <w:p w:rsidR="00A1506E" w:rsidRDefault="00A1506E">
            <w:pPr>
              <w:pStyle w:val="Normlnweb"/>
              <w:spacing w:before="0" w:beforeAutospacing="0" w:after="0" w:afterAutospacing="0"/>
              <w:jc w:val="center"/>
            </w:pPr>
            <w:r>
              <w:rPr>
                <w:rStyle w:val="Siln"/>
                <w:rFonts w:ascii="Arial" w:hAnsi="Arial" w:cs="Arial"/>
                <w:sz w:val="22"/>
              </w:rPr>
              <w:t xml:space="preserve">Mgr. František Jaskula </w:t>
            </w:r>
            <w:r>
              <w:rPr>
                <w:rFonts w:ascii="Arial" w:hAnsi="Arial" w:cs="Arial"/>
                <w:b/>
                <w:bCs/>
                <w:sz w:val="22"/>
              </w:rPr>
              <w:br/>
            </w:r>
            <w:r>
              <w:rPr>
                <w:rStyle w:val="Siln"/>
                <w:rFonts w:ascii="Arial" w:hAnsi="Arial" w:cs="Arial"/>
                <w:sz w:val="22"/>
              </w:rP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506E" w:rsidRDefault="00A1506E">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1506E" w:rsidRDefault="00A1506E">
            <w:pPr>
              <w:pStyle w:val="Normlnweb"/>
              <w:spacing w:before="0" w:beforeAutospacing="0" w:after="0" w:afterAutospacing="0"/>
              <w:jc w:val="center"/>
            </w:pPr>
            <w:r>
              <w:rPr>
                <w:rStyle w:val="Siln"/>
                <w:rFonts w:ascii="Arial" w:hAnsi="Arial" w:cs="Arial"/>
                <w:sz w:val="22"/>
              </w:rPr>
              <w:t xml:space="preserve">TEON STAV, s. r.o. </w:t>
            </w:r>
          </w:p>
        </w:tc>
      </w:tr>
      <w:tr w:rsidR="00A1506E" w:rsidTr="00A1506E">
        <w:trPr>
          <w:jc w:val="center"/>
        </w:trPr>
        <w:tc>
          <w:tcPr>
            <w:tcW w:w="946" w:type="dxa"/>
            <w:tcBorders>
              <w:top w:val="nil"/>
              <w:left w:val="nil"/>
              <w:bottom w:val="nil"/>
              <w:right w:val="nil"/>
            </w:tcBorders>
            <w:shd w:val="clear" w:color="auto" w:fill="auto"/>
            <w:vAlign w:val="center"/>
            <w:hideMark/>
          </w:tcPr>
          <w:p w:rsidR="00A1506E" w:rsidRDefault="00A1506E">
            <w:r>
              <w:t> </w:t>
            </w:r>
          </w:p>
        </w:tc>
        <w:tc>
          <w:tcPr>
            <w:tcW w:w="1015" w:type="dxa"/>
            <w:tcBorders>
              <w:top w:val="nil"/>
              <w:left w:val="nil"/>
              <w:bottom w:val="nil"/>
              <w:right w:val="nil"/>
            </w:tcBorders>
            <w:shd w:val="clear" w:color="auto" w:fill="auto"/>
            <w:vAlign w:val="center"/>
            <w:hideMark/>
          </w:tcPr>
          <w:p w:rsidR="00A1506E" w:rsidRDefault="00A1506E">
            <w:r>
              <w:t> </w:t>
            </w:r>
          </w:p>
        </w:tc>
        <w:tc>
          <w:tcPr>
            <w:tcW w:w="540" w:type="dxa"/>
            <w:tcBorders>
              <w:top w:val="nil"/>
              <w:left w:val="nil"/>
              <w:bottom w:val="nil"/>
              <w:right w:val="nil"/>
            </w:tcBorders>
            <w:shd w:val="clear" w:color="auto" w:fill="auto"/>
            <w:vAlign w:val="center"/>
            <w:hideMark/>
          </w:tcPr>
          <w:p w:rsidR="00A1506E" w:rsidRDefault="00A1506E">
            <w:r>
              <w:t> </w:t>
            </w:r>
          </w:p>
        </w:tc>
        <w:tc>
          <w:tcPr>
            <w:tcW w:w="50" w:type="dxa"/>
            <w:tcBorders>
              <w:top w:val="nil"/>
              <w:left w:val="nil"/>
              <w:bottom w:val="nil"/>
              <w:right w:val="nil"/>
            </w:tcBorders>
            <w:shd w:val="clear" w:color="auto" w:fill="auto"/>
            <w:vAlign w:val="center"/>
            <w:hideMark/>
          </w:tcPr>
          <w:p w:rsidR="00A1506E" w:rsidRDefault="00A1506E">
            <w:r>
              <w:t> </w:t>
            </w:r>
          </w:p>
        </w:tc>
        <w:tc>
          <w:tcPr>
            <w:tcW w:w="2032" w:type="dxa"/>
            <w:tcBorders>
              <w:top w:val="nil"/>
              <w:left w:val="nil"/>
              <w:bottom w:val="nil"/>
              <w:right w:val="nil"/>
            </w:tcBorders>
            <w:shd w:val="clear" w:color="auto" w:fill="auto"/>
            <w:vAlign w:val="center"/>
            <w:hideMark/>
          </w:tcPr>
          <w:p w:rsidR="00A1506E" w:rsidRDefault="00A1506E">
            <w:r>
              <w:t> </w:t>
            </w:r>
          </w:p>
        </w:tc>
        <w:tc>
          <w:tcPr>
            <w:tcW w:w="1623" w:type="dxa"/>
            <w:gridSpan w:val="2"/>
            <w:tcBorders>
              <w:top w:val="nil"/>
              <w:left w:val="nil"/>
              <w:bottom w:val="nil"/>
              <w:right w:val="nil"/>
            </w:tcBorders>
            <w:shd w:val="clear" w:color="auto" w:fill="auto"/>
            <w:vAlign w:val="center"/>
            <w:hideMark/>
          </w:tcPr>
          <w:p w:rsidR="00A1506E" w:rsidRDefault="00A1506E">
            <w:r>
              <w:t> </w:t>
            </w:r>
          </w:p>
        </w:tc>
        <w:tc>
          <w:tcPr>
            <w:tcW w:w="2018" w:type="dxa"/>
            <w:tcBorders>
              <w:top w:val="nil"/>
              <w:left w:val="nil"/>
              <w:bottom w:val="nil"/>
              <w:right w:val="nil"/>
            </w:tcBorders>
            <w:shd w:val="clear" w:color="auto" w:fill="auto"/>
            <w:vAlign w:val="center"/>
            <w:hideMark/>
          </w:tcPr>
          <w:p w:rsidR="00A1506E" w:rsidRDefault="00A1506E">
            <w:r>
              <w:t> </w:t>
            </w:r>
          </w:p>
        </w:tc>
        <w:tc>
          <w:tcPr>
            <w:tcW w:w="539" w:type="dxa"/>
            <w:tcBorders>
              <w:top w:val="nil"/>
              <w:left w:val="nil"/>
              <w:bottom w:val="nil"/>
              <w:right w:val="nil"/>
            </w:tcBorders>
            <w:shd w:val="clear" w:color="auto" w:fill="auto"/>
            <w:vAlign w:val="center"/>
            <w:hideMark/>
          </w:tcPr>
          <w:p w:rsidR="00A1506E" w:rsidRDefault="00A1506E">
            <w:r>
              <w:t> </w:t>
            </w:r>
          </w:p>
        </w:tc>
        <w:tc>
          <w:tcPr>
            <w:tcW w:w="35" w:type="dxa"/>
            <w:tcBorders>
              <w:top w:val="nil"/>
              <w:left w:val="nil"/>
              <w:bottom w:val="nil"/>
              <w:right w:val="nil"/>
            </w:tcBorders>
            <w:shd w:val="clear" w:color="auto" w:fill="auto"/>
            <w:vAlign w:val="center"/>
            <w:hideMark/>
          </w:tcPr>
          <w:p w:rsidR="00A1506E" w:rsidRDefault="00A1506E">
            <w:r>
              <w:t> </w:t>
            </w:r>
          </w:p>
        </w:tc>
        <w:tc>
          <w:tcPr>
            <w:tcW w:w="2516" w:type="dxa"/>
            <w:gridSpan w:val="3"/>
            <w:tcBorders>
              <w:top w:val="nil"/>
              <w:left w:val="nil"/>
              <w:bottom w:val="nil"/>
              <w:right w:val="nil"/>
            </w:tcBorders>
            <w:shd w:val="clear" w:color="auto" w:fill="auto"/>
            <w:vAlign w:val="center"/>
            <w:hideMark/>
          </w:tcPr>
          <w:p w:rsidR="00A1506E" w:rsidRDefault="00A1506E">
            <w:r>
              <w:t> </w:t>
            </w:r>
          </w:p>
        </w:tc>
        <w:tc>
          <w:tcPr>
            <w:tcW w:w="35" w:type="dxa"/>
            <w:tcBorders>
              <w:top w:val="nil"/>
              <w:left w:val="nil"/>
              <w:bottom w:val="nil"/>
              <w:right w:val="nil"/>
            </w:tcBorders>
            <w:shd w:val="clear" w:color="auto" w:fill="auto"/>
            <w:vAlign w:val="center"/>
            <w:hideMark/>
          </w:tcPr>
          <w:p w:rsidR="00A1506E" w:rsidRDefault="00A1506E">
            <w:r>
              <w:t> </w:t>
            </w:r>
          </w:p>
        </w:tc>
      </w:tr>
    </w:tbl>
    <w:p w:rsidR="00A1506E" w:rsidRDefault="00A1506E" w:rsidP="00A1506E">
      <w:pPr>
        <w:pStyle w:val="Normlnweb"/>
        <w:spacing w:after="240" w:afterAutospacing="0"/>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A1506E" w:rsidTr="00A1506E">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1506E" w:rsidRDefault="00A1506E">
            <w:pPr>
              <w:spacing w:before="120" w:after="100" w:afterAutospacing="1" w:line="240" w:lineRule="atLeast"/>
            </w:pPr>
            <w:r>
              <w:rPr>
                <w:rFonts w:ascii="Arial" w:hAnsi="Arial" w:cs="Arial"/>
              </w:rPr>
              <w:t>Předběžná kontrola před vznikem závazku dle zák. č. 320/01 Sb.</w:t>
            </w:r>
          </w:p>
        </w:tc>
      </w:tr>
      <w:tr w:rsidR="00A1506E" w:rsidTr="00A1506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1506E" w:rsidRDefault="00A1506E">
            <w:pPr>
              <w:spacing w:before="120" w:after="100" w:afterAutospacing="1" w:line="240" w:lineRule="atLeast"/>
            </w:pPr>
            <w:r>
              <w:rPr>
                <w:rFonts w:ascii="Arial" w:hAnsi="Arial" w:cs="Arial"/>
                <w:sz w:val="18"/>
                <w:szCs w:val="18"/>
              </w:rPr>
              <w:t xml:space="preserve">Příkazce operace: (datum, jméno, podpis) </w:t>
            </w:r>
          </w:p>
        </w:tc>
      </w:tr>
      <w:tr w:rsidR="00A1506E" w:rsidTr="00A1506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1506E" w:rsidRDefault="00A1506E">
            <w:pPr>
              <w:spacing w:before="120" w:line="240" w:lineRule="atLeast"/>
              <w:ind w:right="2901"/>
            </w:pPr>
            <w:r>
              <w:rPr>
                <w:rFonts w:ascii="Arial" w:hAnsi="Arial" w:cs="Arial"/>
                <w:sz w:val="18"/>
                <w:szCs w:val="18"/>
              </w:rPr>
              <w:t>Správce rozpočtu: (datum, jméno, podpis)</w:t>
            </w:r>
          </w:p>
        </w:tc>
      </w:tr>
      <w:tr w:rsidR="00A1506E" w:rsidTr="00A1506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1506E" w:rsidRDefault="00A1506E">
            <w:pPr>
              <w:spacing w:before="120" w:after="100" w:afterAutospacing="1"/>
              <w:jc w:val="center"/>
            </w:pPr>
            <w:r>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1506E" w:rsidRDefault="00A1506E">
            <w:pPr>
              <w:spacing w:before="120" w:after="100" w:afterAutospacing="1"/>
              <w:jc w:val="center"/>
            </w:pPr>
            <w:r>
              <w:rPr>
                <w:rFonts w:ascii="Arial"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1506E" w:rsidRDefault="00A1506E">
            <w:pPr>
              <w:spacing w:before="120" w:after="100" w:afterAutospacing="1"/>
              <w:jc w:val="center"/>
            </w:pPr>
            <w:r>
              <w:rPr>
                <w:rFonts w:ascii="Arial" w:hAnsi="Arial" w:cs="Arial"/>
                <w:color w:val="000000"/>
                <w:sz w:val="18"/>
                <w:szCs w:val="18"/>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A1506E" w:rsidRDefault="00A1506E">
            <w:pPr>
              <w:spacing w:before="120" w:after="100" w:afterAutospacing="1"/>
              <w:jc w:val="center"/>
            </w:pPr>
            <w:r>
              <w:rPr>
                <w:rFonts w:ascii="Arial" w:hAnsi="Arial" w:cs="Arial"/>
                <w:color w:val="000000"/>
                <w:sz w:val="18"/>
                <w:szCs w:val="18"/>
              </w:rPr>
              <w:t>Kč</w:t>
            </w:r>
          </w:p>
        </w:tc>
      </w:tr>
      <w:tr w:rsidR="00A1506E" w:rsidTr="00A1506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1506E" w:rsidRDefault="00A1506E">
            <w:pPr>
              <w:spacing w:before="100" w:beforeAutospacing="1" w:after="100" w:afterAutospacing="1"/>
              <w:jc w:val="center"/>
            </w:pPr>
            <w:r>
              <w:rPr>
                <w:rFonts w:ascii="Arial" w:hAnsi="Arial" w:cs="Arial"/>
                <w:color w:val="000000"/>
                <w:sz w:val="18"/>
                <w:szCs w:val="18"/>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1506E" w:rsidRDefault="00A1506E">
            <w:pPr>
              <w:spacing w:before="100" w:beforeAutospacing="1" w:after="100" w:afterAutospacing="1"/>
              <w:jc w:val="center"/>
            </w:pPr>
            <w:r>
              <w:rPr>
                <w:rFonts w:ascii="Arial" w:hAnsi="Arial" w:cs="Arial"/>
                <w:color w:val="000000"/>
                <w:sz w:val="18"/>
                <w:szCs w:val="18"/>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1506E" w:rsidRDefault="00A1506E">
            <w:r>
              <w:t> </w:t>
            </w:r>
          </w:p>
        </w:tc>
        <w:tc>
          <w:tcPr>
            <w:tcW w:w="1080" w:type="dxa"/>
            <w:tcBorders>
              <w:top w:val="nil"/>
              <w:left w:val="nil"/>
              <w:bottom w:val="nil"/>
              <w:right w:val="single" w:sz="8" w:space="0" w:color="auto"/>
            </w:tcBorders>
            <w:tcMar>
              <w:top w:w="0" w:type="dxa"/>
              <w:left w:w="108" w:type="dxa"/>
              <w:bottom w:w="0" w:type="dxa"/>
              <w:right w:w="108" w:type="dxa"/>
            </w:tcMar>
            <w:hideMark/>
          </w:tcPr>
          <w:p w:rsidR="00A1506E" w:rsidRDefault="00A1506E">
            <w:r>
              <w:t> </w:t>
            </w:r>
          </w:p>
        </w:tc>
      </w:tr>
      <w:tr w:rsidR="00A1506E" w:rsidTr="00A1506E">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A1506E" w:rsidRDefault="00A1506E">
            <w:r>
              <w:t> </w:t>
            </w:r>
          </w:p>
        </w:tc>
        <w:tc>
          <w:tcPr>
            <w:tcW w:w="1980" w:type="dxa"/>
            <w:tcBorders>
              <w:top w:val="nil"/>
              <w:left w:val="nil"/>
              <w:bottom w:val="single" w:sz="8" w:space="0" w:color="auto"/>
              <w:right w:val="nil"/>
            </w:tcBorders>
            <w:tcMar>
              <w:top w:w="0" w:type="dxa"/>
              <w:left w:w="108" w:type="dxa"/>
              <w:bottom w:w="0" w:type="dxa"/>
              <w:right w:w="108" w:type="dxa"/>
            </w:tcMar>
            <w:hideMark/>
          </w:tcPr>
          <w:p w:rsidR="00A1506E" w:rsidRDefault="00A1506E">
            <w:r>
              <w:t> </w:t>
            </w:r>
          </w:p>
        </w:tc>
        <w:tc>
          <w:tcPr>
            <w:tcW w:w="1800" w:type="dxa"/>
            <w:tcBorders>
              <w:top w:val="nil"/>
              <w:left w:val="nil"/>
              <w:bottom w:val="single" w:sz="8" w:space="0" w:color="auto"/>
              <w:right w:val="nil"/>
            </w:tcBorders>
            <w:tcMar>
              <w:top w:w="0" w:type="dxa"/>
              <w:left w:w="108" w:type="dxa"/>
              <w:bottom w:w="0" w:type="dxa"/>
              <w:right w:w="108" w:type="dxa"/>
            </w:tcMar>
            <w:hideMark/>
          </w:tcPr>
          <w:p w:rsidR="00A1506E" w:rsidRDefault="00A1506E">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1506E" w:rsidRDefault="00A1506E">
            <w:r>
              <w:t> </w:t>
            </w:r>
          </w:p>
        </w:tc>
      </w:tr>
    </w:tbl>
    <w:p w:rsidR="000233E8" w:rsidRDefault="000233E8" w:rsidP="000C72FB">
      <w:pPr>
        <w:pStyle w:val="Zhlav"/>
        <w:keepNext/>
        <w:widowControl w:val="0"/>
        <w:tabs>
          <w:tab w:val="clear" w:pos="4536"/>
          <w:tab w:val="clear" w:pos="9072"/>
          <w:tab w:val="left" w:pos="142"/>
        </w:tabs>
        <w:spacing w:before="36" w:line="240" w:lineRule="exact"/>
        <w:jc w:val="both"/>
        <w:rPr>
          <w:rFonts w:ascii="Arial" w:hAnsi="Arial" w:cs="Arial"/>
          <w:iCs/>
          <w:sz w:val="22"/>
          <w:szCs w:val="22"/>
          <w:u w:val="single"/>
        </w:rPr>
      </w:pPr>
    </w:p>
    <w:sectPr w:rsidR="000233E8" w:rsidSect="00EB09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654"/>
    <w:multiLevelType w:val="hybridMultilevel"/>
    <w:tmpl w:val="2EA02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281A68"/>
    <w:multiLevelType w:val="hybridMultilevel"/>
    <w:tmpl w:val="75C8E3B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15:restartNumberingAfterBreak="0">
    <w:nsid w:val="192D7EB6"/>
    <w:multiLevelType w:val="hybridMultilevel"/>
    <w:tmpl w:val="D22C5A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99914C3"/>
    <w:multiLevelType w:val="hybridMultilevel"/>
    <w:tmpl w:val="1B4EE616"/>
    <w:lvl w:ilvl="0" w:tplc="89B8E2A2">
      <w:start w:val="1"/>
      <w:numFmt w:val="decimal"/>
      <w:lvlText w:val="%1."/>
      <w:lvlJc w:val="left"/>
      <w:pPr>
        <w:ind w:left="644" w:hanging="360"/>
      </w:pPr>
      <w:rPr>
        <w:rFonts w:ascii="Arial" w:eastAsia="Calibri" w:hAnsi="Arial" w:cs="Arial"/>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416C7BC6"/>
    <w:multiLevelType w:val="hybridMultilevel"/>
    <w:tmpl w:val="72E0567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F307CB"/>
    <w:multiLevelType w:val="hybridMultilevel"/>
    <w:tmpl w:val="3D204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BF085F"/>
    <w:multiLevelType w:val="hybridMultilevel"/>
    <w:tmpl w:val="FBDA97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AE725D"/>
    <w:multiLevelType w:val="hybridMultilevel"/>
    <w:tmpl w:val="430C9E46"/>
    <w:lvl w:ilvl="0" w:tplc="C95697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872F5D"/>
    <w:multiLevelType w:val="hybridMultilevel"/>
    <w:tmpl w:val="296C91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8E3D4A"/>
    <w:multiLevelType w:val="hybridMultilevel"/>
    <w:tmpl w:val="125C9712"/>
    <w:lvl w:ilvl="0" w:tplc="03E60160">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8"/>
  </w:num>
  <w:num w:numId="5">
    <w:abstractNumId w:val="5"/>
  </w:num>
  <w:num w:numId="6">
    <w:abstractNumId w:val="2"/>
  </w:num>
  <w:num w:numId="7">
    <w:abstractNumId w:val="7"/>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7C"/>
    <w:rsid w:val="000233E8"/>
    <w:rsid w:val="0007568A"/>
    <w:rsid w:val="000C72FB"/>
    <w:rsid w:val="00162208"/>
    <w:rsid w:val="00195D12"/>
    <w:rsid w:val="00221AA3"/>
    <w:rsid w:val="00231BC1"/>
    <w:rsid w:val="00236989"/>
    <w:rsid w:val="00257BC4"/>
    <w:rsid w:val="0037591E"/>
    <w:rsid w:val="003B57FC"/>
    <w:rsid w:val="00430FD8"/>
    <w:rsid w:val="004467D5"/>
    <w:rsid w:val="0048422F"/>
    <w:rsid w:val="004D3F9F"/>
    <w:rsid w:val="0051693B"/>
    <w:rsid w:val="00567DC7"/>
    <w:rsid w:val="005C1237"/>
    <w:rsid w:val="005C7E3D"/>
    <w:rsid w:val="00607F56"/>
    <w:rsid w:val="00706938"/>
    <w:rsid w:val="00763711"/>
    <w:rsid w:val="007A48F4"/>
    <w:rsid w:val="007C3E7C"/>
    <w:rsid w:val="007E37AF"/>
    <w:rsid w:val="008856C1"/>
    <w:rsid w:val="008B4B6A"/>
    <w:rsid w:val="009015D2"/>
    <w:rsid w:val="009B18E4"/>
    <w:rsid w:val="009C5A67"/>
    <w:rsid w:val="00A1506E"/>
    <w:rsid w:val="00A159A6"/>
    <w:rsid w:val="00AA286D"/>
    <w:rsid w:val="00B348E5"/>
    <w:rsid w:val="00C60ECF"/>
    <w:rsid w:val="00C94894"/>
    <w:rsid w:val="00CB3051"/>
    <w:rsid w:val="00CC1531"/>
    <w:rsid w:val="00D92800"/>
    <w:rsid w:val="00DE451B"/>
    <w:rsid w:val="00E67498"/>
    <w:rsid w:val="00EB094F"/>
    <w:rsid w:val="00ED56E4"/>
    <w:rsid w:val="00F75A7D"/>
    <w:rsid w:val="00F81FDD"/>
    <w:rsid w:val="00F837D3"/>
    <w:rsid w:val="00F97A4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01074-1312-4638-967A-45685118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3E7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7C3E7C"/>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kladntextChar">
    <w:name w:val="Základní text Char"/>
    <w:link w:val="Zkladntext"/>
    <w:uiPriority w:val="99"/>
    <w:semiHidden/>
    <w:rsid w:val="007C3E7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C3E7C"/>
    <w:pPr>
      <w:ind w:left="720"/>
      <w:contextualSpacing/>
    </w:pPr>
  </w:style>
  <w:style w:type="paragraph" w:styleId="Textbubliny">
    <w:name w:val="Balloon Text"/>
    <w:basedOn w:val="Normln"/>
    <w:link w:val="TextbublinyChar"/>
    <w:uiPriority w:val="99"/>
    <w:semiHidden/>
    <w:unhideWhenUsed/>
    <w:rsid w:val="00195D1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195D12"/>
    <w:rPr>
      <w:rFonts w:ascii="Segoe UI" w:hAnsi="Segoe UI" w:cs="Segoe UI"/>
      <w:sz w:val="18"/>
      <w:szCs w:val="18"/>
      <w:lang w:eastAsia="en-US"/>
    </w:rPr>
  </w:style>
  <w:style w:type="paragraph" w:styleId="Zhlav">
    <w:name w:val="header"/>
    <w:basedOn w:val="Normln"/>
    <w:link w:val="ZhlavChar"/>
    <w:rsid w:val="00DE451B"/>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ZhlavChar">
    <w:name w:val="Záhlaví Char"/>
    <w:basedOn w:val="Standardnpsmoodstavce"/>
    <w:link w:val="Zhlav"/>
    <w:rsid w:val="00DE451B"/>
    <w:rPr>
      <w:rFonts w:ascii="Times New Roman" w:eastAsia="Times New Roman" w:hAnsi="Times New Roman"/>
      <w:lang w:eastAsia="ar-SA"/>
    </w:rPr>
  </w:style>
  <w:style w:type="paragraph" w:styleId="Normlnweb">
    <w:name w:val="Normal (Web)"/>
    <w:basedOn w:val="Normln"/>
    <w:uiPriority w:val="99"/>
    <w:unhideWhenUsed/>
    <w:rsid w:val="00221AA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9015D2"/>
    <w:rPr>
      <w:b/>
      <w:bCs/>
    </w:rPr>
  </w:style>
  <w:style w:type="character" w:styleId="Hypertextovodkaz">
    <w:name w:val="Hyperlink"/>
    <w:basedOn w:val="Standardnpsmoodstavce"/>
    <w:uiPriority w:val="99"/>
    <w:semiHidden/>
    <w:unhideWhenUsed/>
    <w:rsid w:val="00901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9768">
      <w:bodyDiv w:val="1"/>
      <w:marLeft w:val="0"/>
      <w:marRight w:val="0"/>
      <w:marTop w:val="0"/>
      <w:marBottom w:val="0"/>
      <w:divBdr>
        <w:top w:val="none" w:sz="0" w:space="0" w:color="auto"/>
        <w:left w:val="none" w:sz="0" w:space="0" w:color="auto"/>
        <w:bottom w:val="none" w:sz="0" w:space="0" w:color="auto"/>
        <w:right w:val="none" w:sz="0" w:space="0" w:color="auto"/>
      </w:divBdr>
    </w:div>
    <w:div w:id="242185719">
      <w:bodyDiv w:val="1"/>
      <w:marLeft w:val="0"/>
      <w:marRight w:val="0"/>
      <w:marTop w:val="0"/>
      <w:marBottom w:val="0"/>
      <w:divBdr>
        <w:top w:val="none" w:sz="0" w:space="0" w:color="auto"/>
        <w:left w:val="none" w:sz="0" w:space="0" w:color="auto"/>
        <w:bottom w:val="none" w:sz="0" w:space="0" w:color="auto"/>
        <w:right w:val="none" w:sz="0" w:space="0" w:color="auto"/>
      </w:divBdr>
    </w:div>
    <w:div w:id="288784097">
      <w:bodyDiv w:val="1"/>
      <w:marLeft w:val="0"/>
      <w:marRight w:val="0"/>
      <w:marTop w:val="0"/>
      <w:marBottom w:val="0"/>
      <w:divBdr>
        <w:top w:val="none" w:sz="0" w:space="0" w:color="auto"/>
        <w:left w:val="none" w:sz="0" w:space="0" w:color="auto"/>
        <w:bottom w:val="none" w:sz="0" w:space="0" w:color="auto"/>
        <w:right w:val="none" w:sz="0" w:space="0" w:color="auto"/>
      </w:divBdr>
    </w:div>
    <w:div w:id="398670824">
      <w:bodyDiv w:val="1"/>
      <w:marLeft w:val="0"/>
      <w:marRight w:val="0"/>
      <w:marTop w:val="0"/>
      <w:marBottom w:val="0"/>
      <w:divBdr>
        <w:top w:val="none" w:sz="0" w:space="0" w:color="auto"/>
        <w:left w:val="none" w:sz="0" w:space="0" w:color="auto"/>
        <w:bottom w:val="none" w:sz="0" w:space="0" w:color="auto"/>
        <w:right w:val="none" w:sz="0" w:space="0" w:color="auto"/>
      </w:divBdr>
    </w:div>
    <w:div w:id="512231016">
      <w:bodyDiv w:val="1"/>
      <w:marLeft w:val="0"/>
      <w:marRight w:val="0"/>
      <w:marTop w:val="0"/>
      <w:marBottom w:val="0"/>
      <w:divBdr>
        <w:top w:val="none" w:sz="0" w:space="0" w:color="auto"/>
        <w:left w:val="none" w:sz="0" w:space="0" w:color="auto"/>
        <w:bottom w:val="none" w:sz="0" w:space="0" w:color="auto"/>
        <w:right w:val="none" w:sz="0" w:space="0" w:color="auto"/>
      </w:divBdr>
    </w:div>
    <w:div w:id="832792098">
      <w:bodyDiv w:val="1"/>
      <w:marLeft w:val="0"/>
      <w:marRight w:val="0"/>
      <w:marTop w:val="0"/>
      <w:marBottom w:val="0"/>
      <w:divBdr>
        <w:top w:val="none" w:sz="0" w:space="0" w:color="auto"/>
        <w:left w:val="none" w:sz="0" w:space="0" w:color="auto"/>
        <w:bottom w:val="none" w:sz="0" w:space="0" w:color="auto"/>
        <w:right w:val="none" w:sz="0" w:space="0" w:color="auto"/>
      </w:divBdr>
    </w:div>
    <w:div w:id="935089928">
      <w:bodyDiv w:val="1"/>
      <w:marLeft w:val="0"/>
      <w:marRight w:val="0"/>
      <w:marTop w:val="0"/>
      <w:marBottom w:val="0"/>
      <w:divBdr>
        <w:top w:val="none" w:sz="0" w:space="0" w:color="auto"/>
        <w:left w:val="none" w:sz="0" w:space="0" w:color="auto"/>
        <w:bottom w:val="none" w:sz="0" w:space="0" w:color="auto"/>
        <w:right w:val="none" w:sz="0" w:space="0" w:color="auto"/>
      </w:divBdr>
    </w:div>
    <w:div w:id="1395733628">
      <w:bodyDiv w:val="1"/>
      <w:marLeft w:val="0"/>
      <w:marRight w:val="0"/>
      <w:marTop w:val="0"/>
      <w:marBottom w:val="0"/>
      <w:divBdr>
        <w:top w:val="none" w:sz="0" w:space="0" w:color="auto"/>
        <w:left w:val="none" w:sz="0" w:space="0" w:color="auto"/>
        <w:bottom w:val="none" w:sz="0" w:space="0" w:color="auto"/>
        <w:right w:val="none" w:sz="0" w:space="0" w:color="auto"/>
      </w:divBdr>
    </w:div>
    <w:div w:id="1733111749">
      <w:bodyDiv w:val="1"/>
      <w:marLeft w:val="0"/>
      <w:marRight w:val="0"/>
      <w:marTop w:val="0"/>
      <w:marBottom w:val="0"/>
      <w:divBdr>
        <w:top w:val="none" w:sz="0" w:space="0" w:color="auto"/>
        <w:left w:val="none" w:sz="0" w:space="0" w:color="auto"/>
        <w:bottom w:val="none" w:sz="0" w:space="0" w:color="auto"/>
        <w:right w:val="none" w:sz="0" w:space="0" w:color="auto"/>
      </w:divBdr>
    </w:div>
    <w:div w:id="1794011038">
      <w:bodyDiv w:val="1"/>
      <w:marLeft w:val="0"/>
      <w:marRight w:val="0"/>
      <w:marTop w:val="0"/>
      <w:marBottom w:val="0"/>
      <w:divBdr>
        <w:top w:val="none" w:sz="0" w:space="0" w:color="auto"/>
        <w:left w:val="none" w:sz="0" w:space="0" w:color="auto"/>
        <w:bottom w:val="none" w:sz="0" w:space="0" w:color="auto"/>
        <w:right w:val="none" w:sz="0" w:space="0" w:color="auto"/>
      </w:divBdr>
    </w:div>
    <w:div w:id="18637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nature.cz/publik_syst/files/oop_mngmonvyj.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11574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dc:creator>
  <cp:keywords/>
  <cp:lastModifiedBy>Jaroslav Mûller</cp:lastModifiedBy>
  <cp:revision>3</cp:revision>
  <cp:lastPrinted>2020-08-13T07:46:00Z</cp:lastPrinted>
  <dcterms:created xsi:type="dcterms:W3CDTF">2020-12-02T14:28:00Z</dcterms:created>
  <dcterms:modified xsi:type="dcterms:W3CDTF">2020-12-07T13:22:00Z</dcterms:modified>
</cp:coreProperties>
</file>