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F7" w:rsidRDefault="00F00ABD">
      <w:pPr>
        <w:pStyle w:val="Nzev"/>
        <w:widowControl w:val="0"/>
        <w:spacing w:before="600"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  <w:r w:rsidR="003A7026">
        <w:rPr>
          <w:rFonts w:ascii="Arial" w:hAnsi="Arial" w:cs="Arial"/>
        </w:rPr>
        <w:t xml:space="preserve"> č. 178/00873489/2020</w:t>
      </w:r>
    </w:p>
    <w:p w:rsidR="002307F7" w:rsidRDefault="00F00ABD">
      <w:pPr>
        <w:pStyle w:val="Nzev"/>
        <w:widowControl w:val="0"/>
        <w:spacing w:after="240"/>
        <w:ind w:left="284" w:righ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>. § 2079 a násl. zákona č. 89/2012 Sb., občanského zákoníku, v platném a účinném znění (dále jen „</w:t>
      </w:r>
      <w:r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2307F7" w:rsidRDefault="00F00ABD" w:rsidP="003A7026">
      <w:pPr>
        <w:pStyle w:val="AKFZFnormln"/>
        <w:spacing w:after="0"/>
        <w:ind w:left="709"/>
        <w:jc w:val="left"/>
        <w:rPr>
          <w:rFonts w:cs="Arial"/>
        </w:rPr>
      </w:pPr>
      <w:r w:rsidRPr="003A7026">
        <w:rPr>
          <w:rFonts w:cs="Arial"/>
          <w:b/>
          <w:bCs/>
        </w:rPr>
        <w:t>Odborné učiliště, Praktická škola, Základní škola a Mateřská škola Příbram    IV, p. o.</w:t>
      </w:r>
      <w:r w:rsidRPr="003A7026">
        <w:rPr>
          <w:rFonts w:cs="Arial"/>
          <w:bCs/>
        </w:rPr>
        <w:t>,</w:t>
      </w:r>
      <w:r>
        <w:rPr>
          <w:rFonts w:cs="Arial"/>
          <w:bCs/>
        </w:rPr>
        <w:t xml:space="preserve"> se sídlem:</w:t>
      </w:r>
      <w:r>
        <w:rPr>
          <w:rFonts w:cs="Arial"/>
        </w:rPr>
        <w:t xml:space="preserve"> Pod Šachtami 335, Příbram IV, 261 01 Příbram, IČO: 00873489, zastoupen ve věcech smluvních: Mgr. Pavlína Caisová, ředitelka školy, </w:t>
      </w:r>
    </w:p>
    <w:p w:rsidR="00F00ABD" w:rsidRDefault="00F00ABD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Číslo bankovního účtu: 10735211/0100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(dále jen "</w:t>
      </w:r>
      <w:r>
        <w:rPr>
          <w:rFonts w:ascii="Arial" w:hAnsi="Arial" w:cs="Arial"/>
          <w:b/>
          <w:szCs w:val="22"/>
        </w:rPr>
        <w:t>Kupující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a</w:t>
      </w:r>
    </w:p>
    <w:p w:rsidR="002307F7" w:rsidRDefault="003A7026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0"/>
        </w:rPr>
        <w:t xml:space="preserve">Jan </w:t>
      </w:r>
      <w:proofErr w:type="spellStart"/>
      <w:r>
        <w:rPr>
          <w:rFonts w:ascii="Arial" w:hAnsi="Arial" w:cs="Arial"/>
          <w:b/>
          <w:szCs w:val="20"/>
        </w:rPr>
        <w:t>Tinhofer</w:t>
      </w:r>
      <w:proofErr w:type="spellEnd"/>
      <w:r w:rsidR="00F00ABD">
        <w:rPr>
          <w:rFonts w:ascii="Arial" w:hAnsi="Arial" w:cs="Arial"/>
          <w:b/>
          <w:szCs w:val="22"/>
        </w:rPr>
        <w:t xml:space="preserve">, </w:t>
      </w:r>
      <w:r w:rsidR="00F00ABD">
        <w:rPr>
          <w:rFonts w:ascii="Arial" w:hAnsi="Arial" w:cs="Arial"/>
          <w:szCs w:val="22"/>
        </w:rPr>
        <w:t xml:space="preserve">se sídlem </w:t>
      </w:r>
      <w:r>
        <w:rPr>
          <w:rFonts w:ascii="Arial" w:hAnsi="Arial" w:cs="Arial"/>
          <w:szCs w:val="22"/>
        </w:rPr>
        <w:t>Dlouhá Lhota 138</w:t>
      </w:r>
      <w:r w:rsidR="00F00ABD">
        <w:rPr>
          <w:rFonts w:ascii="Arial" w:hAnsi="Arial" w:cs="Arial"/>
          <w:szCs w:val="20"/>
        </w:rPr>
        <w:t xml:space="preserve">, </w:t>
      </w:r>
      <w:r w:rsidR="00F00ABD"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 xml:space="preserve"> 71478710</w:t>
      </w:r>
    </w:p>
    <w:p w:rsidR="003A7026" w:rsidRDefault="00F00ABD">
      <w:pPr>
        <w:widowControl w:val="0"/>
        <w:spacing w:before="120" w:after="120"/>
        <w:ind w:left="6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zapsaný v obchodním rejstříku vedenému Městského soudu v</w:t>
      </w:r>
      <w:r w:rsidR="003A7026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P</w:t>
      </w:r>
      <w:r w:rsidR="003A7026">
        <w:rPr>
          <w:rFonts w:ascii="Arial" w:hAnsi="Arial" w:cs="Arial"/>
          <w:szCs w:val="22"/>
        </w:rPr>
        <w:t>říbrami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bankovního účtu: </w:t>
      </w:r>
      <w:r w:rsidR="003A7026">
        <w:rPr>
          <w:rFonts w:ascii="Arial" w:hAnsi="Arial" w:cs="Arial"/>
          <w:szCs w:val="22"/>
        </w:rPr>
        <w:t>115-5331090277</w:t>
      </w:r>
      <w:r>
        <w:rPr>
          <w:rFonts w:ascii="Arial" w:hAnsi="Arial" w:cs="Arial"/>
          <w:szCs w:val="22"/>
        </w:rPr>
        <w:t>/0100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(dále jen "</w:t>
      </w:r>
      <w:r>
        <w:rPr>
          <w:rFonts w:ascii="Arial" w:hAnsi="Arial" w:cs="Arial"/>
          <w:b/>
          <w:szCs w:val="22"/>
        </w:rPr>
        <w:t>Prodávající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(Kupující a Prodávající dále společně jen "</w:t>
      </w:r>
      <w:r>
        <w:rPr>
          <w:rFonts w:ascii="Arial" w:hAnsi="Arial" w:cs="Arial"/>
          <w:b/>
          <w:szCs w:val="22"/>
        </w:rPr>
        <w:t>Smluvní strany</w:t>
      </w:r>
      <w:r>
        <w:rPr>
          <w:rFonts w:ascii="Arial" w:hAnsi="Arial" w:cs="Arial"/>
          <w:szCs w:val="22"/>
        </w:rPr>
        <w:t>" nebo každý z nich samostatně jen "</w:t>
      </w:r>
      <w:r>
        <w:rPr>
          <w:rFonts w:ascii="Arial" w:hAnsi="Arial" w:cs="Arial"/>
          <w:b/>
          <w:szCs w:val="22"/>
        </w:rPr>
        <w:t>Smluvní strana</w:t>
      </w:r>
      <w:r>
        <w:rPr>
          <w:rFonts w:ascii="Arial" w:hAnsi="Arial" w:cs="Arial"/>
          <w:szCs w:val="22"/>
        </w:rPr>
        <w:t>").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uzavírají dnešního dne, měsíce a roku tuto kupní smlouvu (dále jen „</w:t>
      </w:r>
      <w:r>
        <w:rPr>
          <w:rFonts w:ascii="Arial" w:hAnsi="Arial" w:cs="Arial"/>
          <w:b/>
          <w:szCs w:val="22"/>
        </w:rPr>
        <w:t>Smlouva“)</w:t>
      </w:r>
    </w:p>
    <w:p w:rsidR="002307F7" w:rsidRDefault="002307F7">
      <w:pPr>
        <w:sectPr w:rsidR="002307F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276" w:right="1418" w:bottom="1418" w:left="1418" w:header="709" w:footer="709" w:gutter="0"/>
          <w:cols w:space="708"/>
          <w:formProt w:val="0"/>
          <w:titlePg/>
          <w:docGrid w:linePitch="600" w:charSpace="36864"/>
        </w:sectPr>
      </w:pPr>
    </w:p>
    <w:p w:rsidR="002307F7" w:rsidRDefault="00F00ABD">
      <w:pPr>
        <w:pStyle w:val="Nadpis1"/>
        <w:numPr>
          <w:ilvl w:val="0"/>
          <w:numId w:val="2"/>
        </w:numPr>
        <w:ind w:left="0" w:firstLine="0"/>
      </w:pPr>
      <w:r>
        <w:t>Předmět Smlouvy</w:t>
      </w:r>
    </w:p>
    <w:p w:rsidR="002307F7" w:rsidRPr="003A7026" w:rsidRDefault="00F00ABD" w:rsidP="00B47F47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 w:rsidRPr="003A7026">
        <w:rPr>
          <w:sz w:val="22"/>
          <w:szCs w:val="22"/>
        </w:rPr>
        <w:t xml:space="preserve">Předmětem této Smlouvy je závazek Prodávajícího dodat Kupujícímu a převést na Kupujícího vlastnické právo k záměru </w:t>
      </w:r>
      <w:r w:rsidRPr="003A7026">
        <w:rPr>
          <w:b/>
          <w:bCs w:val="0"/>
          <w:sz w:val="22"/>
          <w:szCs w:val="22"/>
        </w:rPr>
        <w:t>„</w:t>
      </w:r>
      <w:r w:rsidRPr="003A7026">
        <w:rPr>
          <w:b/>
          <w:sz w:val="22"/>
          <w:szCs w:val="22"/>
        </w:rPr>
        <w:t xml:space="preserve">Výměna </w:t>
      </w:r>
      <w:r w:rsidR="003A7026" w:rsidRPr="003A7026">
        <w:rPr>
          <w:b/>
          <w:sz w:val="22"/>
          <w:szCs w:val="22"/>
        </w:rPr>
        <w:t>vstupních dveří a oprava vstupního prostoru“</w:t>
      </w:r>
      <w:r w:rsidRPr="003A7026">
        <w:rPr>
          <w:b/>
          <w:sz w:val="22"/>
          <w:szCs w:val="22"/>
        </w:rPr>
        <w:t xml:space="preserve"> </w:t>
      </w:r>
      <w:r w:rsidRPr="003A7026">
        <w:rPr>
          <w:sz w:val="22"/>
          <w:szCs w:val="22"/>
        </w:rPr>
        <w:t xml:space="preserve"> (dále jen „</w:t>
      </w:r>
      <w:r w:rsidRPr="003A7026">
        <w:rPr>
          <w:b/>
          <w:sz w:val="22"/>
          <w:szCs w:val="22"/>
        </w:rPr>
        <w:t>zboží</w:t>
      </w:r>
      <w:r w:rsidRPr="003A7026">
        <w:rPr>
          <w:sz w:val="22"/>
          <w:szCs w:val="22"/>
        </w:rPr>
        <w:t>“), jehož technické funkce a parametry jsou podrobně specifikovány v Technické specifikaci, která je uvedena v Příloze č. 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Součástí plnění Prodávajícího je také: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doprava zboží do místa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instalace zboží na místě určeném Kupujícím,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zpracování a předání instrukcí a návodů k obsluze a údržbě zboží v českém jazyce Kupujícímu,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provedení zaškolení osob určených Kupujícím k obsluze v místě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spolupráce s Kupujícím v průběhu realizace dodávky (zejména podmínky doručení).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</w:t>
      </w:r>
      <w:r>
        <w:rPr>
          <w:sz w:val="22"/>
          <w:szCs w:val="22"/>
        </w:rPr>
        <w:lastRenderedPageBreak/>
        <w:t>technickými normami, které se ke zboží vztahují.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řádně a včas dodané a instalované zboží a související služby převzít a zaplatit za ně Prodávajícímu kupní cenu uvedenou v článku 4. této Smlouvy.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a platební podmínky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Kupní cena za předmět Smlouvy uvedený v článku 2 odst.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 xml:space="preserve">. a 2.2. byla stanovena na jako cena maximální a nejvýše přípustná, a to ve výši </w:t>
      </w:r>
      <w:r w:rsidR="003A7026">
        <w:rPr>
          <w:sz w:val="22"/>
          <w:szCs w:val="22"/>
        </w:rPr>
        <w:t>172 550,</w:t>
      </w:r>
      <w:r>
        <w:rPr>
          <w:sz w:val="22"/>
          <w:szCs w:val="22"/>
        </w:rPr>
        <w:t>- Kč bez DPH (dále jen „</w:t>
      </w:r>
      <w:r>
        <w:rPr>
          <w:b/>
          <w:sz w:val="22"/>
          <w:szCs w:val="22"/>
        </w:rPr>
        <w:t>kupní cena</w:t>
      </w:r>
      <w:r>
        <w:rPr>
          <w:sz w:val="22"/>
          <w:szCs w:val="22"/>
        </w:rPr>
        <w:t xml:space="preserve">“), plus  21% DPH ve výši </w:t>
      </w:r>
      <w:r w:rsidR="003A7026">
        <w:rPr>
          <w:sz w:val="22"/>
          <w:szCs w:val="22"/>
        </w:rPr>
        <w:t xml:space="preserve">36 235,50 </w:t>
      </w:r>
      <w:r>
        <w:rPr>
          <w:sz w:val="22"/>
          <w:szCs w:val="22"/>
        </w:rPr>
        <w:t xml:space="preserve">Kč, tj. celkem ve výši </w:t>
      </w:r>
      <w:r w:rsidR="003A7026">
        <w:rPr>
          <w:sz w:val="22"/>
          <w:szCs w:val="22"/>
        </w:rPr>
        <w:t>208 </w:t>
      </w:r>
      <w:r w:rsidR="006E3A91">
        <w:rPr>
          <w:sz w:val="22"/>
          <w:szCs w:val="22"/>
        </w:rPr>
        <w:t>785</w:t>
      </w:r>
      <w:bookmarkStart w:id="0" w:name="_GoBack"/>
      <w:bookmarkEnd w:id="0"/>
      <w:r w:rsidR="003A7026">
        <w:rPr>
          <w:sz w:val="22"/>
          <w:szCs w:val="22"/>
        </w:rPr>
        <w:t>,50</w:t>
      </w:r>
      <w:r>
        <w:rPr>
          <w:sz w:val="22"/>
          <w:szCs w:val="22"/>
        </w:rPr>
        <w:t>,- Kč s DPH.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Kupní cena zahrnuje veškeré náklady spojené s plněním předmětu této Smlouvy a je nezávislá na vývoji cen a kursových změnách.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splatnosti faktury je 30 dnů od data jejího doručení Kupujícímu. Zaplacením účtované částky se rozumí den jejího odeslání na účet Prodávajícího. Daňové doklady - faktury vystavené Prodávajícím podle této Smlouvy musí obsahovat náležitosti stanovené příslušnými právními předpisy České republiky.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daňový doklad – faktura nebude vystaven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5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a místo plnění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řádně obstarat, dodat, instalovat a předat Kupujícímu zboží uvedené v článku 2 odst. 2.1 této Smlouvy, a to do 15. 12. 2020 od nabytí účinnosti této Smlouvy.</w:t>
      </w:r>
    </w:p>
    <w:p w:rsidR="002307F7" w:rsidRDefault="002307F7"/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Místem plnění je sídlo zadavatele:</w:t>
      </w:r>
    </w:p>
    <w:tbl>
      <w:tblPr>
        <w:tblStyle w:val="Mkatabulky"/>
        <w:tblW w:w="10022" w:type="dxa"/>
        <w:tblInd w:w="-112" w:type="dxa"/>
        <w:tblLook w:val="04A0" w:firstRow="1" w:lastRow="0" w:firstColumn="1" w:lastColumn="0" w:noHBand="0" w:noVBand="1"/>
      </w:tblPr>
      <w:tblGrid>
        <w:gridCol w:w="10022"/>
      </w:tblGrid>
      <w:tr w:rsidR="002307F7"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Odborné učiliště, Praktická škola, Základní škola a Mateřská škola Příbram IV, příspěvková     </w:t>
            </w:r>
          </w:p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organizace, </w:t>
            </w:r>
            <w:r>
              <w:rPr>
                <w:rFonts w:cs="Arial"/>
                <w:bCs/>
              </w:rPr>
              <w:t xml:space="preserve">Pod Šachtami 335, Příbram IV, 261 01 Příbram </w:t>
            </w:r>
            <w:r>
              <w:t>(dále jen „</w:t>
            </w:r>
            <w:r>
              <w:rPr>
                <w:b/>
                <w:i/>
              </w:rPr>
              <w:t>místo plnění</w:t>
            </w:r>
            <w:r>
              <w:t>“).</w:t>
            </w:r>
          </w:p>
          <w:p w:rsidR="002307F7" w:rsidRDefault="002307F7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a převzetí zboží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b/>
          <w:i/>
          <w:sz w:val="22"/>
          <w:szCs w:val="22"/>
        </w:rPr>
        <w:t>předávací protokol</w:t>
      </w:r>
      <w:r>
        <w:rPr>
          <w:sz w:val="22"/>
          <w:szCs w:val="22"/>
        </w:rPr>
        <w:t>“).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a nároky z vad</w:t>
      </w:r>
    </w:p>
    <w:p w:rsidR="002307F7" w:rsidRPr="003A7026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sz w:val="22"/>
          <w:szCs w:val="22"/>
        </w:rPr>
        <w:t xml:space="preserve">Záruční doba na zboží </w:t>
      </w:r>
      <w:r w:rsidRPr="00F00ABD">
        <w:rPr>
          <w:rFonts w:asciiTheme="minorHAnsi" w:hAnsiTheme="minorHAnsi" w:cstheme="minorHAnsi"/>
          <w:sz w:val="24"/>
          <w:szCs w:val="24"/>
        </w:rPr>
        <w:t xml:space="preserve">je </w:t>
      </w:r>
      <w:r w:rsidR="003A7026" w:rsidRPr="003A7026">
        <w:rPr>
          <w:rFonts w:asciiTheme="minorHAnsi" w:hAnsiTheme="minorHAnsi" w:cstheme="minorHAnsi"/>
          <w:sz w:val="24"/>
          <w:szCs w:val="24"/>
        </w:rPr>
        <w:t>72</w:t>
      </w:r>
      <w:r w:rsidRPr="003A7026">
        <w:rPr>
          <w:rFonts w:asciiTheme="minorHAnsi" w:hAnsiTheme="minorHAnsi" w:cstheme="minorHAnsi"/>
          <w:sz w:val="24"/>
          <w:szCs w:val="24"/>
        </w:rPr>
        <w:t xml:space="preserve"> měsíců.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Záruční doba začíná běžet dnem podpisu předávacího protokolu zástupci Smluvních stran. Je-li zboží vadou či nedodělkem, počíná běžet záruční doba ode dne jejich odstranění.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2307F7" w:rsidRDefault="00F00ABD">
      <w:pPr>
        <w:pStyle w:val="Odrazka2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dodáním náhradního zboží za vadné zboží,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opravou, jsou-li vady opravitelné,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přiměřenou slevu z kupní ceny.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následně jinak. Prodávající je </w:t>
      </w:r>
      <w:r>
        <w:rPr>
          <w:sz w:val="22"/>
          <w:szCs w:val="22"/>
        </w:rPr>
        <w:lastRenderedPageBreak/>
        <w:t>povinen vadu odstranit v místě plnění; není-li to možné, nese Prodávající veškeré účelně vynaložené náklady související s přepravou zboží za účelem odstranění vad.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Prodávající neodstraní řádně reklamovanou vadu zboží (ve lhůtě uvedené v článku 7. odst. 7.5 nebo ve </w:t>
      </w:r>
      <w:proofErr w:type="gramStart"/>
      <w:r>
        <w:rPr>
          <w:sz w:val="22"/>
          <w:szCs w:val="22"/>
        </w:rPr>
        <w:t>Smluvními stranami</w:t>
      </w:r>
      <w:proofErr w:type="gramEnd"/>
      <w:r>
        <w:rPr>
          <w:sz w:val="22"/>
          <w:szCs w:val="22"/>
        </w:rPr>
        <w:t xml:space="preserve">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vylučují použití ustanovení § 2050 OZ. Nárok na náhradu škody má Kupující vždy zachován.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ukončit splněním, dohodou Smluvních stran nebo odstoupením od Smlouvy z důvodů stanovených v zákoně nebo v této Smlouvě.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je dále oprávněn od Smlouvy odstoupit bez jakýchkoliv sankcí, nastane-li i některá z níže uvedených skutečností:</w:t>
      </w:r>
    </w:p>
    <w:p w:rsidR="002307F7" w:rsidRDefault="00F00ABD">
      <w:pPr>
        <w:pStyle w:val="Odrazka2"/>
        <w:numPr>
          <w:ilvl w:val="1"/>
          <w:numId w:val="3"/>
        </w:numPr>
        <w:tabs>
          <w:tab w:val="clear" w:pos="1276"/>
          <w:tab w:val="left" w:pos="1418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Činí-li prodlení Prodávajícího proti termínu předání a převzetí zboží uvedenému v článku 5. odst. 5.1 této Smlouvy více než 4 týdny;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Prodávající vstoupí do likvidace;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oprávněn od Smlouvy odstoupit v případě podstatného porušení Smlouvy Kupujícím. Za podstatné porušení Smlouvy Kupujícím se považuje nezaplacení kupní </w:t>
      </w:r>
      <w:r>
        <w:rPr>
          <w:sz w:val="22"/>
          <w:szCs w:val="22"/>
        </w:rPr>
        <w:lastRenderedPageBreak/>
        <w:t>ceny v termínu stanoveném touto Smlouvou, ač Prodávající Kupujícího na toto porušení písemně upozornil a poskytl mu dostatečně dlouhou lhůtu k dodatečnému splnění této povinnosti.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:rsidR="002307F7" w:rsidRDefault="00F00ABD">
      <w:pPr>
        <w:pStyle w:val="Nadpis2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Smlouva, včetně příloh, představuje úplnou a ucelenou smlouvu mezi Kupujícím a Prodávajícím.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jejího podpisu oprávněnými zástupci obou Smluvních stran a účinnosti dnem jejího uveřejnění v registru smluv.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4: Technická specifikace, položkový rozpočet.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stvrzují Smlouvu podpisem na důkaz souhlasu s celým jejím obsahem.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2307F7" w:rsidP="00F00ABD">
      <w:pPr>
        <w:widowControl w:val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V Příbrami dne 2</w:t>
      </w:r>
      <w:r w:rsidR="003A702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. 10. 2020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V Příbrami dne 2</w:t>
      </w:r>
      <w:r w:rsidR="003A702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. 10. 2020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3A7026" w:rsidRDefault="00F00ABD">
      <w:pPr>
        <w:widowControl w:val="0"/>
        <w:ind w:left="0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szCs w:val="22"/>
        </w:rPr>
        <w:t>Za</w:t>
      </w:r>
      <w:proofErr w:type="gramEnd"/>
      <w:r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 xml:space="preserve">Odborné učiliště, Praktická škola,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 xml:space="preserve">      </w:t>
      </w:r>
      <w:r w:rsidR="003A7026">
        <w:rPr>
          <w:rFonts w:ascii="Arial" w:hAnsi="Arial" w:cs="Arial"/>
          <w:bCs/>
          <w:szCs w:val="22"/>
        </w:rPr>
        <w:t xml:space="preserve">      </w:t>
      </w:r>
      <w:r>
        <w:rPr>
          <w:rFonts w:ascii="Arial" w:hAnsi="Arial" w:cs="Arial"/>
          <w:bCs/>
          <w:szCs w:val="22"/>
        </w:rPr>
        <w:t xml:space="preserve">  </w:t>
      </w:r>
      <w:r w:rsidR="003A7026">
        <w:rPr>
          <w:rFonts w:ascii="Arial" w:hAnsi="Arial" w:cs="Arial"/>
          <w:bCs/>
          <w:szCs w:val="22"/>
        </w:rPr>
        <w:t xml:space="preserve">  </w:t>
      </w:r>
      <w:r>
        <w:rPr>
          <w:rFonts w:ascii="Arial" w:hAnsi="Arial" w:cs="Arial"/>
          <w:bCs/>
          <w:szCs w:val="22"/>
        </w:rPr>
        <w:t xml:space="preserve"> </w:t>
      </w:r>
      <w:proofErr w:type="gramStart"/>
      <w:r>
        <w:rPr>
          <w:rFonts w:ascii="Arial" w:hAnsi="Arial" w:cs="Arial"/>
          <w:bCs/>
          <w:szCs w:val="22"/>
        </w:rPr>
        <w:t>Za</w:t>
      </w:r>
      <w:proofErr w:type="gramEnd"/>
      <w:r>
        <w:rPr>
          <w:rFonts w:ascii="Arial" w:hAnsi="Arial" w:cs="Arial"/>
          <w:bCs/>
          <w:szCs w:val="22"/>
        </w:rPr>
        <w:t xml:space="preserve">: </w:t>
      </w:r>
      <w:r w:rsidR="003A7026">
        <w:rPr>
          <w:rFonts w:ascii="Arial" w:hAnsi="Arial" w:cs="Arial"/>
          <w:bCs/>
          <w:szCs w:val="22"/>
        </w:rPr>
        <w:t xml:space="preserve">Jan </w:t>
      </w:r>
      <w:proofErr w:type="spellStart"/>
      <w:r w:rsidR="003A7026">
        <w:rPr>
          <w:rFonts w:ascii="Arial" w:hAnsi="Arial" w:cs="Arial"/>
          <w:bCs/>
          <w:szCs w:val="22"/>
        </w:rPr>
        <w:t>Tinhofer</w:t>
      </w:r>
      <w:proofErr w:type="spellEnd"/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Základní škola a Mateřská škola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Příbram    IV, p. o., </w:t>
      </w:r>
      <w:r>
        <w:rPr>
          <w:rFonts w:ascii="Arial" w:hAnsi="Arial" w:cs="Arial"/>
          <w:szCs w:val="22"/>
        </w:rPr>
        <w:t xml:space="preserve">    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 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Jméno: Mgr. Pavlína Caisová                       </w:t>
      </w:r>
      <w:r>
        <w:rPr>
          <w:rFonts w:ascii="Arial" w:hAnsi="Arial" w:cs="Arial"/>
          <w:szCs w:val="22"/>
        </w:rPr>
        <w:tab/>
        <w:t xml:space="preserve">            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Funkce: ředitelka školy                                                         </w:t>
      </w:r>
    </w:p>
    <w:sectPr w:rsidR="002307F7">
      <w:type w:val="continuous"/>
      <w:pgSz w:w="12240" w:h="15840"/>
      <w:pgMar w:top="1276" w:right="1418" w:bottom="1418" w:left="1418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DF" w:rsidRDefault="00272EDF">
      <w:pPr>
        <w:spacing w:before="0" w:after="0" w:line="240" w:lineRule="auto"/>
      </w:pPr>
      <w:r>
        <w:separator/>
      </w:r>
    </w:p>
  </w:endnote>
  <w:endnote w:type="continuationSeparator" w:id="0">
    <w:p w:rsidR="00272EDF" w:rsidRDefault="00272E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6E3A91">
      <w:rPr>
        <w:rFonts w:ascii="Arial" w:hAnsi="Arial" w:cs="Arial"/>
        <w:b/>
        <w:bCs/>
        <w:noProof/>
        <w:sz w:val="20"/>
      </w:rPr>
      <w:t>4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6E3A91">
      <w:rPr>
        <w:rFonts w:ascii="Arial" w:hAnsi="Arial" w:cs="Arial"/>
        <w:b/>
        <w:bCs/>
        <w:noProof/>
        <w:sz w:val="20"/>
      </w:rPr>
      <w:t>5</w:t>
    </w:r>
    <w:r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6E3A91">
      <w:rPr>
        <w:rFonts w:ascii="Arial" w:hAnsi="Arial" w:cs="Arial"/>
        <w:b/>
        <w:bCs/>
        <w:noProof/>
        <w:sz w:val="20"/>
      </w:rPr>
      <w:t>1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6E3A91">
      <w:rPr>
        <w:rFonts w:ascii="Arial" w:hAnsi="Arial" w:cs="Arial"/>
        <w:b/>
        <w:bCs/>
        <w:noProof/>
        <w:sz w:val="20"/>
      </w:rPr>
      <w:t>5</w:t>
    </w:r>
    <w:r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DF" w:rsidRDefault="00272EDF">
      <w:pPr>
        <w:spacing w:before="0" w:after="0" w:line="240" w:lineRule="auto"/>
      </w:pPr>
      <w:r>
        <w:separator/>
      </w:r>
    </w:p>
  </w:footnote>
  <w:footnote w:type="continuationSeparator" w:id="0">
    <w:p w:rsidR="00272EDF" w:rsidRDefault="00272E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CE"/>
    <w:multiLevelType w:val="multilevel"/>
    <w:tmpl w:val="AAECBBC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AB42FB"/>
    <w:multiLevelType w:val="multilevel"/>
    <w:tmpl w:val="92B498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84870"/>
    <w:multiLevelType w:val="multilevel"/>
    <w:tmpl w:val="738050B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3" w15:restartNumberingAfterBreak="0">
    <w:nsid w:val="52526372"/>
    <w:multiLevelType w:val="multilevel"/>
    <w:tmpl w:val="D39CC5E0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3C61"/>
    <w:multiLevelType w:val="multilevel"/>
    <w:tmpl w:val="3CDC3B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1134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cs="Arial"/>
          <w:b w:val="0"/>
          <w:sz w:val="22"/>
        </w:rPr>
      </w:lvl>
    </w:lvlOverride>
  </w:num>
  <w:num w:numId="7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7"/>
    <w:rsid w:val="002307F7"/>
    <w:rsid w:val="00272EDF"/>
    <w:rsid w:val="003A7026"/>
    <w:rsid w:val="006E0307"/>
    <w:rsid w:val="006E3A91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1C9F"/>
  <w15:docId w15:val="{2C7197AD-269D-4BC3-AC06-BE1F9BC5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left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6931DE"/>
    <w:rPr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character" w:customStyle="1" w:styleId="ZhlavChar">
    <w:name w:val="Záhlaví Char"/>
    <w:link w:val="Zhlav"/>
    <w:uiPriority w:val="99"/>
    <w:semiHidden/>
    <w:qFormat/>
    <w:rsid w:val="006D734B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6D734B"/>
    <w:rPr>
      <w:sz w:val="24"/>
      <w:szCs w:val="24"/>
    </w:rPr>
  </w:style>
  <w:style w:type="character" w:customStyle="1" w:styleId="Internetovodkaz">
    <w:name w:val="Internetový odkaz"/>
    <w:uiPriority w:val="99"/>
    <w:unhideWhenUsed/>
    <w:rsid w:val="006F0A14"/>
    <w:rPr>
      <w:color w:val="0000FF"/>
      <w:u w:val="single"/>
    </w:rPr>
  </w:style>
  <w:style w:type="character" w:customStyle="1" w:styleId="Nadpis1Char">
    <w:name w:val="Nadpis 1 Char"/>
    <w:link w:val="Nadpis1"/>
    <w:qFormat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qFormat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qFormat/>
    <w:rsid w:val="00AB30F7"/>
    <w:rPr>
      <w:rFonts w:ascii="Calibri" w:hAnsi="Calibri"/>
      <w:iCs/>
      <w:sz w:val="22"/>
      <w:szCs w:val="26"/>
    </w:rPr>
  </w:style>
  <w:style w:type="character" w:customStyle="1" w:styleId="NzevChar">
    <w:name w:val="Název Char"/>
    <w:link w:val="Nzev"/>
    <w:qFormat/>
    <w:rsid w:val="00AB30F7"/>
    <w:rPr>
      <w:rFonts w:ascii="Calibri" w:hAnsi="Calibri"/>
      <w:b/>
      <w:bCs/>
      <w:kern w:val="2"/>
      <w:sz w:val="32"/>
      <w:szCs w:val="32"/>
    </w:rPr>
  </w:style>
  <w:style w:type="character" w:customStyle="1" w:styleId="Odrazka1Char">
    <w:name w:val="Odrazka 1 Char"/>
    <w:link w:val="Odrazka1"/>
    <w:qFormat/>
    <w:rsid w:val="00AB30F7"/>
    <w:rPr>
      <w:sz w:val="22"/>
      <w:szCs w:val="24"/>
    </w:rPr>
  </w:style>
  <w:style w:type="character" w:customStyle="1" w:styleId="Odrazka2Char">
    <w:name w:val="Odrazka 2 Char"/>
    <w:link w:val="Odrazka2"/>
    <w:qFormat/>
    <w:rsid w:val="00606D11"/>
    <w:rPr>
      <w:rFonts w:ascii="Calibri" w:hAnsi="Calibri"/>
      <w:sz w:val="22"/>
      <w:szCs w:val="24"/>
    </w:rPr>
  </w:style>
  <w:style w:type="character" w:customStyle="1" w:styleId="Odrazka3Char">
    <w:name w:val="Odrazka 3 Char"/>
    <w:basedOn w:val="Odrazka2Char"/>
    <w:link w:val="Odrazka3"/>
    <w:qFormat/>
    <w:rsid w:val="00AB30F7"/>
    <w:rPr>
      <w:rFonts w:ascii="Calibri" w:hAnsi="Calibri"/>
      <w:sz w:val="22"/>
      <w:szCs w:val="24"/>
    </w:rPr>
  </w:style>
  <w:style w:type="character" w:customStyle="1" w:styleId="Odstavec2Char">
    <w:name w:val="Odstavec 2 Char"/>
    <w:link w:val="Odstavec2"/>
    <w:qFormat/>
    <w:rsid w:val="0010415A"/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6D5886"/>
    <w:rPr>
      <w:rFonts w:ascii="Arial" w:hAnsi="Arial" w:cs="Arial"/>
    </w:rPr>
  </w:style>
  <w:style w:type="character" w:customStyle="1" w:styleId="Zkladntext3Char">
    <w:name w:val="Základní text 3 Char"/>
    <w:link w:val="Zkladntext3"/>
    <w:uiPriority w:val="99"/>
    <w:semiHidden/>
    <w:qFormat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923EC"/>
    <w:rPr>
      <w:rFonts w:ascii="Calibri" w:hAnsi="Calibri"/>
    </w:rPr>
  </w:style>
  <w:style w:type="character" w:customStyle="1" w:styleId="hps">
    <w:name w:val="hps"/>
    <w:uiPriority w:val="99"/>
    <w:qFormat/>
    <w:rsid w:val="00BA2A49"/>
  </w:style>
  <w:style w:type="character" w:customStyle="1" w:styleId="PodtitulChar">
    <w:name w:val="Podtitul Char"/>
    <w:link w:val="Podtitul1"/>
    <w:qFormat/>
    <w:rsid w:val="00821921"/>
    <w:rPr>
      <w:rFonts w:ascii="Cambria" w:hAnsi="Cambria"/>
      <w:kern w:val="2"/>
      <w:sz w:val="24"/>
      <w:szCs w:val="24"/>
      <w:lang w:eastAsia="ar-SA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AKFZFnormlnChar">
    <w:name w:val="AKFZF_normální Char"/>
    <w:link w:val="AKFZFnormln"/>
    <w:qFormat/>
    <w:locked/>
    <w:rsid w:val="00742001"/>
    <w:rPr>
      <w:rFonts w:ascii="Arial" w:eastAsia="Calibri" w:hAnsi="Arial" w:cs="Calibri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605FF3"/>
    <w:pPr>
      <w:widowControl w:val="0"/>
      <w:spacing w:after="120"/>
    </w:pPr>
    <w:rPr>
      <w:rFonts w:eastAsia="Lucida Sans Unicode"/>
      <w:kern w:val="2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6931DE"/>
    <w:rPr>
      <w:b/>
      <w:bCs/>
    </w:rPr>
  </w:style>
  <w:style w:type="paragraph" w:styleId="Textbubliny">
    <w:name w:val="Balloon Text"/>
    <w:basedOn w:val="Normln"/>
    <w:semiHidden/>
    <w:qFormat/>
    <w:rsid w:val="006931D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qFormat/>
    <w:rsid w:val="006511A9"/>
    <w:pPr>
      <w:widowControl w:val="0"/>
      <w:spacing w:after="240"/>
    </w:pPr>
    <w:rPr>
      <w:rFonts w:eastAsia="Lucida Sans Unicode"/>
      <w:kern w:val="2"/>
    </w:rPr>
  </w:style>
  <w:style w:type="paragraph" w:customStyle="1" w:styleId="Normal01">
    <w:name w:val="Normal 01"/>
    <w:basedOn w:val="Normln"/>
    <w:qFormat/>
    <w:rsid w:val="006511A9"/>
    <w:pPr>
      <w:widowControl w:val="0"/>
    </w:pPr>
    <w:rPr>
      <w:rFonts w:ascii="Arial" w:eastAsia="Lucida Sans Unicode" w:hAnsi="Arial"/>
      <w:kern w:val="2"/>
      <w:sz w:val="17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Revize">
    <w:name w:val="Revision"/>
    <w:uiPriority w:val="99"/>
    <w:semiHidden/>
    <w:qFormat/>
    <w:rsid w:val="002E68E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rPr>
      <w:rFonts w:ascii="Times New Roman" w:hAnsi="Times New Roman"/>
    </w:rPr>
  </w:style>
  <w:style w:type="paragraph" w:customStyle="1" w:styleId="Odrazka2">
    <w:name w:val="Odrazka 2"/>
    <w:basedOn w:val="Odrazka1"/>
    <w:link w:val="Odrazka2Char"/>
    <w:qFormat/>
    <w:rsid w:val="00606D11"/>
    <w:pPr>
      <w:tabs>
        <w:tab w:val="left" w:pos="1276"/>
      </w:tabs>
      <w:ind w:left="1276" w:hanging="567"/>
    </w:pPr>
    <w:rPr>
      <w:rFonts w:ascii="Calibri" w:hAnsi="Calibri"/>
    </w:rPr>
  </w:style>
  <w:style w:type="paragraph" w:customStyle="1" w:styleId="Odrazka3">
    <w:name w:val="Odrazka 3"/>
    <w:basedOn w:val="Odrazka2"/>
    <w:link w:val="Odrazka3Char"/>
    <w:qFormat/>
    <w:rsid w:val="00AB30F7"/>
  </w:style>
  <w:style w:type="paragraph" w:customStyle="1" w:styleId="lnek">
    <w:name w:val="Článek"/>
    <w:basedOn w:val="Nadpis1"/>
    <w:qFormat/>
    <w:rsid w:val="0010415A"/>
    <w:pPr>
      <w:numPr>
        <w:numId w:val="0"/>
      </w:numPr>
      <w:spacing w:after="120" w:line="360" w:lineRule="auto"/>
      <w:jc w:val="center"/>
    </w:pPr>
    <w:rPr>
      <w:rFonts w:ascii="Times New Roman" w:hAnsi="Times New Roman"/>
      <w:bCs/>
      <w:kern w:val="2"/>
      <w:sz w:val="20"/>
      <w:szCs w:val="32"/>
    </w:rPr>
  </w:style>
  <w:style w:type="paragraph" w:customStyle="1" w:styleId="Odstavec2">
    <w:name w:val="Odstavec 2"/>
    <w:basedOn w:val="Normln"/>
    <w:link w:val="Odstavec2Char"/>
    <w:qFormat/>
    <w:rsid w:val="0010415A"/>
    <w:pPr>
      <w:spacing w:before="0" w:after="120" w:line="360" w:lineRule="auto"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033715"/>
    <w:pPr>
      <w:spacing w:after="120"/>
    </w:pPr>
    <w:rPr>
      <w:sz w:val="16"/>
      <w:szCs w:val="16"/>
    </w:rPr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pacing w:before="0"/>
      <w:ind w:left="0"/>
      <w:jc w:val="center"/>
      <w:outlineLvl w:val="1"/>
    </w:pPr>
    <w:rPr>
      <w:rFonts w:ascii="Cambria" w:hAnsi="Cambria"/>
      <w:kern w:val="2"/>
      <w:sz w:val="24"/>
      <w:lang w:eastAsia="ar-SA"/>
    </w:rPr>
  </w:style>
  <w:style w:type="paragraph" w:customStyle="1" w:styleId="Zkladntext21">
    <w:name w:val="Základní text 21"/>
    <w:basedOn w:val="Normln"/>
    <w:qFormat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qFormat/>
    <w:rsid w:val="00B37B6F"/>
    <w:pPr>
      <w:tabs>
        <w:tab w:val="left" w:pos="851"/>
      </w:tabs>
    </w:pPr>
  </w:style>
  <w:style w:type="paragraph" w:customStyle="1" w:styleId="AKFZFnormln">
    <w:name w:val="AKFZF_normální"/>
    <w:link w:val="AKFZFnormlnChar"/>
    <w:qFormat/>
    <w:rsid w:val="00742001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420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561F-D071-4013-8384-A488BD7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2</cp:revision>
  <cp:lastPrinted>2020-10-21T04:49:00Z</cp:lastPrinted>
  <dcterms:created xsi:type="dcterms:W3CDTF">2020-10-21T04:49:00Z</dcterms:created>
  <dcterms:modified xsi:type="dcterms:W3CDTF">2020-12-07T06:44:00Z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