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1671F9BF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B12CDE">
        <w:rPr>
          <w:b/>
          <w:sz w:val="24"/>
          <w:szCs w:val="24"/>
        </w:rPr>
        <w:t>2</w:t>
      </w:r>
      <w:r w:rsidR="001D2AA4">
        <w:rPr>
          <w:b/>
          <w:sz w:val="24"/>
          <w:szCs w:val="24"/>
        </w:rPr>
        <w:t>1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1AEED129" w14:textId="6173EF6F" w:rsidR="002106AD" w:rsidRDefault="00F365FE" w:rsidP="006F4E54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01BF5" w:rsidRPr="00801BF5">
        <w:rPr>
          <w:b/>
          <w:bCs/>
          <w:sz w:val="24"/>
          <w:szCs w:val="24"/>
        </w:rPr>
        <w:t>Společenství vlastníků jednotek domu č.p. 2260 v</w:t>
      </w:r>
      <w:r w:rsidR="006F4E54">
        <w:rPr>
          <w:b/>
          <w:bCs/>
          <w:sz w:val="24"/>
          <w:szCs w:val="24"/>
        </w:rPr>
        <w:t> </w:t>
      </w:r>
      <w:r w:rsidR="00801BF5" w:rsidRPr="00801BF5">
        <w:rPr>
          <w:b/>
          <w:bCs/>
          <w:sz w:val="24"/>
          <w:szCs w:val="24"/>
        </w:rPr>
        <w:t>Boskovicích</w:t>
      </w:r>
    </w:p>
    <w:p w14:paraId="6336E791" w14:textId="77777777" w:rsidR="006F4E54" w:rsidRPr="006F4E54" w:rsidRDefault="006F4E54" w:rsidP="006F4E54">
      <w:pPr>
        <w:rPr>
          <w:b/>
          <w:bCs/>
          <w:sz w:val="24"/>
          <w:szCs w:val="24"/>
        </w:rPr>
      </w:pPr>
    </w:p>
    <w:p w14:paraId="49BB31DA" w14:textId="65D0D914" w:rsidR="000316FC" w:rsidRPr="00801BF5" w:rsidRDefault="00F365FE" w:rsidP="00801BF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Otakara Chlupa 2260/10, 680 01 Boskovice</w:t>
      </w:r>
    </w:p>
    <w:p w14:paraId="514C4D55" w14:textId="719CA01D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598">
        <w:rPr>
          <w:sz w:val="24"/>
          <w:szCs w:val="24"/>
        </w:rPr>
        <w:t>Stanislavem Malinou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7189A51" w14:textId="1888CD2C" w:rsidR="00801BF5" w:rsidRPr="00801BF5" w:rsidRDefault="00F365FE" w:rsidP="00801BF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283</w:t>
      </w:r>
      <w:r w:rsidR="00801BF5">
        <w:rPr>
          <w:sz w:val="24"/>
          <w:szCs w:val="24"/>
        </w:rPr>
        <w:t xml:space="preserve"> </w:t>
      </w:r>
      <w:r w:rsidR="00801BF5" w:rsidRPr="00801BF5">
        <w:rPr>
          <w:sz w:val="24"/>
          <w:szCs w:val="24"/>
        </w:rPr>
        <w:t>08</w:t>
      </w:r>
      <w:r w:rsidR="00801BF5">
        <w:rPr>
          <w:sz w:val="24"/>
          <w:szCs w:val="24"/>
        </w:rPr>
        <w:t xml:space="preserve"> </w:t>
      </w:r>
      <w:r w:rsidR="00801BF5" w:rsidRPr="00801BF5">
        <w:rPr>
          <w:sz w:val="24"/>
          <w:szCs w:val="24"/>
        </w:rPr>
        <w:t>662</w:t>
      </w:r>
    </w:p>
    <w:p w14:paraId="7BD44A9B" w14:textId="44816C3A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801BF5">
        <w:rPr>
          <w:sz w:val="24"/>
          <w:szCs w:val="24"/>
        </w:rPr>
        <w:t>28308662</w:t>
      </w:r>
    </w:p>
    <w:p w14:paraId="7ED77036" w14:textId="5977E7C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>
        <w:rPr>
          <w:sz w:val="24"/>
          <w:szCs w:val="24"/>
        </w:rPr>
        <w:t>Fio banka</w:t>
      </w:r>
      <w:r w:rsidR="00342DC2">
        <w:rPr>
          <w:sz w:val="24"/>
          <w:szCs w:val="24"/>
        </w:rPr>
        <w:t>, a.s.</w:t>
      </w:r>
    </w:p>
    <w:p w14:paraId="29F8BC95" w14:textId="7047107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B05598">
        <w:rPr>
          <w:sz w:val="24"/>
          <w:szCs w:val="24"/>
        </w:rPr>
        <w:t>739 304 356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954F558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boskovice2260</w:t>
      </w:r>
      <w:r w:rsidR="00807E6D" w:rsidRPr="00807E6D">
        <w:rPr>
          <w:sz w:val="24"/>
          <w:szCs w:val="24"/>
        </w:rPr>
        <w:t>@</w:t>
      </w:r>
      <w:r w:rsidR="00801BF5">
        <w:rPr>
          <w:sz w:val="24"/>
          <w:szCs w:val="24"/>
        </w:rPr>
        <w:t>c</w:t>
      </w:r>
      <w:r w:rsidR="00F60F04">
        <w:rPr>
          <w:sz w:val="24"/>
          <w:szCs w:val="24"/>
        </w:rPr>
        <w:t>en</w:t>
      </w:r>
      <w:r w:rsidR="00801BF5">
        <w:rPr>
          <w:sz w:val="24"/>
          <w:szCs w:val="24"/>
        </w:rPr>
        <w:t>trum.</w:t>
      </w:r>
      <w:r w:rsidR="00F60F04">
        <w:rPr>
          <w:sz w:val="24"/>
          <w:szCs w:val="24"/>
        </w:rPr>
        <w:t>cz</w:t>
      </w:r>
    </w:p>
    <w:p w14:paraId="7F6F5902" w14:textId="2CEFEFD4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 xml:space="preserve">2700187231/2010                         </w:t>
      </w:r>
    </w:p>
    <w:p w14:paraId="7437226A" w14:textId="77777777" w:rsidR="006152DA" w:rsidRDefault="006152DA" w:rsidP="006152DA">
      <w:pPr>
        <w:spacing w:after="180"/>
        <w:rPr>
          <w:sz w:val="24"/>
          <w:szCs w:val="24"/>
        </w:rPr>
      </w:pPr>
    </w:p>
    <w:p w14:paraId="3F59A931" w14:textId="47FA2802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801BF5">
        <w:rPr>
          <w:sz w:val="24"/>
          <w:szCs w:val="24"/>
        </w:rPr>
        <w:t>6672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7005B538" w14:textId="59989EC2" w:rsidR="00C03E5C" w:rsidRPr="005C358A" w:rsidRDefault="00E61A30" w:rsidP="00C03E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521359B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F91195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74905F3F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B12CDE">
        <w:rPr>
          <w:b/>
        </w:rPr>
        <w:t>2</w:t>
      </w:r>
      <w:r w:rsidR="001D2AA4">
        <w:rPr>
          <w:b/>
        </w:rPr>
        <w:t>1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78A6214D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D4D38">
        <w:rPr>
          <w:b/>
          <w:sz w:val="24"/>
          <w:szCs w:val="24"/>
        </w:rPr>
        <w:t>Otakara Chlupa 10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7C412891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ED4D38">
        <w:rPr>
          <w:sz w:val="24"/>
          <w:szCs w:val="24"/>
        </w:rPr>
        <w:t>03</w:t>
      </w:r>
      <w:r w:rsidR="00525BCA">
        <w:rPr>
          <w:sz w:val="24"/>
          <w:szCs w:val="24"/>
        </w:rPr>
        <w:t xml:space="preserve">    </w:t>
      </w:r>
      <w:r w:rsidR="00497B51">
        <w:rPr>
          <w:sz w:val="24"/>
          <w:szCs w:val="24"/>
        </w:rPr>
        <w:t xml:space="preserve">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2A76EF60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1D2AA4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AC323C8" w14:textId="50E46FA8" w:rsidR="005C358A" w:rsidRPr="004E007E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4E007E" w:rsidRPr="004E007E">
        <w:rPr>
          <w:bCs/>
          <w:sz w:val="24"/>
          <w:szCs w:val="24"/>
        </w:rPr>
        <w:t xml:space="preserve">Společenství vlastníků jednotek domu č.p. 2260 v Boskovicích, </w:t>
      </w:r>
      <w:r w:rsidR="004E007E" w:rsidRPr="004E007E">
        <w:rPr>
          <w:sz w:val="24"/>
          <w:szCs w:val="24"/>
        </w:rPr>
        <w:t xml:space="preserve">Otakara Chlupa 2260/10, 680 01 Boskovice 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46149B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CF3EC7">
        <w:rPr>
          <w:sz w:val="24"/>
          <w:szCs w:val="24"/>
        </w:rPr>
        <w:t xml:space="preserve">100 009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CF3EC7" w:rsidRPr="00CF3EC7" w14:paraId="7290C237" w14:textId="77777777" w:rsidTr="00CF3EC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226D2" w14:textId="77777777" w:rsidR="00CF3EC7" w:rsidRPr="00CF3EC7" w:rsidRDefault="00CF3EC7" w:rsidP="00CF3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EC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FDF6" w14:textId="77777777" w:rsidR="00CF3EC7" w:rsidRPr="00CF3EC7" w:rsidRDefault="00CF3EC7" w:rsidP="00CF3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EC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69EA2" w14:textId="77777777" w:rsidR="00CF3EC7" w:rsidRPr="00CF3EC7" w:rsidRDefault="00CF3EC7" w:rsidP="00CF3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EC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85A4" w14:textId="77777777" w:rsidR="00CF3EC7" w:rsidRPr="00CF3EC7" w:rsidRDefault="00CF3EC7" w:rsidP="00CF3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EC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3C7C9" w14:textId="77777777" w:rsidR="00CF3EC7" w:rsidRPr="00CF3EC7" w:rsidRDefault="00CF3EC7" w:rsidP="00CF3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EC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3062" w14:textId="77777777" w:rsidR="00CF3EC7" w:rsidRPr="00CF3EC7" w:rsidRDefault="00CF3EC7" w:rsidP="00CF3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3EC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CF3EC7" w:rsidRPr="00CF3EC7" w14:paraId="7E93F140" w14:textId="77777777" w:rsidTr="00CF3EC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7B509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8FA41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13 884,00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5D3D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6CDE4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6 420,00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590C6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D9D0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5 846,00</w:t>
            </w:r>
          </w:p>
        </w:tc>
      </w:tr>
      <w:tr w:rsidR="00CF3EC7" w:rsidRPr="00CF3EC7" w14:paraId="450A2962" w14:textId="77777777" w:rsidTr="00CF3EC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2BA6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63B79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11 587,00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6554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00F38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D106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3D2C8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7 569,00</w:t>
            </w:r>
          </w:p>
        </w:tc>
      </w:tr>
      <w:tr w:rsidR="00CF3EC7" w:rsidRPr="00CF3EC7" w14:paraId="2797E3AD" w14:textId="77777777" w:rsidTr="00CF3EC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6F91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ED4C8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10 439,00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E4F5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D5ED9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8E7C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1B37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9 865,00</w:t>
            </w:r>
          </w:p>
        </w:tc>
      </w:tr>
      <w:tr w:rsidR="00CF3EC7" w:rsidRPr="00CF3EC7" w14:paraId="340E8BDD" w14:textId="77777777" w:rsidTr="00CF3EC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1D65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7259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9A52F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2E8A5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5 272,00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E359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5AC45" w14:textId="77777777" w:rsidR="00CF3EC7" w:rsidRPr="00CF3EC7" w:rsidRDefault="00CF3EC7" w:rsidP="00CF3EC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12 162,00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E2B0A9" w14:textId="77777777" w:rsidR="00015433" w:rsidRDefault="00015433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CF3EC7" w:rsidRPr="00CF3EC7" w14:paraId="0826A3EA" w14:textId="77777777" w:rsidTr="00CF3EC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F130B" w14:textId="77777777" w:rsidR="00CF3EC7" w:rsidRPr="00CF3EC7" w:rsidRDefault="00CF3EC7" w:rsidP="00CF3E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302" w14:textId="77777777" w:rsidR="00CF3EC7" w:rsidRPr="00CF3EC7" w:rsidRDefault="00CF3EC7" w:rsidP="00CF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0C0DD" w14:textId="77777777" w:rsidR="00CF3EC7" w:rsidRPr="00CF3EC7" w:rsidRDefault="00CF3EC7" w:rsidP="00CF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AFA9" w14:textId="77777777" w:rsidR="00CF3EC7" w:rsidRPr="00CF3EC7" w:rsidRDefault="00CF3EC7" w:rsidP="00CF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F3EC7" w:rsidRPr="00CF3EC7" w14:paraId="5C3131EA" w14:textId="77777777" w:rsidTr="00CF3EC7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005A" w14:textId="77777777" w:rsidR="00CF3EC7" w:rsidRPr="00CF3EC7" w:rsidRDefault="00CF3EC7" w:rsidP="00CF3E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O. Chlupa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D51" w14:textId="77777777" w:rsidR="00CF3EC7" w:rsidRPr="00CF3EC7" w:rsidRDefault="00CF3EC7" w:rsidP="00CF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7021" w14:textId="77777777" w:rsidR="00CF3EC7" w:rsidRPr="00CF3EC7" w:rsidRDefault="00CF3EC7" w:rsidP="00CF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EC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16233" w14:textId="77777777" w:rsidR="00CF3EC7" w:rsidRPr="00CF3EC7" w:rsidRDefault="00CF3EC7" w:rsidP="00CF3EC7">
            <w:pPr>
              <w:jc w:val="center"/>
              <w:rPr>
                <w:rFonts w:ascii="Arial" w:hAnsi="Arial" w:cs="Arial"/>
              </w:rPr>
            </w:pPr>
            <w:r w:rsidRPr="00CF3EC7">
              <w:rPr>
                <w:rFonts w:ascii="Arial" w:hAnsi="Arial" w:cs="Arial"/>
              </w:rPr>
              <w:t>100 009,59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525"/>
      </w:tblGrid>
      <w:tr w:rsidR="007C7EDB" w:rsidRPr="007C7EDB" w14:paraId="37D73AE6" w14:textId="77777777" w:rsidTr="007C7EDB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E364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4F6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7869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4B5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BB99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B8BE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Sjednané množství  GJ</w:t>
            </w:r>
          </w:p>
        </w:tc>
      </w:tr>
      <w:tr w:rsidR="007C7EDB" w:rsidRPr="007C7EDB" w14:paraId="25DC6E84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5648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E200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C54E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4117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F495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E12E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8</w:t>
            </w:r>
          </w:p>
        </w:tc>
      </w:tr>
      <w:tr w:rsidR="007C7EDB" w:rsidRPr="007C7EDB" w14:paraId="55FF4A5A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7866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AE9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4A14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859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68D1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0E23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14</w:t>
            </w:r>
          </w:p>
        </w:tc>
      </w:tr>
      <w:tr w:rsidR="007C7EDB" w:rsidRPr="007C7EDB" w14:paraId="73F46B86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3F47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65CE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4F9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9087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4CC0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6D6B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22</w:t>
            </w:r>
          </w:p>
        </w:tc>
      </w:tr>
      <w:tr w:rsidR="007C7EDB" w:rsidRPr="007C7EDB" w14:paraId="00424A03" w14:textId="77777777" w:rsidTr="007C7EDB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E2B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B48A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EA1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BB5D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C96A" w14:textId="77777777" w:rsidR="007C7EDB" w:rsidRPr="007C7EDB" w:rsidRDefault="007C7EDB" w:rsidP="007C7EDB">
            <w:pPr>
              <w:rPr>
                <w:color w:val="000000"/>
              </w:rPr>
            </w:pPr>
            <w:r w:rsidRPr="007C7EDB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86D3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</w:rPr>
            </w:pPr>
            <w:r w:rsidRPr="007C7EDB">
              <w:rPr>
                <w:b/>
                <w:bCs/>
                <w:color w:val="000000"/>
              </w:rPr>
              <w:t>30</w:t>
            </w:r>
          </w:p>
        </w:tc>
      </w:tr>
      <w:tr w:rsidR="007C7EDB" w:rsidRPr="007C7EDB" w14:paraId="2AC643D3" w14:textId="77777777" w:rsidTr="007C7EDB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E0F9D" w14:textId="77777777" w:rsidR="007C7EDB" w:rsidRPr="007C7EDB" w:rsidRDefault="007C7EDB" w:rsidP="007C7EDB">
            <w:pPr>
              <w:jc w:val="center"/>
              <w:rPr>
                <w:color w:val="000000"/>
                <w:sz w:val="24"/>
                <w:szCs w:val="24"/>
              </w:rPr>
            </w:pPr>
            <w:r w:rsidRPr="007C7ED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A831" w14:textId="77777777" w:rsidR="007C7EDB" w:rsidRPr="007C7EDB" w:rsidRDefault="007C7EDB" w:rsidP="007C7E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7EDB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C7EDB" w:rsidRPr="007C7EDB" w14:paraId="020725A6" w14:textId="77777777" w:rsidTr="007C7EDB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4ACA7" w14:textId="77777777" w:rsidR="007C7EDB" w:rsidRPr="007C7EDB" w:rsidRDefault="007C7EDB" w:rsidP="007C7E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04296" w14:textId="77777777" w:rsidR="007C7EDB" w:rsidRPr="007C7EDB" w:rsidRDefault="007C7EDB" w:rsidP="007C7E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B696" w14:textId="77777777" w:rsidR="0036535F" w:rsidRDefault="0036535F">
      <w:pPr>
        <w:rPr>
          <w:sz w:val="24"/>
        </w:rPr>
      </w:pPr>
      <w:r>
        <w:separator/>
      </w:r>
    </w:p>
  </w:endnote>
  <w:endnote w:type="continuationSeparator" w:id="0">
    <w:p w14:paraId="39D9CB09" w14:textId="77777777" w:rsidR="0036535F" w:rsidRDefault="0036535F">
      <w:pPr>
        <w:rPr>
          <w:sz w:val="24"/>
        </w:rPr>
      </w:pPr>
      <w:r>
        <w:continuationSeparator/>
      </w:r>
    </w:p>
  </w:endnote>
  <w:endnote w:type="continuationNotice" w:id="1">
    <w:p w14:paraId="3554DD3C" w14:textId="77777777" w:rsidR="0036535F" w:rsidRDefault="00365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7659A36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91195">
      <w:rPr>
        <w:noProof/>
      </w:rPr>
      <w:t>7</w:t>
    </w:r>
    <w:r>
      <w:fldChar w:fldCharType="end"/>
    </w:r>
    <w:r>
      <w:t xml:space="preserve"> z</w:t>
    </w:r>
    <w:r w:rsidR="00F91195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9119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19C9" w14:textId="77777777" w:rsidR="0036535F" w:rsidRDefault="0036535F">
      <w:pPr>
        <w:rPr>
          <w:sz w:val="24"/>
        </w:rPr>
      </w:pPr>
      <w:r>
        <w:separator/>
      </w:r>
    </w:p>
  </w:footnote>
  <w:footnote w:type="continuationSeparator" w:id="0">
    <w:p w14:paraId="2548DFE1" w14:textId="77777777" w:rsidR="0036535F" w:rsidRDefault="0036535F">
      <w:pPr>
        <w:rPr>
          <w:sz w:val="24"/>
        </w:rPr>
      </w:pPr>
      <w:r>
        <w:continuationSeparator/>
      </w:r>
    </w:p>
  </w:footnote>
  <w:footnote w:type="continuationNotice" w:id="1">
    <w:p w14:paraId="56E3F527" w14:textId="77777777" w:rsidR="0036535F" w:rsidRDefault="00365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C7EE4"/>
    <w:rsid w:val="000E13D4"/>
    <w:rsid w:val="000E1CA4"/>
    <w:rsid w:val="000E62C9"/>
    <w:rsid w:val="00114052"/>
    <w:rsid w:val="001166C3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2AA4"/>
    <w:rsid w:val="001D4C0F"/>
    <w:rsid w:val="001F3B3A"/>
    <w:rsid w:val="00202FD9"/>
    <w:rsid w:val="00204A5F"/>
    <w:rsid w:val="00205FA0"/>
    <w:rsid w:val="002106AD"/>
    <w:rsid w:val="00212D30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E7CC7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6535F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658FE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007E"/>
    <w:rsid w:val="004E3717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4E54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1E6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C7EDB"/>
    <w:rsid w:val="007D0BCF"/>
    <w:rsid w:val="007D2316"/>
    <w:rsid w:val="007E09DD"/>
    <w:rsid w:val="007E0D3D"/>
    <w:rsid w:val="007F0CFC"/>
    <w:rsid w:val="00801BF5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598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CF3EC7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D4D38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91195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FE68EB6B-5D23-4291-9EB0-B6957914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A7A9-186C-4F88-8970-7F7D9078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1779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13</cp:revision>
  <cp:lastPrinted>2013-12-10T18:28:00Z</cp:lastPrinted>
  <dcterms:created xsi:type="dcterms:W3CDTF">2020-11-19T18:16:00Z</dcterms:created>
  <dcterms:modified xsi:type="dcterms:W3CDTF">2020-12-07T13:31:00Z</dcterms:modified>
</cp:coreProperties>
</file>