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8232" w:h="1086" w:wrap="none" w:hAnchor="page" w:x="2564" w:y="1"/>
        <w:widowControl w:val="0"/>
        <w:shd w:val="clear" w:color="auto" w:fill="auto"/>
        <w:bidi w:val="0"/>
        <w:spacing w:before="0" w:after="0"/>
        <w:ind w:left="0" w:right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KRAJSKÁ SPRÁVA A ÚDRŽBA S příspěvková organizace SMLOUVA REGISTROVÁNA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uzavřená dle § 2079 a násl. zákona č. 89/2012 Sb. občanský zákbník</w:t>
      </w:r>
    </w:p>
    <w:p>
      <w:pPr>
        <w:pStyle w:val="Style2"/>
        <w:keepNext w:val="0"/>
        <w:keepLines w:val="0"/>
        <w:framePr w:w="8232" w:h="1086" w:wrap="none" w:hAnchor="page" w:x="2564" w:y="1"/>
        <w:widowControl w:val="0"/>
        <w:shd w:val="clear" w:color="auto" w:fill="auto"/>
        <w:bidi w:val="0"/>
        <w:spacing w:before="0" w:after="0" w:line="18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</w:r>
    </w:p>
    <w:p>
      <w:pPr>
        <w:pStyle w:val="Style5"/>
        <w:keepNext/>
        <w:keepLines/>
        <w:framePr w:w="3648" w:h="507" w:wrap="none" w:hAnchor="page" w:x="4109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</w:t>
      </w:r>
      <w:bookmarkEnd w:id="0"/>
      <w:bookmarkEnd w:id="1"/>
    </w:p>
    <w:p>
      <w:pPr>
        <w:pStyle w:val="Style7"/>
        <w:keepNext/>
        <w:keepLines/>
        <w:framePr w:w="2292" w:h="276" w:wrap="none" w:hAnchor="page" w:x="971" w:y="11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prodávajícího:</w:t>
      </w:r>
      <w:bookmarkEnd w:id="2"/>
      <w:bookmarkEnd w:id="3"/>
    </w:p>
    <w:p>
      <w:pPr>
        <w:pStyle w:val="Style7"/>
        <w:keepNext/>
        <w:keepLines/>
        <w:framePr w:w="2010" w:h="273" w:wrap="none" w:hAnchor="page" w:x="6668" w:y="11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kupujícího:</w:t>
      </w:r>
      <w:bookmarkEnd w:id="4"/>
      <w:bookmarkEnd w:id="5"/>
    </w:p>
    <w:p>
      <w:pPr>
        <w:pStyle w:val="Style9"/>
        <w:keepNext w:val="0"/>
        <w:keepLines w:val="0"/>
        <w:framePr w:w="987" w:h="243" w:wrap="none" w:hAnchor="page" w:x="10778" w:y="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LNIC VYSOČIIS</w:t>
      </w:r>
    </w:p>
    <w:tbl>
      <w:tblPr>
        <w:tblOverlap w:val="never"/>
        <w:jc w:val="left"/>
        <w:tblLayout w:type="fixed"/>
      </w:tblPr>
      <w:tblGrid>
        <w:gridCol w:w="4938"/>
        <w:gridCol w:w="4848"/>
        <w:gridCol w:w="390"/>
      </w:tblGrid>
      <w:tr>
        <w:trPr>
          <w:trHeight w:val="1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Zhotovitel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Jaroslav Blažek Zámečnické práce Primase Hrůzy 629 393 01 Pelhřimov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Objednatel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Krajská správa a údržba silnic Vysočiny příspěvková organizace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Kosovská 1122/16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58601 Jihlava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176" w:h="3306" w:vSpace="438" w:wrap="none" w:hAnchor="page" w:x="989" w:y="16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8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IČO:13526472 DIČ:'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IČO: 00090450 DIČ: CZ00090450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176" w:h="3306" w:vSpace="438" w:wrap="none" w:hAnchor="page" w:x="989" w:y="16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 :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176" w:h="3306" w:vSpace="438" w:wrap="none" w:hAnchor="page" w:x="989" w:y="160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,majitelem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57" w:lineRule="auto"/>
              <w:ind w:left="18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Ing. Radovanem Necidem, ředitelem organizace ve věcech technických: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57" w:lineRule="auto"/>
              <w:ind w:left="23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koordinátorem MTZ</w:t>
            </w:r>
          </w:p>
          <w:p>
            <w:pPr>
              <w:pStyle w:val="Style11"/>
              <w:keepNext w:val="0"/>
              <w:keepLines w:val="0"/>
              <w:framePr w:w="10176" w:h="3306" w:vSpace="438" w:wrap="none" w:hAnchor="page" w:x="989" w:y="1609"/>
              <w:widowControl w:val="0"/>
              <w:shd w:val="clear" w:color="auto" w:fill="auto"/>
              <w:bidi w:val="0"/>
              <w:spacing w:before="0" w:after="0" w:line="257" w:lineRule="auto"/>
              <w:ind w:left="230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,vedoucím cestmistrovství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176" w:h="3306" w:vSpace="438" w:wrap="none" w:hAnchor="page" w:x="989" w:y="160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10176" w:h="3306" w:vSpace="438" w:wrap="none" w:hAnchor="page" w:x="989" w:y="1609"/>
        <w:widowControl w:val="0"/>
        <w:spacing w:line="1" w:lineRule="exact"/>
      </w:pPr>
    </w:p>
    <w:p>
      <w:pPr>
        <w:pStyle w:val="Style15"/>
        <w:keepNext w:val="0"/>
        <w:keepLines w:val="0"/>
        <w:framePr w:w="1632" w:h="252" w:wrap="none" w:hAnchor="page" w:x="1277" w:y="51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smlouvy:</w:t>
      </w:r>
    </w:p>
    <w:p>
      <w:pPr>
        <w:pStyle w:val="Style17"/>
        <w:keepNext w:val="0"/>
        <w:keepLines w:val="0"/>
        <w:framePr w:w="8778" w:h="456" w:wrap="none" w:hAnchor="page" w:x="1124" w:y="5509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mostového zábradelního svodidla včetně povrchové úpravy žárového pozinkování a nástřiku polyuretanové barvy,montáže a dopravy na místo určení,vozovka 11/135, evidenční číslo mostu 019</w:t>
      </w:r>
    </w:p>
    <w:p>
      <w:pPr>
        <w:pStyle w:val="Style17"/>
        <w:keepNext w:val="0"/>
        <w:keepLines w:val="0"/>
        <w:framePr w:w="2661" w:h="255" w:wrap="none" w:hAnchor="page" w:x="1268" w:y="6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dodávky:do 31.12.2020</w:t>
      </w:r>
    </w:p>
    <w:p>
      <w:pPr>
        <w:pStyle w:val="Style17"/>
        <w:keepNext w:val="0"/>
        <w:keepLines w:val="0"/>
        <w:framePr w:w="9495" w:h="867" w:wrap="none" w:hAnchor="page" w:x="1295" w:y="673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Cenové podmínky:</w:t>
      </w:r>
    </w:p>
    <w:p>
      <w:pPr>
        <w:pStyle w:val="Style17"/>
        <w:keepNext w:val="0"/>
        <w:keepLines w:val="0"/>
        <w:framePr w:w="9495" w:h="867" w:wrap="none" w:hAnchor="page" w:x="1295" w:y="673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je stanovena na základě nabídky ze dne 11.9.2020 a specifikace ze dne 14.9.2020.Nabídka je nedíl součástí kupní smlouvy jako příloha</w:t>
      </w:r>
    </w:p>
    <w:p>
      <w:pPr>
        <w:pStyle w:val="Style17"/>
        <w:keepNext w:val="0"/>
        <w:keepLines w:val="0"/>
        <w:framePr w:w="9495" w:h="867" w:wrap="none" w:hAnchor="page" w:x="1295" w:y="6739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na 195 000,-Kč+21% DPH.</w:t>
      </w:r>
    </w:p>
    <w:p>
      <w:pPr>
        <w:pStyle w:val="Style20"/>
        <w:keepNext/>
        <w:keepLines/>
        <w:framePr w:w="366" w:h="237" w:wrap="none" w:hAnchor="page" w:x="10745" w:y="6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nou</w:t>
      </w:r>
      <w:bookmarkEnd w:id="6"/>
      <w:bookmarkEnd w:id="7"/>
    </w:p>
    <w:p>
      <w:pPr>
        <w:pStyle w:val="Style20"/>
        <w:keepNext/>
        <w:keepLines/>
        <w:framePr w:w="9822" w:h="1080" w:wrap="none" w:hAnchor="page" w:x="1295" w:y="776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  <w:bookmarkEnd w:id="8"/>
      <w:bookmarkEnd w:id="9"/>
    </w:p>
    <w:p>
      <w:pPr>
        <w:pStyle w:val="Style17"/>
        <w:keepNext w:val="0"/>
        <w:keepLines w:val="0"/>
        <w:framePr w:w="9822" w:h="1080" w:wrap="none" w:hAnchor="page" w:x="1295" w:y="776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prodávající zavazuje zaplatit kupujícímu smluvní pokutu ve výši 0,2% za každý pracovní den prodlení, a to z ceny zbi s jejíž dodáním je v prodlení.</w:t>
      </w:r>
    </w:p>
    <w:p>
      <w:pPr>
        <w:pStyle w:val="Style17"/>
        <w:keepNext w:val="0"/>
        <w:keepLines w:val="0"/>
        <w:framePr w:w="339" w:h="441" w:wrap="none" w:hAnchor="page" w:x="10772" w:y="81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oží,</w:t>
      </w:r>
    </w:p>
    <w:p>
      <w:pPr>
        <w:pStyle w:val="Style17"/>
        <w:keepNext w:val="0"/>
        <w:keepLines w:val="0"/>
        <w:framePr w:w="9834" w:h="882" w:wrap="none" w:hAnchor="page" w:x="1292" w:y="8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jednotlivých dodávek bude prováděna bezhotovostně v CZK. Faktura bude vystavena nejpozději 14 dnů po dodání předmětu smlouvy a bude obsahovat veškeré náležitosti daňového dokladu dle platných právních předpisů. Splatnost faktury je 30 dní od data jejího doručení.</w:t>
      </w:r>
    </w:p>
    <w:p>
      <w:pPr>
        <w:pStyle w:val="Style17"/>
        <w:keepNext w:val="0"/>
        <w:keepLines w:val="0"/>
        <w:framePr w:w="9834" w:h="882" w:wrap="none" w:hAnchor="page" w:x="1292" w:y="89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20"/>
        <w:keepNext/>
        <w:keepLines/>
        <w:framePr w:w="9831" w:h="1272" w:wrap="none" w:hAnchor="page" w:x="1292" w:y="100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  <w:bookmarkEnd w:id="10"/>
      <w:bookmarkEnd w:id="11"/>
    </w:p>
    <w:p>
      <w:pPr>
        <w:pStyle w:val="Style17"/>
        <w:keepNext w:val="0"/>
        <w:keepLines w:val="0"/>
        <w:framePr w:w="9831" w:h="1272" w:wrap="none" w:hAnchor="page" w:x="1292" w:y="100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ve smyslu § 2113 a násl. zákona č. 89/2012 Sb. občanský zákoník kupujícímu záruku za jakost, 12 měsíců. Pro oznámení případné vady, na kterou se vztahuje záruka, zvolily smluvní strany formu reklamačního zápisu. Prodávající je povinen o reklamaci rozhodnout do 30 dnů ode dne sepsání reklamačního zápisu.</w:t>
      </w:r>
    </w:p>
    <w:p>
      <w:pPr>
        <w:pStyle w:val="Style17"/>
        <w:keepNext w:val="0"/>
        <w:keepLines w:val="0"/>
        <w:framePr w:w="9831" w:h="1272" w:wrap="none" w:hAnchor="page" w:x="1292" w:y="1002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je povinen dodržovat podmínky skladování zboží a technologií jeho zpracování dle pokynů uvedených v Technických listech.</w:t>
      </w:r>
    </w:p>
    <w:p>
      <w:pPr>
        <w:pStyle w:val="Style17"/>
        <w:keepNext w:val="0"/>
        <w:keepLines w:val="0"/>
        <w:framePr w:w="381" w:h="237" w:wrap="none" w:hAnchor="page" w:x="10739" w:y="10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to</w:t>
      </w:r>
    </w:p>
    <w:p>
      <w:pPr>
        <w:pStyle w:val="Style17"/>
        <w:keepNext w:val="0"/>
        <w:keepLines w:val="0"/>
        <w:framePr w:w="276" w:h="237" w:wrap="none" w:hAnchor="page" w:x="10841" w:y="114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lze</w:t>
      </w:r>
    </w:p>
    <w:p>
      <w:pPr>
        <w:pStyle w:val="Style17"/>
        <w:keepNext w:val="0"/>
        <w:keepLines w:val="0"/>
        <w:framePr w:w="9828" w:h="1674" w:wrap="none" w:hAnchor="page" w:x="1292" w:y="11452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stejnopisech. Každá smluvní strana obdrží po jednom vyhotovení. Změny a dodatky činit pouze písemně s podpisy oprávněných osob. Smlouva nabývá platnosti dnem podpisu smluvních stran a účinnosti dnem uveřejnění v informačním systému veřejné správy-Registru smluv. Účastníci se dohodli že zákonnou povinnost dle § 5 odst.2 zákona č.340/2015 Sb. V platném znění (zákon o registru smluv)splní kupující.Prodávající a kupující shot prohlašují, že si smlouvu přečetli, že smlouva byla uzavřena jako projev svobodné vůle, bez nátlaku nebo nápadně nevýhodných podmínek a že oběma stranám jsou zřejmá jejich práva a povinnosti z této smlouvy vyplývající.</w:t>
      </w:r>
    </w:p>
    <w:p>
      <w:pPr>
        <w:pStyle w:val="Style17"/>
        <w:keepNext w:val="0"/>
        <w:keepLines w:val="0"/>
        <w:framePr w:w="9828" w:h="1674" w:wrap="none" w:hAnchor="page" w:x="1292" w:y="11452"/>
        <w:widowControl w:val="0"/>
        <w:shd w:val="clear" w:color="auto" w:fill="auto"/>
        <w:bidi w:val="0"/>
        <w:spacing w:before="0" w:after="0"/>
        <w:ind w:left="56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 24. 11. 2020</w:t>
      </w:r>
    </w:p>
    <w:p>
      <w:pPr>
        <w:pStyle w:val="Style17"/>
        <w:keepNext w:val="0"/>
        <w:keepLines w:val="0"/>
        <w:framePr w:w="1161" w:h="237" w:wrap="none" w:hAnchor="page" w:x="1295" w:y="128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Pelhřimově:</w:t>
      </w:r>
    </w:p>
    <w:p>
      <w:pPr>
        <w:pStyle w:val="Style17"/>
        <w:keepNext w:val="0"/>
        <w:keepLines w:val="0"/>
        <w:framePr w:w="351" w:h="237" w:wrap="none" w:hAnchor="page" w:x="10769" w:y="120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dně</w:t>
      </w:r>
    </w:p>
    <w:p>
      <w:pPr>
        <w:widowControl w:val="0"/>
        <w:spacing w:line="360" w:lineRule="exact"/>
      </w:pPr>
      <w:r>
        <w:drawing>
          <wp:anchor distT="373380" distB="0" distL="0" distR="118110" simplePos="0" relativeHeight="62914690" behindDoc="1" locked="0" layoutInCell="1" allowOverlap="1">
            <wp:simplePos x="0" y="0"/>
            <wp:positionH relativeFrom="page">
              <wp:posOffset>6018530</wp:posOffset>
            </wp:positionH>
            <wp:positionV relativeFrom="margin">
              <wp:posOffset>407670</wp:posOffset>
            </wp:positionV>
            <wp:extent cx="1334770" cy="4330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34770" cy="4330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440" w:left="970" w:right="136" w:bottom="2172" w:header="12" w:footer="174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12700</wp:posOffset>
                </wp:positionV>
                <wp:extent cx="1005840" cy="46291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5840" cy="4629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prodávajícího: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Jaroslav Blažek majitel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4.400000000000006pt;margin-top:1.pt;width:79.200000000000003pt;height:36.45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prodávajícího: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Jaroslav Blažek majitel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kupujícího:</w:t>
      </w:r>
      <w:bookmarkEnd w:id="12"/>
      <w:bookmarkEnd w:id="1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2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Ing.Radovan Necid ředitel oraanizace</w:t>
      </w:r>
      <w:bookmarkEnd w:id="14"/>
      <w:bookmarkEnd w:id="15"/>
      <w:r>
        <w:br w:type="page"/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Jaroslav Blažek - Zámečnické práce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Primase Hrůzy 629</w:t>
        <w:br/>
        <w:t>39301 Pelhřimov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76" w:left="2793" w:right="815" w:bottom="2233" w:header="248" w:footer="180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98500" distB="0" distL="0" distR="0" simplePos="0" relativeHeight="125829380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698500</wp:posOffset>
                </wp:positionV>
                <wp:extent cx="1192530" cy="2000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2530" cy="200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KSÚS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7.05000000000001pt;margin-top:55.pt;width:93.900000000000006pt;height:15.75pt;z-index:-125829373;mso-wrap-distance-left:0;mso-wrap-distance-top:55.pt;mso-wrap-distance-right:0;mso-position-horizontal-relative:page" filled="f" stroked="f">
                <v:textbox inset="0,0,0,0">
                  <w:txbxContent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KSÚS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4" w:left="0" w:right="0" w:bottom="9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Nabídková cena</w:t>
      </w:r>
      <w:bookmarkEnd w:id="16"/>
      <w:bookmarkEnd w:id="17"/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9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výrobu a montáž zábradelniho svodidla na vozovce II. /135 (č.mostu 019) je stanovena cena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195000,-Kč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DPH 21%.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4" w:left="1382" w:right="1961" w:bottom="94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Pelhřimov 11. 9. 2020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24" w:left="0" w:right="0" w:bottom="6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framePr w:w="2076" w:h="288" w:wrap="none" w:vAnchor="text" w:hAnchor="page" w:x="142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!Č: 13526472 DIČ: &lt;</w:t>
      </w:r>
    </w:p>
    <w:p>
      <w:pPr>
        <w:pStyle w:val="Style22"/>
        <w:keepNext w:val="0"/>
        <w:keepLines w:val="0"/>
        <w:framePr w:w="612" w:h="258" w:wrap="none" w:vAnchor="text" w:hAnchor="page" w:x="5131" w:y="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email:</w:t>
      </w:r>
    </w:p>
    <w:p>
      <w:pPr>
        <w:pStyle w:val="Style22"/>
        <w:keepNext w:val="0"/>
        <w:keepLines w:val="0"/>
        <w:framePr w:w="342" w:h="258" w:wrap="none" w:vAnchor="text" w:hAnchor="page" w:x="7717" w:y="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tel:</w:t>
      </w:r>
    </w:p>
    <w:p>
      <w:pPr>
        <w:widowControl w:val="0"/>
        <w:spacing w:after="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24" w:left="1370" w:right="869" w:bottom="62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8">
    <w:name w:val="Nadpis #3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8">
    <w:name w:val="Základní text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Nadpis #4_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3">
    <w:name w:val="Základní text (4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7">
    <w:name w:val="Nadpis #2_"/>
    <w:basedOn w:val="DefaultParagraphFont"/>
    <w:link w:val="Style26"/>
    <w:rPr>
      <w:rFonts w:ascii="Courier New" w:eastAsia="Courier New" w:hAnsi="Courier New" w:cs="Courier New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76" w:lineRule="auto"/>
      <w:ind w:firstLine="61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7">
    <w:name w:val="Nadpis #3"/>
    <w:basedOn w:val="Normal"/>
    <w:link w:val="CharStyle8"/>
    <w:pPr>
      <w:widowControl w:val="0"/>
      <w:shd w:val="clear" w:color="auto" w:fill="FFFFFF"/>
      <w:ind w:left="4080" w:firstLine="1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7">
    <w:name w:val="Základní text"/>
    <w:basedOn w:val="Normal"/>
    <w:link w:val="CharStyle18"/>
    <w:pPr>
      <w:widowControl w:val="0"/>
      <w:shd w:val="clear" w:color="auto" w:fill="FFFFFF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Nadpis #4"/>
    <w:basedOn w:val="Normal"/>
    <w:link w:val="CharStyle21"/>
    <w:pPr>
      <w:widowControl w:val="0"/>
      <w:shd w:val="clear" w:color="auto" w:fill="FFFFFF"/>
      <w:spacing w:line="252" w:lineRule="auto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2">
    <w:name w:val="Základní text (4)"/>
    <w:basedOn w:val="Normal"/>
    <w:link w:val="CharStyle23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spacing w:after="680" w:line="266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6">
    <w:name w:val="Nadpis #2"/>
    <w:basedOn w:val="Normal"/>
    <w:link w:val="CharStyle27"/>
    <w:pPr>
      <w:widowControl w:val="0"/>
      <w:shd w:val="clear" w:color="auto" w:fill="FFFFFF"/>
      <w:spacing w:after="760"/>
      <w:outlineLvl w:val="1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26"/>
      <w:szCs w:val="26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