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01C5" w14:textId="7804F5B4" w:rsidR="00732B25" w:rsidRDefault="00266E5C" w:rsidP="00732B25">
      <w:pPr>
        <w:spacing w:line="240" w:lineRule="atLeast"/>
        <w:rPr>
          <w:rFonts w:ascii="UnitPro-Medi" w:eastAsia="Times New Roman" w:hAnsi="UnitPro-Medi" w:cs="UnitPro-Medi"/>
          <w:sz w:val="26"/>
          <w:szCs w:val="20"/>
          <w:lang w:eastAsia="ar-SA"/>
        </w:rPr>
      </w:pPr>
      <w:r>
        <w:rPr>
          <w:rFonts w:ascii="UnitPro-Medi" w:eastAsia="Times New Roman" w:hAnsi="UnitPro-Medi" w:cs="UnitPro-Medi"/>
          <w:sz w:val="26"/>
          <w:szCs w:val="20"/>
          <w:lang w:eastAsia="ar-SA"/>
        </w:rPr>
        <w:t>Zadání s</w:t>
      </w:r>
      <w:r w:rsidR="00732B25"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 xml:space="preserve">tudie tramvajového propojení </w:t>
      </w:r>
      <w:r w:rsidR="007C5452"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 xml:space="preserve">Bohnice </w:t>
      </w:r>
      <w:r w:rsidR="005E4F73">
        <w:rPr>
          <w:rFonts w:ascii="UnitPro-Medi" w:eastAsia="Times New Roman" w:hAnsi="UnitPro-Medi" w:cs="UnitPro-Medi"/>
          <w:sz w:val="26"/>
          <w:szCs w:val="20"/>
          <w:lang w:eastAsia="ar-SA"/>
        </w:rPr>
        <w:t>–</w:t>
      </w:r>
      <w:r w:rsidR="00012A74"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 xml:space="preserve"> </w:t>
      </w:r>
      <w:r w:rsidR="007C5452"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>Podhoří</w:t>
      </w:r>
      <w:r w:rsidR="005E4F73">
        <w:rPr>
          <w:rFonts w:ascii="UnitPro-Medi" w:eastAsia="Times New Roman" w:hAnsi="UnitPro-Medi" w:cs="UnitPro-Medi"/>
          <w:sz w:val="26"/>
          <w:szCs w:val="20"/>
          <w:lang w:eastAsia="ar-SA"/>
        </w:rPr>
        <w:t xml:space="preserve"> </w:t>
      </w:r>
    </w:p>
    <w:p w14:paraId="73959839" w14:textId="77777777" w:rsidR="00266E5C" w:rsidRPr="00266E5C" w:rsidRDefault="00266E5C" w:rsidP="00732B25">
      <w:pPr>
        <w:spacing w:line="240" w:lineRule="atLeast"/>
        <w:rPr>
          <w:rFonts w:ascii="UnitPro-Medi" w:eastAsia="Times New Roman" w:hAnsi="UnitPro-Medi" w:cs="UnitPro-Medi"/>
          <w:lang w:eastAsia="ar-SA"/>
        </w:rPr>
      </w:pPr>
    </w:p>
    <w:p w14:paraId="0E2883C0" w14:textId="5AADB6F2" w:rsidR="00732B25" w:rsidRPr="005E4F73" w:rsidRDefault="004A435D" w:rsidP="00732B25">
      <w:pPr>
        <w:spacing w:line="240" w:lineRule="atLeast"/>
        <w:rPr>
          <w:rFonts w:ascii="UnitPro-Medi" w:eastAsia="Times New Roman" w:hAnsi="UnitPro-Medi" w:cs="UnitPro-Medi"/>
          <w:sz w:val="26"/>
          <w:szCs w:val="20"/>
          <w:lang w:eastAsia="ar-SA"/>
        </w:rPr>
      </w:pPr>
      <w:r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>I.</w:t>
      </w:r>
      <w:r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ab/>
      </w:r>
      <w:r w:rsidR="00732B25"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 xml:space="preserve">Důvod pořízení </w:t>
      </w:r>
    </w:p>
    <w:p w14:paraId="0872398C" w14:textId="4876A925" w:rsidR="00800083" w:rsidRPr="005E4F73" w:rsidRDefault="00800083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Studie je vyvolána potřebou územní stabilizace řešení tzv. Severní tramvajové tangenty v územně-plánovacích dokumentacích</w:t>
      </w:r>
      <w:r w:rsidR="00012A74" w:rsidRPr="005E4F73">
        <w:rPr>
          <w:rFonts w:ascii="UnitPro-Light" w:eastAsia="Times New Roman" w:hAnsi="UnitPro-Light" w:cs="UnitPro-Light"/>
          <w:lang w:eastAsia="ar-SA"/>
        </w:rPr>
        <w:t>.</w:t>
      </w:r>
    </w:p>
    <w:p w14:paraId="199ECDD8" w14:textId="5575DC85" w:rsidR="00800083" w:rsidRPr="005E4F73" w:rsidRDefault="00800083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Výstupy studie budou použity pro potřeby územního plánování, územní stabilizace záměru a koordinac</w:t>
      </w:r>
      <w:r w:rsidR="00D71F28" w:rsidRPr="005E4F73">
        <w:rPr>
          <w:rFonts w:ascii="UnitPro-Light" w:eastAsia="Times New Roman" w:hAnsi="UnitPro-Light" w:cs="UnitPro-Light"/>
          <w:lang w:eastAsia="ar-SA"/>
        </w:rPr>
        <w:t>e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záměrů v území. Studie bude sloužit k pořízení aktualizace Zásad územního rozvoje hl. m. Prahy, změny územního plánu hl. m. Prahy a vzhledem ke své podrobnosti bude součástí koncepčního zadání projektové fáze všech vyplývajících investičních akcí </w:t>
      </w:r>
      <w:r w:rsidR="00D71F28" w:rsidRPr="005E4F73">
        <w:rPr>
          <w:rFonts w:ascii="UnitPro-Light" w:eastAsia="Times New Roman" w:hAnsi="UnitPro-Light" w:cs="UnitPro-Light"/>
          <w:lang w:eastAsia="ar-SA"/>
        </w:rPr>
        <w:t xml:space="preserve">jednotlivých </w:t>
      </w:r>
      <w:r w:rsidRPr="005E4F73">
        <w:rPr>
          <w:rFonts w:ascii="UnitPro-Light" w:eastAsia="Times New Roman" w:hAnsi="UnitPro-Light" w:cs="UnitPro-Light"/>
          <w:lang w:eastAsia="ar-SA"/>
        </w:rPr>
        <w:t>organizací města.</w:t>
      </w:r>
    </w:p>
    <w:p w14:paraId="18DD2A7F" w14:textId="5FC68D2C" w:rsidR="005819EC" w:rsidRPr="005E4F73" w:rsidRDefault="00D71F28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 xml:space="preserve">Studie je poptávána jako </w:t>
      </w:r>
      <w:r w:rsidR="00012A74" w:rsidRPr="005E4F73">
        <w:rPr>
          <w:rFonts w:ascii="UnitPro-Light" w:eastAsia="Times New Roman" w:hAnsi="UnitPro-Light" w:cs="UnitPro-Light"/>
          <w:lang w:eastAsia="ar-SA"/>
        </w:rPr>
        <w:t>technická a architektonická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ověřovací studie území v </w:t>
      </w:r>
      <w:r w:rsidR="0051770B" w:rsidRPr="005E4F73">
        <w:rPr>
          <w:rFonts w:ascii="UnitPro-Light" w:eastAsia="Times New Roman" w:hAnsi="UnitPro-Light" w:cs="UnitPro-Light"/>
          <w:lang w:eastAsia="ar-SA"/>
        </w:rPr>
        <w:t>trase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="00977DE8" w:rsidRPr="005E4F73">
        <w:rPr>
          <w:rFonts w:ascii="UnitPro-Light" w:eastAsia="Times New Roman" w:hAnsi="UnitPro-Light" w:cs="UnitPro-Light"/>
          <w:lang w:eastAsia="ar-SA"/>
        </w:rPr>
        <w:t xml:space="preserve">části </w:t>
      </w:r>
      <w:r w:rsidR="00732B25" w:rsidRPr="005E4F73">
        <w:rPr>
          <w:rFonts w:ascii="UnitPro-Light" w:eastAsia="Times New Roman" w:hAnsi="UnitPro-Light" w:cs="UnitPro-Light"/>
          <w:lang w:eastAsia="ar-SA"/>
        </w:rPr>
        <w:t>tzv. Severní tramvajové tangenty</w:t>
      </w:r>
      <w:r w:rsidR="00012A74" w:rsidRPr="005E4F73">
        <w:rPr>
          <w:rFonts w:ascii="UnitPro-Light" w:eastAsia="Times New Roman" w:hAnsi="UnitPro-Light" w:cs="UnitPro-Light"/>
          <w:lang w:eastAsia="ar-SA"/>
        </w:rPr>
        <w:t xml:space="preserve"> a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týká </w:t>
      </w:r>
      <w:r w:rsidRPr="005E4F73">
        <w:rPr>
          <w:rFonts w:ascii="UnitPro-Light" w:eastAsia="Times New Roman" w:hAnsi="UnitPro-Light" w:cs="UnitPro-Light"/>
          <w:lang w:eastAsia="ar-SA"/>
        </w:rPr>
        <w:t>se návrhu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tramvajové trati v kontextu řešení uličního prostoru</w:t>
      </w:r>
      <w:r w:rsidR="000D4A0A" w:rsidRPr="005E4F73">
        <w:rPr>
          <w:rFonts w:ascii="UnitPro-Light" w:eastAsia="Times New Roman" w:hAnsi="UnitPro-Light" w:cs="UnitPro-Light"/>
          <w:lang w:eastAsia="ar-SA"/>
        </w:rPr>
        <w:t xml:space="preserve"> a technického prověření tunelového vede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v rozsahu od </w:t>
      </w:r>
      <w:r w:rsidR="005819EC" w:rsidRPr="005E4F73">
        <w:rPr>
          <w:rFonts w:ascii="UnitPro-Light" w:eastAsia="Times New Roman" w:hAnsi="UnitPro-Light" w:cs="UnitPro-Light"/>
          <w:lang w:eastAsia="ar-SA"/>
        </w:rPr>
        <w:t>uvažovaného nového mostu přes Vltavu v Podhoří okolo polikliniky Mazurská až po</w:t>
      </w:r>
      <w:r w:rsidR="000D4A0A" w:rsidRPr="005E4F73">
        <w:rPr>
          <w:rFonts w:ascii="UnitPro-Light" w:eastAsia="Times New Roman" w:hAnsi="UnitPro-Light" w:cs="UnitPro-Light"/>
          <w:lang w:eastAsia="ar-SA"/>
        </w:rPr>
        <w:t xml:space="preserve"> konec úseku v</w:t>
      </w:r>
      <w:r w:rsidR="005819EC"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="00732B25" w:rsidRPr="005E4F73">
        <w:rPr>
          <w:rFonts w:ascii="UnitPro-Light" w:eastAsia="Times New Roman" w:hAnsi="UnitPro-Light" w:cs="UnitPro-Light"/>
          <w:lang w:eastAsia="ar-SA"/>
        </w:rPr>
        <w:t>západní část</w:t>
      </w:r>
      <w:r w:rsidR="000D4A0A" w:rsidRPr="005E4F73">
        <w:rPr>
          <w:rFonts w:ascii="UnitPro-Light" w:eastAsia="Times New Roman" w:hAnsi="UnitPro-Light" w:cs="UnitPro-Light"/>
          <w:lang w:eastAsia="ar-SA"/>
        </w:rPr>
        <w:t xml:space="preserve">i </w:t>
      </w:r>
      <w:r w:rsidRPr="005E4F73">
        <w:rPr>
          <w:rFonts w:ascii="UnitPro-Light" w:eastAsia="Times New Roman" w:hAnsi="UnitPro-Light" w:cs="UnitPro-Light"/>
          <w:lang w:eastAsia="ar-SA"/>
        </w:rPr>
        <w:t>sídliště Bohnice</w:t>
      </w:r>
      <w:r w:rsidR="000D4A0A" w:rsidRPr="005E4F73">
        <w:rPr>
          <w:rFonts w:ascii="UnitPro-Light" w:eastAsia="Times New Roman" w:hAnsi="UnitPro-Light" w:cs="UnitPro-Light"/>
          <w:lang w:eastAsia="ar-SA"/>
        </w:rPr>
        <w:t>, kde v ulici Lodžská naváže na vznikající studii DPP.</w:t>
      </w:r>
    </w:p>
    <w:p w14:paraId="5AACF49C" w14:textId="0A4875D5" w:rsidR="00800083" w:rsidRPr="005E4F73" w:rsidRDefault="00800083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Studie je zadávána po dohodě s DPP, ROPID a Městskou částí Praha 8.</w:t>
      </w:r>
    </w:p>
    <w:p w14:paraId="3403F71D" w14:textId="6CA01469" w:rsidR="00732B25" w:rsidRPr="005E4F73" w:rsidRDefault="00732B25" w:rsidP="00732B25">
      <w:pPr>
        <w:spacing w:line="240" w:lineRule="atLeast"/>
        <w:rPr>
          <w:rFonts w:ascii="UnitPro-Light" w:eastAsia="Times New Roman" w:hAnsi="UnitPro-Light" w:cs="UnitPro-Light"/>
          <w:lang w:eastAsia="ar-SA"/>
        </w:rPr>
      </w:pPr>
    </w:p>
    <w:p w14:paraId="172BD314" w14:textId="5550498A" w:rsidR="00732B25" w:rsidRPr="005E4F73" w:rsidRDefault="004A435D" w:rsidP="00732B25">
      <w:pPr>
        <w:spacing w:line="240" w:lineRule="atLeast"/>
        <w:rPr>
          <w:rFonts w:ascii="UnitPro-Medi" w:eastAsia="Times New Roman" w:hAnsi="UnitPro-Medi" w:cs="UnitPro-Medi"/>
          <w:sz w:val="26"/>
          <w:szCs w:val="20"/>
          <w:lang w:eastAsia="ar-SA"/>
        </w:rPr>
      </w:pPr>
      <w:r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>II.</w:t>
      </w:r>
      <w:r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ab/>
      </w:r>
      <w:r w:rsidR="00732B25"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>Cíle řešení a obsah studie</w:t>
      </w:r>
    </w:p>
    <w:p w14:paraId="074D5AF2" w14:textId="38857406" w:rsidR="00732B25" w:rsidRPr="005E4F73" w:rsidRDefault="00732B25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Ověřovací studie se zadává jako dopravní technická studie</w:t>
      </w:r>
      <w:r w:rsidR="006F1C58" w:rsidRPr="005E4F73">
        <w:rPr>
          <w:rFonts w:ascii="UnitPro-Light" w:eastAsia="Times New Roman" w:hAnsi="UnitPro-Light" w:cs="UnitPro-Light"/>
          <w:lang w:eastAsia="ar-SA"/>
        </w:rPr>
        <w:t xml:space="preserve"> s důrazem na kvalitní architektonické a krajinářské řešení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vzhledem k důležitosti začlenění nové </w:t>
      </w:r>
      <w:r w:rsidR="00BD08FB" w:rsidRPr="005E4F73">
        <w:rPr>
          <w:rFonts w:ascii="UnitPro-Light" w:eastAsia="Times New Roman" w:hAnsi="UnitPro-Light" w:cs="UnitPro-Light"/>
          <w:lang w:eastAsia="ar-SA"/>
        </w:rPr>
        <w:t>tramvajové tratě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do struktury města, veřejných prostranství a krajiny</w:t>
      </w:r>
      <w:r w:rsidR="00B23191" w:rsidRPr="005E4F73">
        <w:rPr>
          <w:rFonts w:ascii="UnitPro-Light" w:eastAsia="Times New Roman" w:hAnsi="UnitPro-Light" w:cs="UnitPro-Light"/>
          <w:lang w:eastAsia="ar-SA"/>
        </w:rPr>
        <w:t>.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="00B23191" w:rsidRPr="005E4F73">
        <w:rPr>
          <w:rFonts w:ascii="UnitPro-Light" w:eastAsia="Times New Roman" w:hAnsi="UnitPro-Light" w:cs="UnitPro-Light"/>
          <w:lang w:eastAsia="ar-SA"/>
        </w:rPr>
        <w:t>N</w:t>
      </w:r>
      <w:r w:rsidRPr="005E4F73">
        <w:rPr>
          <w:rFonts w:ascii="UnitPro-Light" w:eastAsia="Times New Roman" w:hAnsi="UnitPro-Light" w:cs="UnitPro-Light"/>
          <w:lang w:eastAsia="ar-SA"/>
        </w:rPr>
        <w:t>ávaznosti veřejných prostranství na zastávky veřejné dopravy</w:t>
      </w:r>
      <w:r w:rsidR="00B23191" w:rsidRPr="005E4F73">
        <w:rPr>
          <w:rFonts w:ascii="UnitPro-Light" w:eastAsia="Times New Roman" w:hAnsi="UnitPro-Light" w:cs="UnitPro-Light"/>
          <w:lang w:eastAsia="ar-SA"/>
        </w:rPr>
        <w:t xml:space="preserve"> je nutné řešit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v souladu s relevantními dokumenty (Manuál tvorby veřejných prostranství</w:t>
      </w:r>
      <w:r w:rsidR="000D4A0A" w:rsidRPr="005E4F73">
        <w:rPr>
          <w:rFonts w:ascii="UnitPro-Light" w:eastAsia="Times New Roman" w:hAnsi="UnitPro-Light" w:cs="UnitPro-Light"/>
          <w:lang w:eastAsia="ar-SA"/>
        </w:rPr>
        <w:t xml:space="preserve"> – IPR Praha 2014</w:t>
      </w:r>
      <w:r w:rsidRPr="005E4F73">
        <w:rPr>
          <w:rFonts w:ascii="UnitPro-Light" w:eastAsia="Times New Roman" w:hAnsi="UnitPro-Light" w:cs="UnitPro-Light"/>
          <w:lang w:eastAsia="ar-SA"/>
        </w:rPr>
        <w:t>, Standard zastávek PID</w:t>
      </w:r>
      <w:r w:rsidR="000D4A0A" w:rsidRPr="005E4F73">
        <w:rPr>
          <w:rFonts w:ascii="UnitPro-Light" w:eastAsia="Times New Roman" w:hAnsi="UnitPro-Light" w:cs="UnitPro-Light"/>
          <w:lang w:eastAsia="ar-SA"/>
        </w:rPr>
        <w:t xml:space="preserve"> – Ropid 2017</w:t>
      </w:r>
      <w:r w:rsidRPr="005E4F73">
        <w:rPr>
          <w:rFonts w:ascii="UnitPro-Light" w:eastAsia="Times New Roman" w:hAnsi="UnitPro-Light" w:cs="UnitPro-Light"/>
          <w:lang w:eastAsia="ar-SA"/>
        </w:rPr>
        <w:t>).</w:t>
      </w:r>
    </w:p>
    <w:p w14:paraId="3BF9E74E" w14:textId="7CB64DFB" w:rsidR="00732B25" w:rsidRPr="005E4F73" w:rsidRDefault="00732B25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Na základě dřívější studie (Ověřovací technická studie tramvajových tratí, Metroprojekt, 2016) existuje názor na rámcové vedení tramvajové tratě</w:t>
      </w:r>
      <w:r w:rsidR="00BD08FB" w:rsidRPr="005E4F73">
        <w:rPr>
          <w:rFonts w:ascii="UnitPro-Light" w:eastAsia="Times New Roman" w:hAnsi="UnitPro-Light" w:cs="UnitPro-Light"/>
          <w:lang w:eastAsia="ar-SA"/>
        </w:rPr>
        <w:t xml:space="preserve"> v území</w:t>
      </w:r>
      <w:r w:rsidRPr="005E4F73">
        <w:rPr>
          <w:rFonts w:ascii="UnitPro-Light" w:eastAsia="Times New Roman" w:hAnsi="UnitPro-Light" w:cs="UnitPro-Light"/>
          <w:lang w:eastAsia="ar-SA"/>
        </w:rPr>
        <w:t xml:space="preserve">. </w:t>
      </w:r>
      <w:r w:rsidR="00BD08FB" w:rsidRPr="005E4F73">
        <w:rPr>
          <w:rFonts w:ascii="UnitPro-Light" w:eastAsia="Times New Roman" w:hAnsi="UnitPro-Light" w:cs="UnitPro-Light"/>
          <w:lang w:eastAsia="ar-SA"/>
        </w:rPr>
        <w:t>Studie bude ideově navazovat na toto dílčí prověření, avšak územní průmět trasy vyhodnotí a rozpracuje podrobněji. Zejména je zapotřebí podrobnějšího technického prověření vedení trati v</w:t>
      </w:r>
      <w:r w:rsidR="006F1C58" w:rsidRPr="005E4F73">
        <w:rPr>
          <w:rFonts w:ascii="UnitPro-Light" w:eastAsia="Times New Roman" w:hAnsi="UnitPro-Light" w:cs="UnitPro-Light"/>
          <w:lang w:eastAsia="ar-SA"/>
        </w:rPr>
        <w:t> </w:t>
      </w:r>
      <w:r w:rsidR="00BD08FB" w:rsidRPr="005E4F73">
        <w:rPr>
          <w:rFonts w:ascii="UnitPro-Light" w:eastAsia="Times New Roman" w:hAnsi="UnitPro-Light" w:cs="UnitPro-Light"/>
          <w:lang w:eastAsia="ar-SA"/>
        </w:rPr>
        <w:t>tunelu</w:t>
      </w:r>
      <w:r w:rsidR="006F1C58" w:rsidRPr="005E4F73">
        <w:rPr>
          <w:rFonts w:ascii="UnitPro-Light" w:eastAsia="Times New Roman" w:hAnsi="UnitPro-Light" w:cs="UnitPro-Light"/>
          <w:lang w:eastAsia="ar-SA"/>
        </w:rPr>
        <w:t xml:space="preserve"> mezi novým mostem přes Vltavu a úrovní terasy sídliště Bohnice</w:t>
      </w:r>
      <w:r w:rsidR="00BD08FB" w:rsidRPr="005E4F73">
        <w:rPr>
          <w:rFonts w:ascii="UnitPro-Light" w:eastAsia="Times New Roman" w:hAnsi="UnitPro-Light" w:cs="UnitPro-Light"/>
          <w:lang w:eastAsia="ar-SA"/>
        </w:rPr>
        <w:t xml:space="preserve">. </w:t>
      </w:r>
    </w:p>
    <w:p w14:paraId="53E89194" w14:textId="616C47C5" w:rsidR="00BD08FB" w:rsidRPr="005E4F73" w:rsidRDefault="00BD08FB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 xml:space="preserve">Významnou součástí práce na dodávce bude i proces projednání, vedoucí k syntéze názorů dotčených složek samosprávy a všech zúčastněných odborných profesí vč. úrovně státní správy v předmětné oblasti. </w:t>
      </w:r>
    </w:p>
    <w:p w14:paraId="05C0F277" w14:textId="7152E78F" w:rsidR="005521DB" w:rsidRDefault="005521DB">
      <w:pPr>
        <w:rPr>
          <w:rFonts w:ascii="UnitPro-Medi" w:eastAsia="Times New Roman" w:hAnsi="UnitPro-Medi" w:cs="UnitPro-Medi"/>
          <w:sz w:val="26"/>
          <w:szCs w:val="20"/>
          <w:lang w:eastAsia="ar-SA"/>
        </w:rPr>
      </w:pPr>
    </w:p>
    <w:p w14:paraId="58B9ED2A" w14:textId="108CCFBF" w:rsidR="004A435D" w:rsidRPr="005E4F73" w:rsidRDefault="004A435D" w:rsidP="004A435D">
      <w:pPr>
        <w:spacing w:line="240" w:lineRule="atLeast"/>
        <w:rPr>
          <w:rFonts w:ascii="UnitPro-Medi" w:eastAsia="Times New Roman" w:hAnsi="UnitPro-Medi" w:cs="UnitPro-Medi"/>
          <w:sz w:val="26"/>
          <w:szCs w:val="20"/>
          <w:lang w:eastAsia="ar-SA"/>
        </w:rPr>
      </w:pPr>
      <w:r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>III.</w:t>
      </w:r>
      <w:r w:rsidRPr="005E4F73">
        <w:rPr>
          <w:rFonts w:ascii="UnitPro-Medi" w:eastAsia="Times New Roman" w:hAnsi="UnitPro-Medi" w:cs="UnitPro-Medi"/>
          <w:sz w:val="26"/>
          <w:szCs w:val="20"/>
          <w:lang w:eastAsia="ar-SA"/>
        </w:rPr>
        <w:tab/>
        <w:t>Podrobná specifikace předmětu zakázky</w:t>
      </w:r>
    </w:p>
    <w:p w14:paraId="0394768D" w14:textId="42E2A01E" w:rsidR="00FB1625" w:rsidRPr="005E4F73" w:rsidRDefault="00931598" w:rsidP="00ED41AD">
      <w:pPr>
        <w:pStyle w:val="Odstavecseseznamem"/>
        <w:numPr>
          <w:ilvl w:val="0"/>
          <w:numId w:val="26"/>
        </w:numPr>
        <w:spacing w:line="240" w:lineRule="atLeast"/>
        <w:ind w:left="567" w:hanging="567"/>
        <w:rPr>
          <w:rFonts w:ascii="UnitPro-Light" w:eastAsia="Times New Roman" w:hAnsi="UnitPro-Light" w:cs="UnitPro-Light"/>
          <w:b/>
          <w:lang w:eastAsia="ar-SA"/>
        </w:rPr>
      </w:pPr>
      <w:r w:rsidRPr="005E4F73">
        <w:rPr>
          <w:rFonts w:ascii="UnitPro-Light" w:eastAsia="Times New Roman" w:hAnsi="UnitPro-Light" w:cs="UnitPro-Light"/>
          <w:b/>
          <w:lang w:eastAsia="ar-SA"/>
        </w:rPr>
        <w:t>Základní p</w:t>
      </w:r>
      <w:r w:rsidR="00063DE8" w:rsidRPr="005E4F73">
        <w:rPr>
          <w:rFonts w:ascii="UnitPro-Light" w:eastAsia="Times New Roman" w:hAnsi="UnitPro-Light" w:cs="UnitPro-Light"/>
          <w:b/>
          <w:lang w:eastAsia="ar-SA"/>
        </w:rPr>
        <w:t>opisné údaje</w:t>
      </w:r>
    </w:p>
    <w:p w14:paraId="171747B9" w14:textId="756EDE35" w:rsidR="00063DE8" w:rsidRPr="005E4F73" w:rsidRDefault="00063DE8" w:rsidP="00063DE8">
      <w:pPr>
        <w:tabs>
          <w:tab w:val="right" w:leader="underscore" w:pos="9072"/>
        </w:tabs>
        <w:spacing w:after="120" w:line="240" w:lineRule="auto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 xml:space="preserve">Délka tramvajové tratě – povrch </w:t>
      </w:r>
      <w:r w:rsidRPr="005E4F73">
        <w:rPr>
          <w:rFonts w:ascii="UnitPro-Light" w:eastAsia="Times New Roman" w:hAnsi="UnitPro-Light" w:cs="UnitPro-Light"/>
          <w:lang w:eastAsia="ar-SA"/>
        </w:rPr>
        <w:tab/>
      </w:r>
      <w:r w:rsidR="006F1C58" w:rsidRPr="005E4F73">
        <w:rPr>
          <w:rFonts w:ascii="UnitPro-Light" w:eastAsia="Times New Roman" w:hAnsi="UnitPro-Light" w:cs="UnitPro-Light"/>
          <w:lang w:eastAsia="ar-SA"/>
        </w:rPr>
        <w:t xml:space="preserve">800 </w:t>
      </w:r>
      <w:r w:rsidRPr="005E4F73">
        <w:rPr>
          <w:rFonts w:ascii="UnitPro-Light" w:eastAsia="Times New Roman" w:hAnsi="UnitPro-Light" w:cs="UnitPro-Light"/>
          <w:lang w:eastAsia="ar-SA"/>
        </w:rPr>
        <w:t>m + 200 m (předpolí mostu)</w:t>
      </w:r>
    </w:p>
    <w:p w14:paraId="727D5906" w14:textId="11CB9A56" w:rsidR="00063DE8" w:rsidRPr="005E4F73" w:rsidRDefault="00063DE8" w:rsidP="00063DE8">
      <w:pPr>
        <w:tabs>
          <w:tab w:val="right" w:leader="underscore" w:pos="9072"/>
        </w:tabs>
        <w:spacing w:after="120" w:line="240" w:lineRule="auto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 xml:space="preserve">Délka tramvajové tratě – tunel </w:t>
      </w:r>
      <w:r w:rsidRPr="005E4F73">
        <w:rPr>
          <w:rFonts w:ascii="UnitPro-Light" w:eastAsia="Times New Roman" w:hAnsi="UnitPro-Light" w:cs="UnitPro-Light"/>
          <w:lang w:eastAsia="ar-SA"/>
        </w:rPr>
        <w:tab/>
        <w:t>1100 m</w:t>
      </w:r>
    </w:p>
    <w:p w14:paraId="500700D7" w14:textId="77777777" w:rsidR="00323506" w:rsidRPr="005E4F73" w:rsidRDefault="00323506" w:rsidP="007C5452">
      <w:pPr>
        <w:pStyle w:val="Odstavecseseznamem"/>
        <w:spacing w:before="240" w:line="240" w:lineRule="atLeast"/>
        <w:ind w:left="357"/>
        <w:rPr>
          <w:rFonts w:ascii="UnitPro-Light" w:eastAsia="Times New Roman" w:hAnsi="UnitPro-Light" w:cs="UnitPro-Light"/>
          <w:b/>
          <w:lang w:eastAsia="ar-SA"/>
        </w:rPr>
      </w:pPr>
    </w:p>
    <w:p w14:paraId="65473C61" w14:textId="06661560" w:rsidR="005819EC" w:rsidRPr="005E4F73" w:rsidRDefault="005819EC" w:rsidP="00ED41AD">
      <w:pPr>
        <w:pStyle w:val="Odstavecseseznamem"/>
        <w:numPr>
          <w:ilvl w:val="0"/>
          <w:numId w:val="26"/>
        </w:numPr>
        <w:spacing w:line="240" w:lineRule="atLeast"/>
        <w:ind w:left="567" w:hanging="567"/>
        <w:rPr>
          <w:rFonts w:ascii="UnitPro-Light" w:eastAsia="Times New Roman" w:hAnsi="UnitPro-Light" w:cs="UnitPro-Light"/>
          <w:b/>
          <w:lang w:eastAsia="ar-SA"/>
        </w:rPr>
      </w:pPr>
      <w:r w:rsidRPr="005E4F73">
        <w:rPr>
          <w:rFonts w:ascii="UnitPro-Light" w:eastAsia="Times New Roman" w:hAnsi="UnitPro-Light" w:cs="UnitPro-Light"/>
          <w:b/>
          <w:lang w:eastAsia="ar-SA"/>
        </w:rPr>
        <w:t>Požadavky na řešení</w:t>
      </w:r>
    </w:p>
    <w:p w14:paraId="052075F5" w14:textId="35587EC8" w:rsidR="000D4A0A" w:rsidRPr="005E4F73" w:rsidRDefault="005819EC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Studie bude obsahovat jednoznačný názor na prostorové umístění tzv. severní tramvajové tangenty v rozsahu mezi plánovaným mostem přes Vltavu v místě Císařského ostrova v</w:t>
      </w:r>
      <w:r w:rsidR="005C07C0" w:rsidRPr="005E4F73">
        <w:rPr>
          <w:rFonts w:ascii="UnitPro-Light" w:eastAsia="Times New Roman" w:hAnsi="UnitPro-Light" w:cs="UnitPro-Light"/>
          <w:lang w:eastAsia="ar-SA"/>
        </w:rPr>
        <w:t> </w:t>
      </w:r>
      <w:r w:rsidRPr="005E4F73">
        <w:rPr>
          <w:rFonts w:ascii="UnitPro-Light" w:eastAsia="Times New Roman" w:hAnsi="UnitPro-Light" w:cs="UnitPro-Light"/>
          <w:lang w:eastAsia="ar-SA"/>
        </w:rPr>
        <w:t>Troji</w:t>
      </w:r>
      <w:r w:rsidR="005C07C0" w:rsidRPr="005E4F73">
        <w:rPr>
          <w:rFonts w:ascii="UnitPro-Light" w:eastAsia="Times New Roman" w:hAnsi="UnitPro-Light" w:cs="UnitPro-Light"/>
          <w:lang w:eastAsia="ar-SA"/>
        </w:rPr>
        <w:t xml:space="preserve">, kde bude </w:t>
      </w:r>
      <w:r w:rsidR="005C07C0" w:rsidRPr="005E4F73">
        <w:rPr>
          <w:rFonts w:ascii="UnitPro-Light" w:eastAsia="Times New Roman" w:hAnsi="UnitPro-Light" w:cs="UnitPro-Light"/>
          <w:lang w:eastAsia="ar-SA"/>
        </w:rPr>
        <w:lastRenderedPageBreak/>
        <w:t>navazovat na ověřovací technickou studii přemostění Podbaba – Troja (INV MHMP, Metroprojekt 2019)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a jihozápadní částí sídliště Bohnice, kde v ulici Lodžské naváže na vznikající studii DPP tramvajové tratě úseku Kobylisy – Bohnice. Zásadní součástí</w:t>
      </w:r>
      <w:r w:rsidRPr="005E4F73">
        <w:rPr>
          <w:rFonts w:ascii="UnitPro-Light" w:eastAsia="Times New Roman" w:hAnsi="UnitPro-Light" w:cs="UnitPro-Light"/>
          <w:b/>
          <w:lang w:eastAsia="ar-SA"/>
        </w:rPr>
        <w:t xml:space="preserve"> 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technické studie </w:t>
      </w:r>
      <w:r w:rsidRPr="005E4F73">
        <w:rPr>
          <w:rFonts w:ascii="UnitPro-Light" w:eastAsia="Times New Roman" w:hAnsi="UnitPro-Light" w:cs="UnitPro-Light"/>
          <w:lang w:eastAsia="ar-SA"/>
        </w:rPr>
        <w:t>bude prověření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proveditelnost</w:t>
      </w:r>
      <w:r w:rsidRPr="005E4F73">
        <w:rPr>
          <w:rFonts w:ascii="UnitPro-Light" w:eastAsia="Times New Roman" w:hAnsi="UnitPro-Light" w:cs="UnitPro-Light"/>
          <w:lang w:eastAsia="ar-SA"/>
        </w:rPr>
        <w:t>i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Pr="005E4F73">
        <w:rPr>
          <w:rFonts w:ascii="UnitPro-Light" w:eastAsia="Times New Roman" w:hAnsi="UnitPro-Light" w:cs="UnitPro-Light"/>
          <w:lang w:eastAsia="ar-SA"/>
        </w:rPr>
        <w:t>tunelového vedení tramvajové trati a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toto prověření doplnit předběžným projednáním s dotčenými orgány státní správy. Dále studie navrhne vhodné ztvárnění obou portálů budoucího tunelu s ohledem na místní uspořádání terénu a ráz krajiny.</w:t>
      </w:r>
    </w:p>
    <w:p w14:paraId="62F8A2AF" w14:textId="4C8E3E7C" w:rsidR="00732B25" w:rsidRPr="005E4F73" w:rsidRDefault="000D4A0A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Tunelové vedení TT je uvažováno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mezi tramvajovou zastávkou Podhoří – Zoologická zahrada, která </w:t>
      </w:r>
      <w:r w:rsidR="004A052F" w:rsidRPr="005E4F73">
        <w:rPr>
          <w:rFonts w:ascii="UnitPro-Light" w:eastAsia="Times New Roman" w:hAnsi="UnitPro-Light" w:cs="UnitPro-Light"/>
          <w:lang w:eastAsia="ar-SA"/>
        </w:rPr>
        <w:t>leží</w:t>
      </w:r>
      <w:r w:rsidR="00732B25"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="004A052F" w:rsidRPr="005E4F73">
        <w:rPr>
          <w:rFonts w:ascii="UnitPro-Light" w:eastAsia="Times New Roman" w:hAnsi="UnitPro-Light" w:cs="UnitPro-Light"/>
          <w:lang w:eastAsia="ar-SA"/>
        </w:rPr>
        <w:t>na</w:t>
      </w:r>
      <w:r w:rsidR="00732B25" w:rsidRPr="005E4F73">
        <w:rPr>
          <w:rFonts w:ascii="UnitPro-Light" w:eastAsia="Times New Roman" w:hAnsi="UnitPro-Light" w:cs="UnitPro-Light"/>
          <w:lang w:eastAsia="ar-SA"/>
        </w:rPr>
        <w:t> pravém předpolí uva</w:t>
      </w:r>
      <w:r w:rsidR="004A052F" w:rsidRPr="005E4F73">
        <w:rPr>
          <w:rFonts w:ascii="UnitPro-Light" w:eastAsia="Times New Roman" w:hAnsi="UnitPro-Light" w:cs="UnitPro-Light"/>
          <w:lang w:eastAsia="ar-SA"/>
        </w:rPr>
        <w:t>žovaného nového mostu v</w:t>
      </w:r>
      <w:r w:rsidRPr="005E4F73">
        <w:rPr>
          <w:rFonts w:ascii="UnitPro-Light" w:eastAsia="Times New Roman" w:hAnsi="UnitPro-Light" w:cs="UnitPro-Light"/>
          <w:lang w:eastAsia="ar-SA"/>
        </w:rPr>
        <w:t> </w:t>
      </w:r>
      <w:r w:rsidR="004A052F" w:rsidRPr="005E4F73">
        <w:rPr>
          <w:rFonts w:ascii="UnitPro-Light" w:eastAsia="Times New Roman" w:hAnsi="UnitPro-Light" w:cs="UnitPro-Light"/>
          <w:lang w:eastAsia="ar-SA"/>
        </w:rPr>
        <w:t>Podbabě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="005C07C0" w:rsidRPr="005E4F73">
        <w:rPr>
          <w:rFonts w:ascii="UnitPro-Light" w:eastAsia="Times New Roman" w:hAnsi="UnitPro-Light" w:cs="UnitPro-Light"/>
          <w:lang w:eastAsia="ar-SA"/>
        </w:rPr>
        <w:t xml:space="preserve">ověřené v technické studii přemostění Podbaba – Troja (INV MHMP, Metroprojekt 2019) </w:t>
      </w:r>
      <w:r w:rsidRPr="005E4F73">
        <w:rPr>
          <w:rFonts w:ascii="UnitPro-Light" w:eastAsia="Times New Roman" w:hAnsi="UnitPro-Light" w:cs="UnitPro-Light"/>
          <w:lang w:eastAsia="ar-SA"/>
        </w:rPr>
        <w:t>a úrovní ulice Mazurská</w:t>
      </w:r>
      <w:r w:rsidR="004A052F" w:rsidRPr="005E4F73">
        <w:rPr>
          <w:rFonts w:ascii="UnitPro-Light" w:eastAsia="Times New Roman" w:hAnsi="UnitPro-Light" w:cs="UnitPro-Light"/>
          <w:lang w:eastAsia="ar-SA"/>
        </w:rPr>
        <w:t>. Studie převezme řešení navazujícího úseku</w:t>
      </w:r>
      <w:r w:rsidRPr="005E4F73">
        <w:rPr>
          <w:rFonts w:ascii="UnitPro-Light" w:eastAsia="Times New Roman" w:hAnsi="UnitPro-Light" w:cs="UnitPro-Light"/>
          <w:lang w:eastAsia="ar-SA"/>
        </w:rPr>
        <w:t xml:space="preserve"> na svém západním konci</w:t>
      </w:r>
      <w:r w:rsidR="004A052F" w:rsidRPr="005E4F73">
        <w:rPr>
          <w:rFonts w:ascii="UnitPro-Light" w:eastAsia="Times New Roman" w:hAnsi="UnitPro-Light" w:cs="UnitPro-Light"/>
          <w:lang w:eastAsia="ar-SA"/>
        </w:rPr>
        <w:t xml:space="preserve"> z dokument</w:t>
      </w:r>
      <w:r w:rsidRPr="005E4F73">
        <w:rPr>
          <w:rFonts w:ascii="UnitPro-Light" w:eastAsia="Times New Roman" w:hAnsi="UnitPro-Light" w:cs="UnitPro-Light"/>
          <w:lang w:eastAsia="ar-SA"/>
        </w:rPr>
        <w:t>u</w:t>
      </w:r>
      <w:r w:rsidR="004A052F" w:rsidRPr="005E4F73">
        <w:rPr>
          <w:rFonts w:ascii="UnitPro-Light" w:eastAsia="Times New Roman" w:hAnsi="UnitPro-Light" w:cs="UnitPro-Light"/>
          <w:lang w:eastAsia="ar-SA"/>
        </w:rPr>
        <w:t xml:space="preserve"> „Koncepce celkového krajinářského řešení Císařského ostrova a jeho širšího okolí“.</w:t>
      </w:r>
    </w:p>
    <w:p w14:paraId="11389257" w14:textId="77777777" w:rsidR="00E67649" w:rsidRPr="005E4F73" w:rsidRDefault="00732B25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 xml:space="preserve">Očekává se přesná specifikace proveditelnosti tunelové stavby jak s ohledem na krajinné limity, tak </w:t>
      </w:r>
      <w:r w:rsidR="00150E67" w:rsidRPr="005E4F73">
        <w:rPr>
          <w:rFonts w:ascii="UnitPro-Light" w:eastAsia="Times New Roman" w:hAnsi="UnitPro-Light" w:cs="UnitPro-Light"/>
          <w:lang w:eastAsia="ar-SA"/>
        </w:rPr>
        <w:t xml:space="preserve">zejména </w:t>
      </w:r>
      <w:r w:rsidRPr="005E4F73">
        <w:rPr>
          <w:rFonts w:ascii="UnitPro-Light" w:eastAsia="Times New Roman" w:hAnsi="UnitPro-Light" w:cs="UnitPro-Light"/>
          <w:lang w:eastAsia="ar-SA"/>
        </w:rPr>
        <w:t xml:space="preserve">s ohledem </w:t>
      </w:r>
      <w:r w:rsidR="00150E67" w:rsidRPr="005E4F73">
        <w:rPr>
          <w:rFonts w:ascii="UnitPro-Light" w:eastAsia="Times New Roman" w:hAnsi="UnitPro-Light" w:cs="UnitPro-Light"/>
          <w:lang w:eastAsia="ar-SA"/>
        </w:rPr>
        <w:t>na hydrogeologické poměry v</w:t>
      </w:r>
      <w:r w:rsidR="00B77A5A" w:rsidRPr="005E4F73">
        <w:rPr>
          <w:rFonts w:ascii="UnitPro-Light" w:eastAsia="Times New Roman" w:hAnsi="UnitPro-Light" w:cs="UnitPro-Light"/>
          <w:lang w:eastAsia="ar-SA"/>
        </w:rPr>
        <w:t> </w:t>
      </w:r>
      <w:r w:rsidR="00150E67" w:rsidRPr="005E4F73">
        <w:rPr>
          <w:rFonts w:ascii="UnitPro-Light" w:eastAsia="Times New Roman" w:hAnsi="UnitPro-Light" w:cs="UnitPro-Light"/>
          <w:lang w:eastAsia="ar-SA"/>
        </w:rPr>
        <w:t>území</w:t>
      </w:r>
      <w:r w:rsidR="00B77A5A" w:rsidRPr="005E4F73">
        <w:rPr>
          <w:rFonts w:ascii="UnitPro-Light" w:eastAsia="Times New Roman" w:hAnsi="UnitPro-Light" w:cs="UnitPro-Light"/>
          <w:lang w:eastAsia="ar-SA"/>
        </w:rPr>
        <w:t xml:space="preserve"> a</w:t>
      </w:r>
      <w:r w:rsidR="00150E67"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Pr="005E4F73">
        <w:rPr>
          <w:rFonts w:ascii="UnitPro-Light" w:eastAsia="Times New Roman" w:hAnsi="UnitPro-Light" w:cs="UnitPro-Light"/>
          <w:lang w:eastAsia="ar-SA"/>
        </w:rPr>
        <w:t xml:space="preserve">na normové </w:t>
      </w:r>
      <w:r w:rsidR="00E67649" w:rsidRPr="005E4F73">
        <w:rPr>
          <w:rFonts w:ascii="UnitPro-Light" w:eastAsia="Times New Roman" w:hAnsi="UnitPro-Light" w:cs="UnitPro-Light"/>
          <w:lang w:eastAsia="ar-SA"/>
        </w:rPr>
        <w:t xml:space="preserve">nebo zvláštní </w:t>
      </w:r>
      <w:r w:rsidRPr="005E4F73">
        <w:rPr>
          <w:rFonts w:ascii="UnitPro-Light" w:eastAsia="Times New Roman" w:hAnsi="UnitPro-Light" w:cs="UnitPro-Light"/>
          <w:lang w:eastAsia="ar-SA"/>
        </w:rPr>
        <w:t>požadavky různého typu</w:t>
      </w:r>
      <w:r w:rsidR="00B77A5A" w:rsidRPr="005E4F73">
        <w:rPr>
          <w:rFonts w:ascii="UnitPro-Light" w:eastAsia="Times New Roman" w:hAnsi="UnitPro-Light" w:cs="UnitPro-Light"/>
          <w:lang w:eastAsia="ar-SA"/>
        </w:rPr>
        <w:t xml:space="preserve"> </w:t>
      </w:r>
      <w:r w:rsidR="00E67649" w:rsidRPr="005E4F73">
        <w:rPr>
          <w:rFonts w:ascii="UnitPro-Light" w:eastAsia="Times New Roman" w:hAnsi="UnitPro-Light" w:cs="UnitPro-Light"/>
          <w:lang w:eastAsia="ar-SA"/>
        </w:rPr>
        <w:t>pro speciální stavby tramvajových drah</w:t>
      </w:r>
      <w:r w:rsidRPr="005E4F73">
        <w:rPr>
          <w:rFonts w:ascii="UnitPro-Light" w:eastAsia="Times New Roman" w:hAnsi="UnitPro-Light" w:cs="UnitPro-Light"/>
          <w:lang w:eastAsia="ar-SA"/>
        </w:rPr>
        <w:t xml:space="preserve">, a jejich zohlednění v návrhu, který bude se všemi aktéry </w:t>
      </w:r>
      <w:r w:rsidR="00E67649" w:rsidRPr="005E4F73">
        <w:rPr>
          <w:rFonts w:ascii="UnitPro-Light" w:eastAsia="Times New Roman" w:hAnsi="UnitPro-Light" w:cs="UnitPro-Light"/>
          <w:lang w:eastAsia="ar-SA"/>
        </w:rPr>
        <w:t xml:space="preserve">(zejména pak s DPP a PKD MHMP </w:t>
      </w:r>
      <w:r w:rsidRPr="005E4F73">
        <w:rPr>
          <w:rFonts w:ascii="UnitPro-Light" w:eastAsia="Times New Roman" w:hAnsi="UnitPro-Light" w:cs="UnitPro-Light"/>
          <w:lang w:eastAsia="ar-SA"/>
        </w:rPr>
        <w:t>projednán</w:t>
      </w:r>
      <w:r w:rsidR="00E67649" w:rsidRPr="005E4F73">
        <w:rPr>
          <w:rFonts w:ascii="UnitPro-Light" w:eastAsia="Times New Roman" w:hAnsi="UnitPro-Light" w:cs="UnitPro-Light"/>
          <w:lang w:eastAsia="ar-SA"/>
        </w:rPr>
        <w:t>)</w:t>
      </w:r>
      <w:r w:rsidRPr="005E4F73">
        <w:rPr>
          <w:rFonts w:ascii="UnitPro-Light" w:eastAsia="Times New Roman" w:hAnsi="UnitPro-Light" w:cs="UnitPro-Light"/>
          <w:lang w:eastAsia="ar-SA"/>
        </w:rPr>
        <w:t>.</w:t>
      </w:r>
    </w:p>
    <w:p w14:paraId="7785F50E" w14:textId="4252C61B" w:rsidR="00732B25" w:rsidRPr="005E4F73" w:rsidRDefault="00B77A5A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 xml:space="preserve">Součástí studie bude </w:t>
      </w:r>
      <w:r w:rsidR="00E67649" w:rsidRPr="005E4F73">
        <w:rPr>
          <w:rFonts w:ascii="UnitPro-Light" w:eastAsia="Times New Roman" w:hAnsi="UnitPro-Light" w:cs="UnitPro-Light"/>
          <w:lang w:eastAsia="ar-SA"/>
        </w:rPr>
        <w:t xml:space="preserve">i </w:t>
      </w:r>
      <w:r w:rsidRPr="005E4F73">
        <w:rPr>
          <w:rFonts w:ascii="UnitPro-Light" w:eastAsia="Times New Roman" w:hAnsi="UnitPro-Light" w:cs="UnitPro-Light"/>
          <w:lang w:eastAsia="ar-SA"/>
        </w:rPr>
        <w:t xml:space="preserve">část věnovaná inženýrsko-geologické a hydrologické rešerši z dostupných podkladů či archivních průzkumných sond a zhodnocení staveniště a specifikace důsledků pro provádění stavby i ochranu přírody a krajiny; zpracovaná autorizovanou osobou. </w:t>
      </w:r>
    </w:p>
    <w:p w14:paraId="6CB71355" w14:textId="2336A8D6" w:rsidR="007C5452" w:rsidRPr="005E4F73" w:rsidRDefault="000D4A0A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Úsek povrchového vedení TT mezi portálem tunelu v ulici Mazurské bude řešit prostorové umístění tramvajové trati v uličním prostoru, umístění zastávky Poliklinika Mazurská včetně příčných vazeb v ulici a návazností k</w:t>
      </w:r>
      <w:r w:rsidR="00323506" w:rsidRPr="005E4F73">
        <w:rPr>
          <w:rFonts w:ascii="UnitPro-Light" w:eastAsia="Times New Roman" w:hAnsi="UnitPro-Light" w:cs="UnitPro-Light"/>
          <w:lang w:eastAsia="ar-SA"/>
        </w:rPr>
        <w:t> </w:t>
      </w:r>
      <w:r w:rsidRPr="005E4F73">
        <w:rPr>
          <w:rFonts w:ascii="UnitPro-Light" w:eastAsia="Times New Roman" w:hAnsi="UnitPro-Light" w:cs="UnitPro-Light"/>
          <w:lang w:eastAsia="ar-SA"/>
        </w:rPr>
        <w:t>zastávce</w:t>
      </w:r>
      <w:r w:rsidR="00323506" w:rsidRPr="005E4F73">
        <w:rPr>
          <w:rFonts w:ascii="UnitPro-Light" w:eastAsia="Times New Roman" w:hAnsi="UnitPro-Light" w:cs="UnitPro-Light"/>
          <w:lang w:eastAsia="ar-SA"/>
        </w:rPr>
        <w:t xml:space="preserve">. Dále bude řešeno vedení TT křižovatkou Mazurská – Lodžská a návaznost na </w:t>
      </w:r>
      <w:r w:rsidR="007C5452" w:rsidRPr="005E4F73">
        <w:rPr>
          <w:rFonts w:ascii="UnitPro-Light" w:eastAsia="Times New Roman" w:hAnsi="UnitPro-Light" w:cs="UnitPro-Light"/>
          <w:lang w:eastAsia="ar-SA"/>
        </w:rPr>
        <w:t>investiční přípravu tramvajové trati z Kobylis do Bohnic (</w:t>
      </w:r>
      <w:r w:rsidR="00323506" w:rsidRPr="005E4F73">
        <w:rPr>
          <w:rFonts w:ascii="UnitPro-Light" w:eastAsia="Times New Roman" w:hAnsi="UnitPro-Light" w:cs="UnitPro-Light"/>
          <w:lang w:eastAsia="ar-SA"/>
        </w:rPr>
        <w:t>DPP</w:t>
      </w:r>
      <w:r w:rsidR="007C5452" w:rsidRPr="005E4F73">
        <w:rPr>
          <w:rFonts w:ascii="UnitPro-Light" w:eastAsia="Times New Roman" w:hAnsi="UnitPro-Light" w:cs="UnitPro-Light"/>
          <w:lang w:eastAsia="ar-SA"/>
        </w:rPr>
        <w:t>), popřípadě předchozí aktualizovanou podobu řešení tramvaje.</w:t>
      </w:r>
    </w:p>
    <w:p w14:paraId="04EF5675" w14:textId="3F25B1D3" w:rsidR="0013230B" w:rsidRDefault="0013230B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E4F73">
        <w:rPr>
          <w:rFonts w:ascii="UnitPro-Light" w:eastAsia="Times New Roman" w:hAnsi="UnitPro-Light" w:cs="UnitPro-Light"/>
          <w:lang w:eastAsia="ar-SA"/>
        </w:rPr>
        <w:t>Při návrhu je nutné respektovat Manuál tvorby veřejných prostranství (IPR Praha, 2014), Standard zastávek PID (ROPID, 2017) a Pražské Stavební Předpisy (IPR Praha, 2016), Koncepci pražských břehů (IPR Praha, 2014) a Koncepci celkového krajinářského řešení Císařského ostrova a širšího okolí. Studie též vyjde ze schválené Koncepce povrchů tramvajových tratí v Praze (Usnesení RHMP číslo 2064 ze dne 26.8.2016) a případné nároky na jiné pojetí povrchů budou součástí procesu projednání a shrnuty v závěrech a doporučeních.</w:t>
      </w:r>
    </w:p>
    <w:p w14:paraId="2423BC94" w14:textId="77777777" w:rsidR="00A06A0E" w:rsidRPr="005E4F73" w:rsidRDefault="00A06A0E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</w:p>
    <w:p w14:paraId="648576BA" w14:textId="413C5890" w:rsidR="00720EEB" w:rsidRDefault="00720EEB" w:rsidP="00BA3AE6">
      <w:pPr>
        <w:pStyle w:val="Odstavecseseznamem"/>
        <w:numPr>
          <w:ilvl w:val="0"/>
          <w:numId w:val="26"/>
        </w:numPr>
        <w:spacing w:line="240" w:lineRule="atLeast"/>
        <w:ind w:left="567" w:hanging="567"/>
        <w:jc w:val="both"/>
        <w:rPr>
          <w:rFonts w:ascii="UnitPro-Light" w:eastAsia="Times New Roman" w:hAnsi="UnitPro-Light" w:cs="UnitPro-Light"/>
          <w:b/>
          <w:lang w:eastAsia="ar-SA"/>
        </w:rPr>
      </w:pPr>
      <w:r w:rsidRPr="005E4F73">
        <w:rPr>
          <w:rFonts w:ascii="UnitPro-Light" w:eastAsia="Times New Roman" w:hAnsi="UnitPro-Light" w:cs="UnitPro-Light"/>
          <w:b/>
          <w:lang w:eastAsia="ar-SA"/>
        </w:rPr>
        <w:t>Požadovaná forma plnění</w:t>
      </w:r>
    </w:p>
    <w:p w14:paraId="431E6DF2" w14:textId="77777777" w:rsidR="009908CE" w:rsidRPr="009908CE" w:rsidRDefault="009908CE" w:rsidP="00BA3AE6">
      <w:pPr>
        <w:pStyle w:val="Odstavecseseznamem"/>
        <w:spacing w:before="240" w:line="240" w:lineRule="atLeast"/>
        <w:ind w:left="357"/>
        <w:jc w:val="both"/>
        <w:rPr>
          <w:rFonts w:ascii="UnitPro-Light" w:eastAsia="Times New Roman" w:hAnsi="UnitPro-Light" w:cs="UnitPro-Light"/>
          <w:b/>
          <w:sz w:val="8"/>
          <w:lang w:eastAsia="ar-SA"/>
        </w:rPr>
      </w:pPr>
    </w:p>
    <w:p w14:paraId="71AD4275" w14:textId="3FEA863D" w:rsidR="009908CE" w:rsidRPr="00ED41AD" w:rsidRDefault="00E76CBA" w:rsidP="00BA3AE6">
      <w:pPr>
        <w:pStyle w:val="Odstavecseseznamem"/>
        <w:numPr>
          <w:ilvl w:val="1"/>
          <w:numId w:val="26"/>
        </w:numPr>
        <w:spacing w:line="240" w:lineRule="atLeast"/>
        <w:ind w:left="709" w:hanging="425"/>
        <w:jc w:val="both"/>
        <w:rPr>
          <w:rFonts w:ascii="UnitPro-Light" w:eastAsia="Times New Roman" w:hAnsi="UnitPro-Light" w:cs="UnitPro-Light"/>
          <w:b/>
          <w:lang w:eastAsia="ar-SA"/>
        </w:rPr>
      </w:pPr>
      <w:r w:rsidRPr="00ED41AD">
        <w:rPr>
          <w:rFonts w:ascii="UnitPro-Light" w:eastAsia="Times New Roman" w:hAnsi="UnitPro-Light" w:cs="UnitPro-Light"/>
          <w:b/>
          <w:lang w:eastAsia="ar-SA"/>
        </w:rPr>
        <w:t xml:space="preserve">Tištěná forma </w:t>
      </w:r>
    </w:p>
    <w:p w14:paraId="04FC4C66" w14:textId="76AEBAA0" w:rsidR="00E76CBA" w:rsidRDefault="005521DB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521DB">
        <w:rPr>
          <w:rFonts w:ascii="UnitPro-Light" w:eastAsia="Times New Roman" w:hAnsi="UnitPro-Light" w:cs="UnitPro-Light"/>
          <w:lang w:eastAsia="ar-SA"/>
        </w:rPr>
        <w:t>Tištěná forma bude obsahovat textovou část ve formě 2 výtisků kompletního elaborátu v tuhých deskách formátu A3 a grafickou část ve formě soboru výkresů ve formátu nejvýše A0. Všechny výkresy nebo jejich části budou opatřeny</w:t>
      </w:r>
      <w:r>
        <w:rPr>
          <w:rFonts w:ascii="UnitPro-Light" w:eastAsia="Times New Roman" w:hAnsi="UnitPro-Light" w:cs="UnitPro-Light"/>
          <w:lang w:eastAsia="ar-SA"/>
        </w:rPr>
        <w:t xml:space="preserve"> </w:t>
      </w:r>
      <w:r w:rsidR="00E76CBA" w:rsidRPr="00E76CBA">
        <w:rPr>
          <w:rFonts w:ascii="UnitPro-Light" w:eastAsia="Times New Roman" w:hAnsi="UnitPro-Light" w:cs="UnitPro-Light"/>
          <w:lang w:eastAsia="ar-SA"/>
        </w:rPr>
        <w:t>v pravém dolním rohu popisem a budou poskládány tak, aby popis výkresu nebo jeho části tvořil spodní část titulní strany.</w:t>
      </w:r>
    </w:p>
    <w:p w14:paraId="283A8AFB" w14:textId="77777777" w:rsidR="00A06A0E" w:rsidRPr="00E76CBA" w:rsidRDefault="00A06A0E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</w:p>
    <w:p w14:paraId="5E0B9CCD" w14:textId="439D6376" w:rsidR="00E76CBA" w:rsidRPr="00ED41AD" w:rsidRDefault="00E76CBA" w:rsidP="00BA3AE6">
      <w:pPr>
        <w:pStyle w:val="Odstavecseseznamem"/>
        <w:numPr>
          <w:ilvl w:val="1"/>
          <w:numId w:val="26"/>
        </w:numPr>
        <w:spacing w:line="240" w:lineRule="atLeast"/>
        <w:ind w:left="709" w:hanging="425"/>
        <w:jc w:val="both"/>
        <w:rPr>
          <w:rFonts w:ascii="UnitPro-Light" w:eastAsia="Times New Roman" w:hAnsi="UnitPro-Light" w:cs="UnitPro-Light"/>
          <w:b/>
          <w:lang w:eastAsia="ar-SA"/>
        </w:rPr>
      </w:pPr>
      <w:r w:rsidRPr="00ED41AD">
        <w:rPr>
          <w:rFonts w:ascii="UnitPro-Light" w:eastAsia="Times New Roman" w:hAnsi="UnitPro-Light" w:cs="UnitPro-Light"/>
          <w:b/>
          <w:lang w:eastAsia="ar-SA"/>
        </w:rPr>
        <w:t>Digitální forma</w:t>
      </w:r>
    </w:p>
    <w:p w14:paraId="6D0799E5" w14:textId="292E59F1" w:rsidR="005521DB" w:rsidRPr="005521DB" w:rsidRDefault="005521DB" w:rsidP="00BA3AE6">
      <w:p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5521DB">
        <w:rPr>
          <w:rFonts w:ascii="UnitPro-Light" w:eastAsia="Times New Roman" w:hAnsi="UnitPro-Light" w:cs="UnitPro-Light"/>
          <w:lang w:eastAsia="ar-SA"/>
        </w:rPr>
        <w:t xml:space="preserve">Digitální forma bude odevzdána na paměťových nosičích CD-R, DVD-R, či USB. Bude obsahovat textovou část ve formátu </w:t>
      </w:r>
      <w:r w:rsidR="00A06A0E" w:rsidRPr="00E76CBA">
        <w:rPr>
          <w:rFonts w:ascii="UnitPro-Light" w:eastAsia="Times New Roman" w:hAnsi="UnitPro-Light" w:cs="UnitPro-Light"/>
          <w:lang w:eastAsia="ar-SA"/>
        </w:rPr>
        <w:t>*</w:t>
      </w:r>
      <w:r w:rsidRPr="005521DB">
        <w:rPr>
          <w:rFonts w:ascii="UnitPro-Light" w:eastAsia="Times New Roman" w:hAnsi="UnitPro-Light" w:cs="UnitPro-Light"/>
          <w:lang w:eastAsia="ar-SA"/>
        </w:rPr>
        <w:t>.</w:t>
      </w:r>
      <w:r w:rsidR="00A06A0E">
        <w:rPr>
          <w:rFonts w:ascii="UnitPro-Light" w:eastAsia="Times New Roman" w:hAnsi="UnitPro-Light" w:cs="UnitPro-Light"/>
          <w:lang w:eastAsia="ar-SA"/>
        </w:rPr>
        <w:t>doc</w:t>
      </w:r>
      <w:r w:rsidRPr="005521DB">
        <w:rPr>
          <w:rFonts w:ascii="UnitPro-Light" w:eastAsia="Times New Roman" w:hAnsi="UnitPro-Light" w:cs="UnitPro-Light"/>
          <w:lang w:eastAsia="ar-SA"/>
        </w:rPr>
        <w:t xml:space="preserve"> a grafickou část dle následující specifikace:</w:t>
      </w:r>
    </w:p>
    <w:p w14:paraId="5AA3F776" w14:textId="77777777" w:rsidR="005521DB" w:rsidRDefault="005521DB" w:rsidP="00BA3AE6">
      <w:pPr>
        <w:pStyle w:val="Odstavecseseznamem"/>
        <w:spacing w:line="240" w:lineRule="atLeast"/>
        <w:ind w:left="360"/>
        <w:jc w:val="both"/>
        <w:rPr>
          <w:rFonts w:ascii="UnitPro-Light" w:eastAsia="Times New Roman" w:hAnsi="UnitPro-Light" w:cs="UnitPro-Light"/>
          <w:lang w:eastAsia="ar-SA"/>
        </w:rPr>
      </w:pPr>
    </w:p>
    <w:p w14:paraId="3FB14B6C" w14:textId="3EA5785F" w:rsidR="00E76CBA" w:rsidRPr="00E76CBA" w:rsidRDefault="00E76CBA" w:rsidP="00BA3AE6">
      <w:pPr>
        <w:pStyle w:val="Odstavecseseznamem"/>
        <w:numPr>
          <w:ilvl w:val="0"/>
          <w:numId w:val="24"/>
        </w:num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v rastrovém formátu JPG nebo TIFF v rozlišení minimálně 300 dpi s lokalizací v S-JTSK,</w:t>
      </w:r>
    </w:p>
    <w:p w14:paraId="0FA751F8" w14:textId="40EB769A" w:rsidR="00E76CBA" w:rsidRPr="00E76CBA" w:rsidRDefault="00E76CBA" w:rsidP="00BA3AE6">
      <w:pPr>
        <w:pStyle w:val="Odstavecseseznamem"/>
        <w:numPr>
          <w:ilvl w:val="0"/>
          <w:numId w:val="24"/>
        </w:numPr>
        <w:spacing w:line="240" w:lineRule="atLeast"/>
        <w:jc w:val="both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ve formátu PDF v rozlišení 96 dpi,</w:t>
      </w:r>
    </w:p>
    <w:p w14:paraId="21004181" w14:textId="0D87BFE7" w:rsidR="00E76CBA" w:rsidRPr="00E76CBA" w:rsidRDefault="00E76CBA" w:rsidP="00E76CBA">
      <w:pPr>
        <w:pStyle w:val="Odstavecseseznamem"/>
        <w:numPr>
          <w:ilvl w:val="0"/>
          <w:numId w:val="24"/>
        </w:numPr>
        <w:spacing w:line="240" w:lineRule="atLeast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lastRenderedPageBreak/>
        <w:t>ve vektorové podobě – technologie CAD, souřadnicový systém S-JTSK. K tomu:</w:t>
      </w:r>
    </w:p>
    <w:p w14:paraId="21DDC45D" w14:textId="518DC509" w:rsidR="00E76CBA" w:rsidRPr="00E76CBA" w:rsidRDefault="00E76CBA" w:rsidP="00E76CBA">
      <w:pPr>
        <w:pStyle w:val="Odstavecseseznamem"/>
        <w:numPr>
          <w:ilvl w:val="0"/>
          <w:numId w:val="24"/>
        </w:numPr>
        <w:spacing w:line="240" w:lineRule="atLeast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 xml:space="preserve">Technologie CAD:  </w:t>
      </w:r>
    </w:p>
    <w:p w14:paraId="53C2D6BC" w14:textId="7F05D0EB" w:rsidR="00E76CBA" w:rsidRPr="00E76CBA" w:rsidRDefault="00E76CBA" w:rsidP="00E76CBA">
      <w:pPr>
        <w:pStyle w:val="Odstavecseseznamem"/>
        <w:numPr>
          <w:ilvl w:val="0"/>
          <w:numId w:val="25"/>
        </w:numPr>
        <w:spacing w:line="240" w:lineRule="atLeast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 xml:space="preserve">formát předávaných dat *.dgn, *.dwg, *.dxf, </w:t>
      </w:r>
    </w:p>
    <w:p w14:paraId="74B4D7EA" w14:textId="70928D89" w:rsidR="00E76CBA" w:rsidRPr="00E76CBA" w:rsidRDefault="00E76CBA" w:rsidP="00E76CBA">
      <w:pPr>
        <w:pStyle w:val="Odstavecseseznamem"/>
        <w:numPr>
          <w:ilvl w:val="0"/>
          <w:numId w:val="25"/>
        </w:numPr>
        <w:spacing w:line="240" w:lineRule="atLeast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data výkresu důsledně dodržující rozdělení jevů do příslušných hladin (vrstev),</w:t>
      </w:r>
    </w:p>
    <w:p w14:paraId="58CC223E" w14:textId="14D94D28" w:rsidR="00E76CBA" w:rsidRPr="00E76CBA" w:rsidRDefault="00E76CBA" w:rsidP="00E76CBA">
      <w:pPr>
        <w:pStyle w:val="Odstavecseseznamem"/>
        <w:numPr>
          <w:ilvl w:val="0"/>
          <w:numId w:val="25"/>
        </w:numPr>
        <w:spacing w:line="240" w:lineRule="atLeast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liniové vrstvy obsahující uzavřené polygony plošných jevů,</w:t>
      </w:r>
    </w:p>
    <w:p w14:paraId="2A4A96A4" w14:textId="0E6A28F4" w:rsidR="00E76CBA" w:rsidRPr="00E76CBA" w:rsidRDefault="00E76CBA" w:rsidP="00E76CBA">
      <w:pPr>
        <w:pStyle w:val="Odstavecseseznamem"/>
        <w:numPr>
          <w:ilvl w:val="0"/>
          <w:numId w:val="25"/>
        </w:numPr>
        <w:spacing w:line="240" w:lineRule="atLeast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 xml:space="preserve">bodové vrstvy obsahující definiční body polygonů s určujícím textovým kódem, </w:t>
      </w:r>
    </w:p>
    <w:p w14:paraId="0A81DD8F" w14:textId="6786542A" w:rsidR="00E76CBA" w:rsidRPr="00E76CBA" w:rsidRDefault="00E76CBA" w:rsidP="00E76CBA">
      <w:pPr>
        <w:pStyle w:val="Odstavecseseznamem"/>
        <w:numPr>
          <w:ilvl w:val="0"/>
          <w:numId w:val="25"/>
        </w:numPr>
        <w:spacing w:line="240" w:lineRule="atLeast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 xml:space="preserve">liniové prvky tříděné do jednotlivých hladin, </w:t>
      </w:r>
    </w:p>
    <w:p w14:paraId="331D7178" w14:textId="1C4829FF" w:rsidR="00E76CBA" w:rsidRPr="00E76CBA" w:rsidRDefault="00E76CBA" w:rsidP="00E76CBA">
      <w:pPr>
        <w:pStyle w:val="Odstavecseseznamem"/>
        <w:numPr>
          <w:ilvl w:val="0"/>
          <w:numId w:val="25"/>
        </w:numPr>
        <w:spacing w:line="240" w:lineRule="atLeast"/>
        <w:ind w:left="1418" w:hanging="698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jednoznačné oddělení tematických vrstev s daným jevem od hladin s formálními doplňujícími údaji výkresu (rám, razítko, doplňková grafika)</w:t>
      </w:r>
      <w:r w:rsidR="00A06A0E">
        <w:rPr>
          <w:rFonts w:ascii="UnitPro-Light" w:eastAsia="Times New Roman" w:hAnsi="UnitPro-Light" w:cs="UnitPro-Light"/>
          <w:lang w:eastAsia="ar-SA"/>
        </w:rPr>
        <w:t>,</w:t>
      </w:r>
    </w:p>
    <w:p w14:paraId="0B96DD1E" w14:textId="32EADE0C" w:rsidR="00E76CBA" w:rsidRDefault="00E76CBA" w:rsidP="00E76CBA">
      <w:pPr>
        <w:pStyle w:val="Odstavecseseznamem"/>
        <w:numPr>
          <w:ilvl w:val="0"/>
          <w:numId w:val="25"/>
        </w:numPr>
        <w:spacing w:line="240" w:lineRule="atLeast"/>
        <w:ind w:left="1418" w:hanging="698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 xml:space="preserve">soumístnost kresby s podkladovými daty – v případech věcné návaznosti na předané podklady je požadovaná soumístnost </w:t>
      </w:r>
      <w:r w:rsidR="00FE7164">
        <w:rPr>
          <w:rFonts w:ascii="UnitPro-Light" w:eastAsia="Times New Roman" w:hAnsi="UnitPro-Light" w:cs="UnitPro-Light"/>
          <w:lang w:eastAsia="ar-SA"/>
        </w:rPr>
        <w:t>liniových úseků.</w:t>
      </w:r>
    </w:p>
    <w:p w14:paraId="2C9F0368" w14:textId="77777777" w:rsidR="00FE7164" w:rsidRDefault="00FE7164" w:rsidP="00FE7164">
      <w:pPr>
        <w:spacing w:line="240" w:lineRule="atLeast"/>
        <w:rPr>
          <w:rFonts w:ascii="UnitPro-Light" w:eastAsia="Times New Roman" w:hAnsi="UnitPro-Light" w:cs="UnitPro-Light"/>
          <w:lang w:eastAsia="ar-SA"/>
        </w:rPr>
      </w:pPr>
    </w:p>
    <w:p w14:paraId="726D88C7" w14:textId="3411B76B" w:rsidR="00FE7164" w:rsidRPr="00ED41AD" w:rsidRDefault="00FE7164" w:rsidP="00076B33">
      <w:pPr>
        <w:pStyle w:val="Odstavecseseznamem"/>
        <w:numPr>
          <w:ilvl w:val="1"/>
          <w:numId w:val="26"/>
        </w:numPr>
        <w:spacing w:line="240" w:lineRule="atLeast"/>
        <w:ind w:left="709" w:hanging="425"/>
        <w:rPr>
          <w:rFonts w:ascii="UnitPro-Light" w:eastAsia="Times New Roman" w:hAnsi="UnitPro-Light" w:cs="UnitPro-Light"/>
          <w:b/>
          <w:lang w:eastAsia="ar-SA"/>
        </w:rPr>
      </w:pPr>
      <w:r w:rsidRPr="00ED41AD">
        <w:rPr>
          <w:rFonts w:ascii="UnitPro-Light" w:eastAsia="Times New Roman" w:hAnsi="UnitPro-Light" w:cs="UnitPro-Light"/>
          <w:b/>
          <w:lang w:eastAsia="ar-SA"/>
        </w:rPr>
        <w:t>Podrobnost výkresové dokumentace</w:t>
      </w:r>
      <w:r w:rsidR="00D66310" w:rsidRPr="00ED41AD">
        <w:rPr>
          <w:rFonts w:ascii="UnitPro-Light" w:eastAsia="Times New Roman" w:hAnsi="UnitPro-Light" w:cs="UnitPro-Light"/>
          <w:b/>
          <w:lang w:eastAsia="ar-SA"/>
        </w:rPr>
        <w:t xml:space="preserve"> </w:t>
      </w:r>
      <w:r w:rsidR="006D28E9" w:rsidRPr="00076B33">
        <w:rPr>
          <w:rFonts w:ascii="UnitPro-Light" w:eastAsia="Times New Roman" w:hAnsi="UnitPro-Light" w:cs="UnitPro-Light"/>
          <w:b/>
          <w:lang w:eastAsia="ar-SA"/>
        </w:rPr>
        <w:t>(</w:t>
      </w:r>
      <w:r w:rsidR="00D66310" w:rsidRPr="00076B33">
        <w:rPr>
          <w:rFonts w:ascii="UnitPro-Light" w:eastAsia="Times New Roman" w:hAnsi="UnitPro-Light" w:cs="UnitPro-Light"/>
          <w:b/>
          <w:lang w:eastAsia="ar-SA"/>
        </w:rPr>
        <w:t>pro digitální i tištěnou formu)</w:t>
      </w:r>
      <w:r w:rsidRPr="00076B33">
        <w:rPr>
          <w:rFonts w:ascii="UnitPro-Light" w:eastAsia="Times New Roman" w:hAnsi="UnitPro-Light" w:cs="UnitPro-Light"/>
          <w:b/>
          <w:lang w:eastAsia="ar-SA"/>
        </w:rPr>
        <w:t>:</w:t>
      </w:r>
    </w:p>
    <w:p w14:paraId="1BB14F79" w14:textId="77777777" w:rsidR="00D66310" w:rsidRPr="00D66310" w:rsidRDefault="00D66310" w:rsidP="00D66310">
      <w:pPr>
        <w:pStyle w:val="Odstavecseseznamem"/>
        <w:spacing w:line="240" w:lineRule="atLeast"/>
        <w:rPr>
          <w:rFonts w:ascii="UnitPro-Light" w:eastAsia="Times New Roman" w:hAnsi="UnitPro-Light" w:cs="UnitPro-Light"/>
          <w:sz w:val="16"/>
          <w:lang w:eastAsia="ar-SA"/>
        </w:rPr>
      </w:pPr>
    </w:p>
    <w:p w14:paraId="6A8EBC78" w14:textId="77777777" w:rsidR="00FE7164" w:rsidRPr="00E76CBA" w:rsidRDefault="00FE7164" w:rsidP="00FE7164">
      <w:pPr>
        <w:pStyle w:val="Odstavecseseznamem"/>
        <w:numPr>
          <w:ilvl w:val="0"/>
          <w:numId w:val="24"/>
        </w:numPr>
        <w:spacing w:line="240" w:lineRule="atLeast"/>
        <w:ind w:left="709" w:hanging="349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 xml:space="preserve">celkové situace a dále koordinační situace v měřítku 1:1000 (1:2000) příp. řešené detaily v podrobnějším měř. </w:t>
      </w:r>
    </w:p>
    <w:p w14:paraId="00E142C8" w14:textId="77777777" w:rsidR="00FE7164" w:rsidRPr="00E76CBA" w:rsidRDefault="00FE7164" w:rsidP="00FE7164">
      <w:pPr>
        <w:pStyle w:val="Odstavecseseznamem"/>
        <w:numPr>
          <w:ilvl w:val="0"/>
          <w:numId w:val="24"/>
        </w:numPr>
        <w:spacing w:line="240" w:lineRule="atLeast"/>
        <w:ind w:left="709" w:hanging="349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budou doloženy podélné profily 1:1000/100 (nebo dle potřeby)</w:t>
      </w:r>
    </w:p>
    <w:p w14:paraId="5CCB9772" w14:textId="77777777" w:rsidR="00FE7164" w:rsidRPr="00E76CBA" w:rsidRDefault="00FE7164" w:rsidP="00FE7164">
      <w:pPr>
        <w:pStyle w:val="Odstavecseseznamem"/>
        <w:numPr>
          <w:ilvl w:val="0"/>
          <w:numId w:val="24"/>
        </w:numPr>
        <w:spacing w:line="240" w:lineRule="atLeast"/>
        <w:ind w:left="709" w:hanging="349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 xml:space="preserve">příčné řezy územím 1:100 (popř. jiné vhodné měřítko) vzorové a charakteristické, s odpovídající mírou poznání a doložení limitů, a též ve vztahu k sítím technického vybavení území apod. </w:t>
      </w:r>
    </w:p>
    <w:p w14:paraId="097DD160" w14:textId="77777777" w:rsidR="00FE7164" w:rsidRPr="00E76CBA" w:rsidRDefault="00FE7164" w:rsidP="00FE7164">
      <w:pPr>
        <w:pStyle w:val="Odstavecseseznamem"/>
        <w:numPr>
          <w:ilvl w:val="0"/>
          <w:numId w:val="24"/>
        </w:numPr>
        <w:spacing w:line="240" w:lineRule="atLeast"/>
        <w:ind w:left="709" w:hanging="349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požadovaný rozsah příloh a konkrétní místa detailů či řezů mohou být upřesněny na výrobních výborech</w:t>
      </w:r>
    </w:p>
    <w:p w14:paraId="3AD61077" w14:textId="77777777" w:rsidR="00FE7164" w:rsidRPr="00E76CBA" w:rsidRDefault="00FE7164" w:rsidP="00FE7164">
      <w:pPr>
        <w:pStyle w:val="Odstavecseseznamem"/>
        <w:numPr>
          <w:ilvl w:val="0"/>
          <w:numId w:val="24"/>
        </w:numPr>
        <w:spacing w:line="240" w:lineRule="atLeast"/>
        <w:ind w:left="709" w:hanging="349"/>
        <w:rPr>
          <w:rFonts w:ascii="UnitPro-Light" w:eastAsia="Times New Roman" w:hAnsi="UnitPro-Light" w:cs="UnitPro-Light"/>
          <w:lang w:eastAsia="ar-SA"/>
        </w:rPr>
      </w:pPr>
      <w:r w:rsidRPr="00E76CBA">
        <w:rPr>
          <w:rFonts w:ascii="UnitPro-Light" w:eastAsia="Times New Roman" w:hAnsi="UnitPro-Light" w:cs="UnitPro-Light"/>
          <w:lang w:eastAsia="ar-SA"/>
        </w:rPr>
        <w:t>širší vztahy a zapojení do stávající sítě příp. rozvojových záměrů budou doloženy v situačních výkresech v měřítku 1:2000 (1:5000).</w:t>
      </w:r>
    </w:p>
    <w:p w14:paraId="31A0BAB5" w14:textId="75D731B2" w:rsidR="00FE7164" w:rsidRDefault="00FE7164" w:rsidP="00FE7164">
      <w:pPr>
        <w:spacing w:line="240" w:lineRule="atLeast"/>
        <w:rPr>
          <w:rFonts w:ascii="UnitPro-Light" w:eastAsia="Times New Roman" w:hAnsi="UnitPro-Light" w:cs="UnitPro-Light"/>
          <w:lang w:eastAsia="ar-SA"/>
        </w:rPr>
      </w:pPr>
    </w:p>
    <w:sectPr w:rsidR="00FE7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2BAD" w14:textId="77777777" w:rsidR="009C0F98" w:rsidRDefault="009C0F98" w:rsidP="00EC0E32">
      <w:pPr>
        <w:spacing w:after="0" w:line="240" w:lineRule="auto"/>
      </w:pPr>
      <w:r>
        <w:separator/>
      </w:r>
    </w:p>
  </w:endnote>
  <w:endnote w:type="continuationSeparator" w:id="0">
    <w:p w14:paraId="5061080B" w14:textId="77777777" w:rsidR="009C0F98" w:rsidRDefault="009C0F98" w:rsidP="00EC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7E06" w14:textId="77777777" w:rsidR="002066FB" w:rsidRDefault="00206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941" w14:textId="1F775DE5" w:rsidR="002066FB" w:rsidRDefault="002066FB" w:rsidP="002066F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14:paraId="456F520E" w14:textId="77777777" w:rsidR="002066FB" w:rsidRDefault="002066FB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723E" w14:textId="77777777" w:rsidR="002066FB" w:rsidRDefault="00206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7E0E4" w14:textId="77777777" w:rsidR="009C0F98" w:rsidRDefault="009C0F98" w:rsidP="00EC0E32">
      <w:pPr>
        <w:spacing w:after="0" w:line="240" w:lineRule="auto"/>
      </w:pPr>
      <w:r>
        <w:separator/>
      </w:r>
    </w:p>
  </w:footnote>
  <w:footnote w:type="continuationSeparator" w:id="0">
    <w:p w14:paraId="0E9686A1" w14:textId="77777777" w:rsidR="009C0F98" w:rsidRDefault="009C0F98" w:rsidP="00EC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99F6" w14:textId="77777777" w:rsidR="002066FB" w:rsidRDefault="002066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FF74A" w14:textId="1AF11B37" w:rsidR="00BA3AE6" w:rsidRDefault="00BA3AE6">
    <w:pPr>
      <w:pStyle w:val="Zhlav"/>
    </w:pPr>
    <w: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0EA2" w14:textId="77777777" w:rsidR="002066FB" w:rsidRDefault="002066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002"/>
    <w:multiLevelType w:val="hybridMultilevel"/>
    <w:tmpl w:val="EF24F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0A0A"/>
    <w:multiLevelType w:val="hybridMultilevel"/>
    <w:tmpl w:val="8ACC1D8C"/>
    <w:lvl w:ilvl="0" w:tplc="CC74203A">
      <w:numFmt w:val="bullet"/>
      <w:lvlText w:val="•"/>
      <w:lvlJc w:val="left"/>
      <w:pPr>
        <w:ind w:left="720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3532"/>
    <w:multiLevelType w:val="hybridMultilevel"/>
    <w:tmpl w:val="ED684F88"/>
    <w:lvl w:ilvl="0" w:tplc="CC74203A">
      <w:numFmt w:val="bullet"/>
      <w:lvlText w:val="•"/>
      <w:lvlJc w:val="left"/>
      <w:pPr>
        <w:ind w:left="1080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456FE6"/>
    <w:multiLevelType w:val="hybridMultilevel"/>
    <w:tmpl w:val="C3285BBC"/>
    <w:lvl w:ilvl="0" w:tplc="1FC65C72">
      <w:numFmt w:val="bullet"/>
      <w:lvlText w:val="•"/>
      <w:lvlJc w:val="left"/>
      <w:pPr>
        <w:ind w:left="360" w:firstLine="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DC5"/>
    <w:multiLevelType w:val="hybridMultilevel"/>
    <w:tmpl w:val="26EC7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160D2"/>
    <w:multiLevelType w:val="hybridMultilevel"/>
    <w:tmpl w:val="6374D9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2C590A"/>
    <w:multiLevelType w:val="hybridMultilevel"/>
    <w:tmpl w:val="7D5E1006"/>
    <w:lvl w:ilvl="0" w:tplc="D62E43EC">
      <w:numFmt w:val="bullet"/>
      <w:lvlText w:val=""/>
      <w:lvlJc w:val="left"/>
      <w:pPr>
        <w:ind w:left="360" w:firstLine="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7A5"/>
    <w:multiLevelType w:val="hybridMultilevel"/>
    <w:tmpl w:val="F9A49B20"/>
    <w:lvl w:ilvl="0" w:tplc="CC74203A">
      <w:numFmt w:val="bullet"/>
      <w:lvlText w:val="•"/>
      <w:lvlJc w:val="left"/>
      <w:pPr>
        <w:ind w:left="720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08DF"/>
    <w:multiLevelType w:val="hybridMultilevel"/>
    <w:tmpl w:val="27228AB0"/>
    <w:lvl w:ilvl="0" w:tplc="727EB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580"/>
    <w:multiLevelType w:val="hybridMultilevel"/>
    <w:tmpl w:val="ED627D9E"/>
    <w:lvl w:ilvl="0" w:tplc="CC74203A">
      <w:numFmt w:val="bullet"/>
      <w:lvlText w:val="•"/>
      <w:lvlJc w:val="left"/>
      <w:pPr>
        <w:ind w:left="720" w:hanging="360"/>
      </w:pPr>
      <w:rPr>
        <w:rFonts w:ascii="UnitPro-Light" w:eastAsia="Times New Roman" w:hAnsi="UnitPro-Light" w:cs="UnitPro-Light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0387"/>
    <w:multiLevelType w:val="hybridMultilevel"/>
    <w:tmpl w:val="56962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3C6E"/>
    <w:multiLevelType w:val="hybridMultilevel"/>
    <w:tmpl w:val="F3ACD38E"/>
    <w:lvl w:ilvl="0" w:tplc="AA947916">
      <w:start w:val="1"/>
      <w:numFmt w:val="decimal"/>
      <w:lvlText w:val="%1."/>
      <w:lvlJc w:val="left"/>
      <w:pPr>
        <w:ind w:left="360" w:hanging="360"/>
      </w:pPr>
      <w:rPr>
        <w:rFonts w:ascii="UnitPro-Light" w:hAnsi="UnitPro-Light" w:cs="UnitPro-Light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E7C88"/>
    <w:multiLevelType w:val="hybridMultilevel"/>
    <w:tmpl w:val="CA420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4148"/>
    <w:multiLevelType w:val="hybridMultilevel"/>
    <w:tmpl w:val="1B90CE98"/>
    <w:lvl w:ilvl="0" w:tplc="7458F4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F61"/>
    <w:multiLevelType w:val="hybridMultilevel"/>
    <w:tmpl w:val="7E84EE98"/>
    <w:lvl w:ilvl="0" w:tplc="5134A496">
      <w:numFmt w:val="bullet"/>
      <w:lvlText w:val="–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A724C9"/>
    <w:multiLevelType w:val="hybridMultilevel"/>
    <w:tmpl w:val="FDEAC6F4"/>
    <w:lvl w:ilvl="0" w:tplc="8FA67F66">
      <w:start w:val="2"/>
      <w:numFmt w:val="bullet"/>
      <w:lvlText w:val="-"/>
      <w:lvlJc w:val="left"/>
      <w:pPr>
        <w:ind w:left="1069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7665D28"/>
    <w:multiLevelType w:val="hybridMultilevel"/>
    <w:tmpl w:val="B384555C"/>
    <w:lvl w:ilvl="0" w:tplc="6E3EB7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8014A"/>
    <w:multiLevelType w:val="hybridMultilevel"/>
    <w:tmpl w:val="45E6E3AA"/>
    <w:lvl w:ilvl="0" w:tplc="D62E43EC">
      <w:numFmt w:val="bullet"/>
      <w:lvlText w:val=""/>
      <w:lvlJc w:val="left"/>
      <w:pPr>
        <w:ind w:left="720" w:firstLine="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E2358B"/>
    <w:multiLevelType w:val="hybridMultilevel"/>
    <w:tmpl w:val="C07258C6"/>
    <w:lvl w:ilvl="0" w:tplc="04050003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7F4C60"/>
    <w:multiLevelType w:val="hybridMultilevel"/>
    <w:tmpl w:val="AB86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B82C3C"/>
    <w:multiLevelType w:val="hybridMultilevel"/>
    <w:tmpl w:val="7E8E73B0"/>
    <w:lvl w:ilvl="0" w:tplc="CC74203A">
      <w:numFmt w:val="bullet"/>
      <w:lvlText w:val="•"/>
      <w:lvlJc w:val="left"/>
      <w:pPr>
        <w:ind w:left="1080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4C7630"/>
    <w:multiLevelType w:val="hybridMultilevel"/>
    <w:tmpl w:val="BF86F56E"/>
    <w:lvl w:ilvl="0" w:tplc="A5B6D2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943B9"/>
    <w:multiLevelType w:val="hybridMultilevel"/>
    <w:tmpl w:val="F8A805C2"/>
    <w:lvl w:ilvl="0" w:tplc="155EFCB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86E1A7C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53C0962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013A7"/>
    <w:multiLevelType w:val="hybridMultilevel"/>
    <w:tmpl w:val="25F47E36"/>
    <w:lvl w:ilvl="0" w:tplc="CC74203A">
      <w:numFmt w:val="bullet"/>
      <w:lvlText w:val="•"/>
      <w:lvlJc w:val="left"/>
      <w:pPr>
        <w:ind w:left="720" w:firstLine="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AC44A1"/>
    <w:multiLevelType w:val="hybridMultilevel"/>
    <w:tmpl w:val="39EED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B5A62"/>
    <w:multiLevelType w:val="hybridMultilevel"/>
    <w:tmpl w:val="ABF0BBCA"/>
    <w:lvl w:ilvl="0" w:tplc="CC74203A">
      <w:numFmt w:val="bullet"/>
      <w:lvlText w:val="•"/>
      <w:lvlJc w:val="left"/>
      <w:pPr>
        <w:ind w:left="720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B787F"/>
    <w:multiLevelType w:val="hybridMultilevel"/>
    <w:tmpl w:val="8E5CF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9"/>
  </w:num>
  <w:num w:numId="5">
    <w:abstractNumId w:val="16"/>
  </w:num>
  <w:num w:numId="6">
    <w:abstractNumId w:val="8"/>
  </w:num>
  <w:num w:numId="7">
    <w:abstractNumId w:val="12"/>
  </w:num>
  <w:num w:numId="8">
    <w:abstractNumId w:val="22"/>
  </w:num>
  <w:num w:numId="9">
    <w:abstractNumId w:val="21"/>
  </w:num>
  <w:num w:numId="10">
    <w:abstractNumId w:val="4"/>
  </w:num>
  <w:num w:numId="11">
    <w:abstractNumId w:val="11"/>
  </w:num>
  <w:num w:numId="12">
    <w:abstractNumId w:val="15"/>
  </w:num>
  <w:num w:numId="13">
    <w:abstractNumId w:val="26"/>
  </w:num>
  <w:num w:numId="14">
    <w:abstractNumId w:val="13"/>
  </w:num>
  <w:num w:numId="15">
    <w:abstractNumId w:val="24"/>
  </w:num>
  <w:num w:numId="16">
    <w:abstractNumId w:val="25"/>
  </w:num>
  <w:num w:numId="17">
    <w:abstractNumId w:val="2"/>
  </w:num>
  <w:num w:numId="18">
    <w:abstractNumId w:val="20"/>
  </w:num>
  <w:num w:numId="19">
    <w:abstractNumId w:val="1"/>
  </w:num>
  <w:num w:numId="20">
    <w:abstractNumId w:val="6"/>
  </w:num>
  <w:num w:numId="21">
    <w:abstractNumId w:val="17"/>
  </w:num>
  <w:num w:numId="22">
    <w:abstractNumId w:val="23"/>
  </w:num>
  <w:num w:numId="23">
    <w:abstractNumId w:val="7"/>
  </w:num>
  <w:num w:numId="24">
    <w:abstractNumId w:val="3"/>
  </w:num>
  <w:num w:numId="25">
    <w:abstractNumId w:val="18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30"/>
    <w:rsid w:val="00012A74"/>
    <w:rsid w:val="0005479B"/>
    <w:rsid w:val="00063DE8"/>
    <w:rsid w:val="00076B33"/>
    <w:rsid w:val="0008092F"/>
    <w:rsid w:val="000D4A0A"/>
    <w:rsid w:val="00115EB9"/>
    <w:rsid w:val="00123CE6"/>
    <w:rsid w:val="0013230B"/>
    <w:rsid w:val="00134A7D"/>
    <w:rsid w:val="00150E67"/>
    <w:rsid w:val="0016623F"/>
    <w:rsid w:val="0019633E"/>
    <w:rsid w:val="001B1CA2"/>
    <w:rsid w:val="001F4EB8"/>
    <w:rsid w:val="002066FB"/>
    <w:rsid w:val="00221E83"/>
    <w:rsid w:val="0024134C"/>
    <w:rsid w:val="00250444"/>
    <w:rsid w:val="0025680D"/>
    <w:rsid w:val="00266E5C"/>
    <w:rsid w:val="002B6397"/>
    <w:rsid w:val="002E0151"/>
    <w:rsid w:val="00305F66"/>
    <w:rsid w:val="00323506"/>
    <w:rsid w:val="003441A0"/>
    <w:rsid w:val="00354EED"/>
    <w:rsid w:val="003B760E"/>
    <w:rsid w:val="00430A6D"/>
    <w:rsid w:val="004328D9"/>
    <w:rsid w:val="0044196F"/>
    <w:rsid w:val="00442B29"/>
    <w:rsid w:val="00465184"/>
    <w:rsid w:val="004A052F"/>
    <w:rsid w:val="004A435D"/>
    <w:rsid w:val="004A45FC"/>
    <w:rsid w:val="004E7E1A"/>
    <w:rsid w:val="0051770B"/>
    <w:rsid w:val="005225F1"/>
    <w:rsid w:val="005521DB"/>
    <w:rsid w:val="00577E8B"/>
    <w:rsid w:val="005819EC"/>
    <w:rsid w:val="005A68E8"/>
    <w:rsid w:val="005B6B0C"/>
    <w:rsid w:val="005C07C0"/>
    <w:rsid w:val="005C4228"/>
    <w:rsid w:val="005C6898"/>
    <w:rsid w:val="005D3A23"/>
    <w:rsid w:val="005D787E"/>
    <w:rsid w:val="005E4F73"/>
    <w:rsid w:val="00676624"/>
    <w:rsid w:val="006A568B"/>
    <w:rsid w:val="006C5369"/>
    <w:rsid w:val="006D28E9"/>
    <w:rsid w:val="006F1C58"/>
    <w:rsid w:val="00720EEB"/>
    <w:rsid w:val="00732B25"/>
    <w:rsid w:val="0073716B"/>
    <w:rsid w:val="007A1897"/>
    <w:rsid w:val="007B34F6"/>
    <w:rsid w:val="007C5452"/>
    <w:rsid w:val="007E3DA9"/>
    <w:rsid w:val="007E6878"/>
    <w:rsid w:val="00800083"/>
    <w:rsid w:val="00807734"/>
    <w:rsid w:val="008472D9"/>
    <w:rsid w:val="00863BBE"/>
    <w:rsid w:val="008A6F30"/>
    <w:rsid w:val="008F34B1"/>
    <w:rsid w:val="008F4144"/>
    <w:rsid w:val="009048EF"/>
    <w:rsid w:val="0092331C"/>
    <w:rsid w:val="0092408C"/>
    <w:rsid w:val="0092656D"/>
    <w:rsid w:val="00931598"/>
    <w:rsid w:val="00940E97"/>
    <w:rsid w:val="00950FB5"/>
    <w:rsid w:val="0095461A"/>
    <w:rsid w:val="00957BC0"/>
    <w:rsid w:val="00977DE8"/>
    <w:rsid w:val="00982BAC"/>
    <w:rsid w:val="009908CE"/>
    <w:rsid w:val="009C0F98"/>
    <w:rsid w:val="009D7D06"/>
    <w:rsid w:val="009F5F30"/>
    <w:rsid w:val="00A06A0E"/>
    <w:rsid w:val="00A16CA2"/>
    <w:rsid w:val="00A257A9"/>
    <w:rsid w:val="00A856C7"/>
    <w:rsid w:val="00A971F4"/>
    <w:rsid w:val="00AB21B4"/>
    <w:rsid w:val="00AB3BDC"/>
    <w:rsid w:val="00B16840"/>
    <w:rsid w:val="00B23191"/>
    <w:rsid w:val="00B73723"/>
    <w:rsid w:val="00B77A5A"/>
    <w:rsid w:val="00BA3AE6"/>
    <w:rsid w:val="00BA5B0F"/>
    <w:rsid w:val="00BD08FB"/>
    <w:rsid w:val="00C02BEF"/>
    <w:rsid w:val="00C03F4C"/>
    <w:rsid w:val="00C8182A"/>
    <w:rsid w:val="00D54AB3"/>
    <w:rsid w:val="00D66310"/>
    <w:rsid w:val="00D7001B"/>
    <w:rsid w:val="00D71F28"/>
    <w:rsid w:val="00D72E79"/>
    <w:rsid w:val="00D77269"/>
    <w:rsid w:val="00D86D96"/>
    <w:rsid w:val="00E56408"/>
    <w:rsid w:val="00E67649"/>
    <w:rsid w:val="00E76CBA"/>
    <w:rsid w:val="00E86B4B"/>
    <w:rsid w:val="00EC0E32"/>
    <w:rsid w:val="00ED41AD"/>
    <w:rsid w:val="00F04810"/>
    <w:rsid w:val="00F44576"/>
    <w:rsid w:val="00F66CB8"/>
    <w:rsid w:val="00F74314"/>
    <w:rsid w:val="00F9188F"/>
    <w:rsid w:val="00FA204A"/>
    <w:rsid w:val="00FA2786"/>
    <w:rsid w:val="00FB1625"/>
    <w:rsid w:val="00FE716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4E0A"/>
  <w15:docId w15:val="{F0D29836-8C43-46AE-9A80-49C70B87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30A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6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F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F3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C68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C68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C6898"/>
  </w:style>
  <w:style w:type="paragraph" w:customStyle="1" w:styleId="BodyText22">
    <w:name w:val="Body Text 22"/>
    <w:basedOn w:val="Normln"/>
    <w:uiPriority w:val="99"/>
    <w:rsid w:val="00720EEB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Seznam">
    <w:name w:val="List"/>
    <w:basedOn w:val="Normln"/>
    <w:rsid w:val="00720EEB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D54AB3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BlockText1">
    <w:name w:val="Block Text1"/>
    <w:basedOn w:val="Normln"/>
    <w:rsid w:val="008F34B1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34A7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0E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0E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0E32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93159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A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AE6"/>
  </w:style>
  <w:style w:type="paragraph" w:styleId="Zpat">
    <w:name w:val="footer"/>
    <w:basedOn w:val="Normln"/>
    <w:link w:val="ZpatChar"/>
    <w:unhideWhenUsed/>
    <w:rsid w:val="00BA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2F9B-08BF-4919-AC5D-F7F4DB95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Vojtěch Ing. (INFR/KDI)</dc:creator>
  <cp:keywords/>
  <dc:description/>
  <cp:lastModifiedBy>Raffayová Markéta (SPR/VEZ)</cp:lastModifiedBy>
  <cp:revision>9</cp:revision>
  <cp:lastPrinted>2020-09-30T09:17:00Z</cp:lastPrinted>
  <dcterms:created xsi:type="dcterms:W3CDTF">2020-09-30T08:48:00Z</dcterms:created>
  <dcterms:modified xsi:type="dcterms:W3CDTF">2020-10-28T23:32:00Z</dcterms:modified>
</cp:coreProperties>
</file>