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F82451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1</w:t>
      </w:r>
    </w:p>
    <w:p w:rsidR="00DE0EBD" w:rsidRP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ke SMLOUVĚ O </w:t>
      </w:r>
      <w:r w:rsid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DÍLO </w:t>
      </w: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č. 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SML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228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011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/2020</w:t>
      </w:r>
    </w:p>
    <w:p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:rsidR="00DE0EBD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Objed</w:t>
      </w:r>
      <w:r>
        <w:rPr>
          <w:rFonts w:ascii="Franklin Gothic Book" w:eastAsia="Times New Roman" w:hAnsi="Franklin Gothic Book" w:cs="Arial"/>
          <w:lang w:eastAsia="cs-CZ"/>
        </w:rPr>
        <w:t>na</w:t>
      </w:r>
      <w:r w:rsidRPr="00F82451">
        <w:rPr>
          <w:rFonts w:ascii="Franklin Gothic Book" w:eastAsia="Times New Roman" w:hAnsi="Franklin Gothic Book" w:cs="Arial"/>
          <w:lang w:eastAsia="cs-CZ"/>
        </w:rPr>
        <w:t>tel</w:t>
      </w:r>
      <w:r>
        <w:rPr>
          <w:rFonts w:ascii="Franklin Gothic Book" w:eastAsia="Times New Roman" w:hAnsi="Franklin Gothic Book" w:cs="Arial"/>
          <w:b/>
          <w:lang w:eastAsia="cs-CZ"/>
        </w:rPr>
        <w:t>:</w:t>
      </w:r>
      <w:r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</w:t>
      </w:r>
      <w:proofErr w:type="spellStart"/>
      <w:proofErr w:type="gramStart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s.p.</w:t>
      </w:r>
      <w:proofErr w:type="gram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o</w:t>
      </w:r>
      <w:proofErr w:type="spell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. </w:t>
      </w:r>
    </w:p>
    <w:p w:rsidR="00DE0EBD" w:rsidRPr="00851DC2" w:rsidRDefault="00DE0EBD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se sídlem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:rsidR="00F82451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IČO:</w:t>
      </w:r>
      <w:r>
        <w:rPr>
          <w:rFonts w:ascii="Franklin Gothic Book" w:eastAsia="Times New Roman" w:hAnsi="Franklin Gothic Book" w:cs="Arial"/>
          <w:lang w:eastAsia="cs-CZ"/>
        </w:rPr>
        <w:tab/>
        <w:t>75075741</w:t>
      </w:r>
    </w:p>
    <w:p w:rsidR="00F82451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DIČ:</w:t>
      </w:r>
      <w:r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 xml:space="preserve">CZ75075741 </w:t>
      </w:r>
    </w:p>
    <w:p w:rsidR="00DE0EBD" w:rsidRDefault="00D215C4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z</w:t>
      </w:r>
      <w:r w:rsidR="00F82451">
        <w:rPr>
          <w:rFonts w:ascii="Franklin Gothic Book" w:eastAsia="Times New Roman" w:hAnsi="Franklin Gothic Book" w:cs="Arial"/>
          <w:lang w:eastAsia="cs-CZ"/>
        </w:rPr>
        <w:t>astoupen</w:t>
      </w:r>
      <w:r w:rsidR="000643B2">
        <w:rPr>
          <w:rFonts w:ascii="Franklin Gothic Book" w:eastAsia="Times New Roman" w:hAnsi="Franklin Gothic Book" w:cs="Arial"/>
          <w:lang w:eastAsia="cs-CZ"/>
        </w:rPr>
        <w:t>ý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676F3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smluvních: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676F3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technických: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676F3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e-mail: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676F3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bankovní spojení: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676F3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Pr="00851DC2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číslo účtu: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676F3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D215C4" w:rsidRPr="00851DC2" w:rsidRDefault="00F82451" w:rsidP="00191A09">
      <w:pPr>
        <w:pStyle w:val="Odstavecseseznamem1"/>
        <w:spacing w:before="120"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objednatel</w:t>
      </w:r>
      <w:r w:rsidRPr="00022877">
        <w:rPr>
          <w:rFonts w:ascii="Franklin Gothic Book" w:hAnsi="Franklin Gothic Book" w:cs="Times New Roman"/>
        </w:rPr>
        <w:t>“)</w:t>
      </w:r>
    </w:p>
    <w:p w:rsidR="00070D09" w:rsidRPr="00851DC2" w:rsidRDefault="00070D09" w:rsidP="00D215C4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:rsidR="00DE0EBD" w:rsidRPr="00851DC2" w:rsidRDefault="00DE0EBD" w:rsidP="00851DC2">
      <w:pPr>
        <w:pStyle w:val="Odstavecseseznamem1"/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a</w:t>
      </w:r>
    </w:p>
    <w:p w:rsidR="00070D09" w:rsidRPr="00851DC2" w:rsidRDefault="00070D09" w:rsidP="00DE0EBD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  <w:b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Zhotovitel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  <w:b/>
        </w:rPr>
        <w:tab/>
      </w:r>
      <w:r w:rsidR="00AD4E6F">
        <w:rPr>
          <w:rFonts w:ascii="Franklin Gothic Book" w:hAnsi="Franklin Gothic Book" w:cs="Times New Roman"/>
          <w:b/>
          <w:color w:val="000000"/>
        </w:rPr>
        <w:t>Rekonstrukce památek, s.r.</w:t>
      </w:r>
      <w:r w:rsidR="00AD4E6F" w:rsidRPr="00EA769D">
        <w:rPr>
          <w:rFonts w:ascii="Franklin Gothic Book" w:hAnsi="Franklin Gothic Book" w:cs="Times New Roman"/>
          <w:b/>
          <w:color w:val="000000"/>
        </w:rPr>
        <w:t>o.</w:t>
      </w:r>
    </w:p>
    <w:p w:rsidR="00F82451" w:rsidRPr="00F82451" w:rsidRDefault="00F82451" w:rsidP="00720018">
      <w:pPr>
        <w:pStyle w:val="Odstavecseseznamem1"/>
        <w:tabs>
          <w:tab w:val="left" w:pos="4395"/>
        </w:tabs>
        <w:ind w:left="4395" w:hanging="4395"/>
        <w:rPr>
          <w:rFonts w:ascii="Franklin Gothic Book" w:hAnsi="Franklin Gothic Book"/>
        </w:rPr>
      </w:pPr>
      <w:r w:rsidRPr="00022877">
        <w:rPr>
          <w:rFonts w:ascii="Franklin Gothic Book" w:hAnsi="Franklin Gothic Book"/>
        </w:rPr>
        <w:t xml:space="preserve">Se </w:t>
      </w:r>
      <w:r w:rsidRPr="00F82451">
        <w:rPr>
          <w:rFonts w:ascii="Franklin Gothic Book" w:eastAsia="Times New Roman" w:hAnsi="Franklin Gothic Book" w:cs="Arial"/>
          <w:lang w:eastAsia="cs-CZ"/>
        </w:rPr>
        <w:t>sídlem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AD4E6F" w:rsidRPr="00EA769D">
        <w:rPr>
          <w:rFonts w:ascii="Franklin Gothic Book" w:hAnsi="Franklin Gothic Book" w:cs="Times New Roman"/>
          <w:color w:val="000000"/>
        </w:rPr>
        <w:t>Bartolomějská 223/15</w:t>
      </w:r>
      <w:r>
        <w:rPr>
          <w:rFonts w:ascii="Franklin Gothic Book" w:hAnsi="Franklin Gothic Book"/>
        </w:rPr>
        <w:t xml:space="preserve">, </w:t>
      </w:r>
      <w:r w:rsidR="00F20DE0" w:rsidRPr="00EA769D">
        <w:rPr>
          <w:rFonts w:ascii="Franklin Gothic Book" w:hAnsi="Franklin Gothic Book" w:cs="Times New Roman"/>
          <w:color w:val="000000"/>
        </w:rPr>
        <w:t>284 01 Kutná Hora - Vnitřní Město</w:t>
      </w:r>
    </w:p>
    <w:p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IČO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2676F3">
        <w:rPr>
          <w:rFonts w:ascii="Franklin Gothic Book" w:hAnsi="Franklin Gothic Book" w:cs="Times New Roman"/>
          <w:color w:val="000000"/>
        </w:rPr>
        <w:t>06307</w:t>
      </w:r>
      <w:r w:rsidR="00F20DE0" w:rsidRPr="00EA769D">
        <w:rPr>
          <w:rFonts w:ascii="Franklin Gothic Book" w:hAnsi="Franklin Gothic Book" w:cs="Times New Roman"/>
          <w:color w:val="000000"/>
        </w:rPr>
        <w:t>892</w:t>
      </w:r>
    </w:p>
    <w:p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DIČ</w:t>
      </w:r>
      <w:r>
        <w:rPr>
          <w:rFonts w:ascii="Franklin Gothic Book" w:hAnsi="Franklin Gothic Book" w:cs="Times New Roman"/>
          <w:bCs/>
        </w:rPr>
        <w:t xml:space="preserve">: </w:t>
      </w:r>
      <w:r>
        <w:rPr>
          <w:rFonts w:ascii="Franklin Gothic Book" w:hAnsi="Franklin Gothic Book" w:cs="Times New Roman"/>
          <w:bCs/>
        </w:rPr>
        <w:tab/>
      </w:r>
      <w:r w:rsidR="00F20DE0" w:rsidRPr="008A35F5">
        <w:rPr>
          <w:rFonts w:ascii="Franklin Gothic Book" w:hAnsi="Franklin Gothic Book" w:cs="Times New Roman"/>
          <w:color w:val="000000"/>
        </w:rPr>
        <w:t>CZ06307892</w:t>
      </w:r>
    </w:p>
    <w:p w:rsidR="00DE0EBD" w:rsidRDefault="00F82451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zastoupený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proofErr w:type="spellStart"/>
      <w:r w:rsidR="002676F3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zástupce ve věcech smluvních a technických:</w:t>
      </w:r>
      <w:r w:rsidR="008C1E7B">
        <w:rPr>
          <w:rFonts w:ascii="Franklin Gothic Book" w:eastAsia="Franklin Gothic Book" w:hAnsi="Franklin Gothic Book" w:cs="Franklin Gothic Book"/>
        </w:rPr>
        <w:tab/>
      </w:r>
      <w:proofErr w:type="spellStart"/>
      <w:r w:rsidR="002676F3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e-mail: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2676F3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tel: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2676F3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bankovní spojení: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2676F3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>
        <w:rPr>
          <w:rFonts w:ascii="Franklin Gothic Book" w:eastAsia="Franklin Gothic Book" w:hAnsi="Franklin Gothic Book" w:cs="Franklin Gothic Book"/>
        </w:rPr>
        <w:t xml:space="preserve">číslo účtu: </w:t>
      </w:r>
      <w:r w:rsidR="008D398F">
        <w:rPr>
          <w:rFonts w:ascii="Franklin Gothic Book" w:eastAsia="Franklin Gothic Book" w:hAnsi="Franklin Gothic Book" w:cs="Franklin Gothic Book"/>
        </w:rPr>
        <w:tab/>
      </w:r>
      <w:proofErr w:type="spellStart"/>
      <w:r w:rsidR="002676F3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F82451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zhotovitel</w:t>
      </w:r>
      <w:r w:rsidRPr="00022877">
        <w:rPr>
          <w:rFonts w:ascii="Franklin Gothic Book" w:hAnsi="Franklin Gothic Book" w:cs="Times New Roman"/>
        </w:rPr>
        <w:t>“)</w:t>
      </w:r>
    </w:p>
    <w:p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022877">
        <w:rPr>
          <w:rFonts w:ascii="Franklin Gothic Book" w:hAnsi="Franklin Gothic Book"/>
        </w:rPr>
        <w:t>(zhotovi</w:t>
      </w:r>
      <w:r w:rsidR="000643B2">
        <w:rPr>
          <w:rFonts w:ascii="Franklin Gothic Book" w:hAnsi="Franklin Gothic Book"/>
        </w:rPr>
        <w:t>tel a objednatel dále společně</w:t>
      </w:r>
      <w:r w:rsidRPr="00022877">
        <w:rPr>
          <w:rFonts w:ascii="Franklin Gothic Book" w:hAnsi="Franklin Gothic Book"/>
        </w:rPr>
        <w:t xml:space="preserve"> též jako „</w:t>
      </w:r>
      <w:r w:rsidRPr="00022877">
        <w:rPr>
          <w:rFonts w:ascii="Franklin Gothic Book" w:hAnsi="Franklin Gothic Book"/>
          <w:b/>
        </w:rPr>
        <w:t>smluvní strany</w:t>
      </w:r>
      <w:r w:rsidRPr="00022877">
        <w:rPr>
          <w:rFonts w:ascii="Franklin Gothic Book" w:hAnsi="Franklin Gothic Book"/>
        </w:rPr>
        <w:t>“ či jednotlivě jako „</w:t>
      </w:r>
      <w:r w:rsidRPr="00022877">
        <w:rPr>
          <w:rFonts w:ascii="Franklin Gothic Book" w:hAnsi="Franklin Gothic Book"/>
          <w:b/>
        </w:rPr>
        <w:t>smluvní strana</w:t>
      </w:r>
      <w:r w:rsidRPr="00022877">
        <w:rPr>
          <w:rFonts w:ascii="Franklin Gothic Book" w:hAnsi="Franklin Gothic Book"/>
        </w:rPr>
        <w:t>“)</w:t>
      </w:r>
    </w:p>
    <w:p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:rsidR="00927BE6" w:rsidRPr="00EF08D4" w:rsidRDefault="00EF08D4" w:rsidP="00EF08D4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>Objednatel a zhotovitel souhlasně potvrzují, že dne 8. 7. 2020</w:t>
      </w:r>
      <w:r w:rsidR="009F02EB">
        <w:rPr>
          <w:rFonts w:ascii="Franklin Gothic Book" w:hAnsi="Franklin Gothic Book" w:cs="Arial"/>
        </w:rPr>
        <w:t xml:space="preserve"> uzavřely Smlouvu o dílo č. </w:t>
      </w:r>
      <w:r w:rsidR="00F20DE0" w:rsidRPr="00EF08D4">
        <w:rPr>
          <w:rFonts w:ascii="Franklin Gothic Book" w:hAnsi="Franklin Gothic Book" w:cs="Arial"/>
        </w:rPr>
        <w:t>SML228/011/2020 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:rsidR="00927BE6" w:rsidRPr="00927BE6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II.</w:t>
      </w:r>
    </w:p>
    <w:p w:rsidR="00927BE6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Doplňující a změnová ustanovení</w:t>
      </w:r>
    </w:p>
    <w:p w:rsidR="006B38B2" w:rsidRPr="006B38B2" w:rsidRDefault="006B38B2" w:rsidP="006B38B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V souladu s </w:t>
      </w:r>
      <w:proofErr w:type="gramStart"/>
      <w:r>
        <w:rPr>
          <w:rFonts w:ascii="Franklin Gothic Book" w:hAnsi="Franklin Gothic Book"/>
        </w:rPr>
        <w:t>ustanovením X.1</w:t>
      </w:r>
      <w:r w:rsidRPr="006B38B2">
        <w:rPr>
          <w:rFonts w:ascii="Franklin Gothic Book" w:hAnsi="Franklin Gothic Book"/>
        </w:rPr>
        <w:t>.</w:t>
      </w:r>
      <w:proofErr w:type="gramEnd"/>
      <w:r w:rsidRPr="006B38B2">
        <w:rPr>
          <w:rFonts w:ascii="Franklin Gothic Book" w:hAnsi="Franklin Gothic Book"/>
        </w:rPr>
        <w:t xml:space="preserve"> Smlouvy se smluvní strany na základě skutečností, které byly zjištěny v průběhu realizace předmětu smlouvy, doh</w:t>
      </w:r>
      <w:r w:rsidR="009F02EB">
        <w:rPr>
          <w:rFonts w:ascii="Franklin Gothic Book" w:hAnsi="Franklin Gothic Book"/>
        </w:rPr>
        <w:t>odly na těchto změnách smlouvy:</w:t>
      </w:r>
    </w:p>
    <w:p w:rsidR="00CF7E9D" w:rsidRPr="00CF7E9D" w:rsidRDefault="006B38B2" w:rsidP="00EF08D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napToGrid w:val="0"/>
        <w:spacing w:before="120" w:after="0" w:line="240" w:lineRule="auto"/>
        <w:contextualSpacing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</w:t>
      </w:r>
      <w:r w:rsidRPr="006B38B2">
        <w:rPr>
          <w:rFonts w:ascii="Franklin Gothic Book" w:hAnsi="Franklin Gothic Book" w:cs="Arial"/>
          <w:sz w:val="22"/>
          <w:szCs w:val="22"/>
        </w:rPr>
        <w:t xml:space="preserve"> ohledem </w:t>
      </w:r>
      <w:r>
        <w:rPr>
          <w:rFonts w:ascii="Franklin Gothic Book" w:hAnsi="Franklin Gothic Book" w:cs="Arial"/>
          <w:sz w:val="22"/>
          <w:szCs w:val="22"/>
        </w:rPr>
        <w:t xml:space="preserve">na </w:t>
      </w:r>
      <w:r w:rsidRPr="006B38B2">
        <w:rPr>
          <w:rFonts w:ascii="Franklin Gothic Book" w:hAnsi="Franklin Gothic Book" w:cs="Arial"/>
          <w:sz w:val="22"/>
          <w:szCs w:val="22"/>
        </w:rPr>
        <w:t xml:space="preserve">pokračování omezení způsobené nepředvídatelnou pandemickou situací </w:t>
      </w:r>
      <w:r>
        <w:rPr>
          <w:rFonts w:ascii="Franklin Gothic Book" w:hAnsi="Franklin Gothic Book" w:cs="Arial"/>
          <w:sz w:val="22"/>
          <w:szCs w:val="22"/>
        </w:rPr>
        <w:t xml:space="preserve">a vzhledem k vyhlášenému nouzovému stavu, </w:t>
      </w:r>
      <w:r w:rsidR="00F20DE0" w:rsidRPr="00CF7E9D">
        <w:rPr>
          <w:rFonts w:ascii="Franklin Gothic Book" w:hAnsi="Franklin Gothic Book" w:cs="Arial"/>
          <w:sz w:val="22"/>
          <w:szCs w:val="22"/>
        </w:rPr>
        <w:t>došlo k omeze</w:t>
      </w:r>
      <w:r>
        <w:rPr>
          <w:rFonts w:ascii="Franklin Gothic Book" w:hAnsi="Franklin Gothic Book" w:cs="Arial"/>
          <w:sz w:val="22"/>
          <w:szCs w:val="22"/>
        </w:rPr>
        <w:t>ní činnosti veřejných institucí a</w:t>
      </w:r>
      <w:r w:rsidR="00F20DE0" w:rsidRPr="00CF7E9D">
        <w:rPr>
          <w:rFonts w:ascii="Franklin Gothic Book" w:hAnsi="Franklin Gothic Book" w:cs="Arial"/>
          <w:sz w:val="22"/>
          <w:szCs w:val="22"/>
        </w:rPr>
        <w:t xml:space="preserve"> nebylo možné zajistit stanovisko </w:t>
      </w:r>
      <w:r w:rsidR="00A87132" w:rsidRPr="00CF7E9D">
        <w:rPr>
          <w:rFonts w:ascii="Franklin Gothic Book" w:hAnsi="Franklin Gothic Book" w:cs="Arial"/>
          <w:sz w:val="22"/>
          <w:szCs w:val="22"/>
        </w:rPr>
        <w:t>orgánů</w:t>
      </w:r>
      <w:r w:rsidR="00F20DE0" w:rsidRPr="00CF7E9D">
        <w:rPr>
          <w:rFonts w:ascii="Franklin Gothic Book" w:hAnsi="Franklin Gothic Book" w:cs="Arial"/>
          <w:sz w:val="22"/>
          <w:szCs w:val="22"/>
        </w:rPr>
        <w:t xml:space="preserve"> památkové péče</w:t>
      </w:r>
      <w:r w:rsidR="004041FF" w:rsidRPr="00CF7E9D">
        <w:rPr>
          <w:rFonts w:ascii="Franklin Gothic Book" w:hAnsi="Franklin Gothic Book" w:cs="Arial"/>
          <w:sz w:val="22"/>
          <w:szCs w:val="22"/>
        </w:rPr>
        <w:t xml:space="preserve"> v dohodnutém termínu</w:t>
      </w:r>
      <w:r w:rsidR="00F20DE0" w:rsidRPr="00CF7E9D">
        <w:rPr>
          <w:rFonts w:ascii="Franklin Gothic Book" w:hAnsi="Franklin Gothic Book" w:cs="Arial"/>
          <w:sz w:val="22"/>
          <w:szCs w:val="22"/>
        </w:rPr>
        <w:t>.</w:t>
      </w:r>
      <w:r w:rsidR="00EF08D4">
        <w:rPr>
          <w:rFonts w:ascii="Franklin Gothic Book" w:hAnsi="Franklin Gothic Book" w:cs="Arial"/>
          <w:sz w:val="22"/>
          <w:szCs w:val="22"/>
        </w:rPr>
        <w:t xml:space="preserve"> Dochází </w:t>
      </w:r>
      <w:r w:rsidR="00EF08D4">
        <w:rPr>
          <w:rFonts w:ascii="Franklin Gothic Book" w:hAnsi="Franklin Gothic Book" w:cs="Arial"/>
          <w:sz w:val="22"/>
          <w:szCs w:val="22"/>
        </w:rPr>
        <w:lastRenderedPageBreak/>
        <w:t xml:space="preserve">tak ke změně ustanovení vztahující se k termínu plnění </w:t>
      </w:r>
      <w:r w:rsidR="008D398F">
        <w:rPr>
          <w:rFonts w:ascii="Franklin Gothic Book" w:hAnsi="Franklin Gothic Book" w:cs="Arial"/>
          <w:sz w:val="22"/>
          <w:szCs w:val="22"/>
        </w:rPr>
        <w:t xml:space="preserve">podle </w:t>
      </w:r>
      <w:proofErr w:type="gramStart"/>
      <w:r w:rsidR="00EF08D4">
        <w:rPr>
          <w:rFonts w:ascii="Franklin Gothic Book" w:hAnsi="Franklin Gothic Book" w:cs="Arial"/>
          <w:sz w:val="22"/>
          <w:szCs w:val="22"/>
        </w:rPr>
        <w:t>IV.1 písm.</w:t>
      </w:r>
      <w:proofErr w:type="gramEnd"/>
      <w:r w:rsidR="00EF08D4">
        <w:rPr>
          <w:rFonts w:ascii="Franklin Gothic Book" w:hAnsi="Franklin Gothic Book" w:cs="Arial"/>
          <w:sz w:val="22"/>
          <w:szCs w:val="22"/>
        </w:rPr>
        <w:t xml:space="preserve"> c) Smlouvy, který nově zní:</w:t>
      </w:r>
    </w:p>
    <w:p w:rsidR="00CF7E9D" w:rsidRPr="003F3189" w:rsidRDefault="00096D36" w:rsidP="00096D36">
      <w:pPr>
        <w:pStyle w:val="Odstavecseseznamem"/>
        <w:tabs>
          <w:tab w:val="left" w:pos="993"/>
        </w:tabs>
        <w:autoSpaceDE w:val="0"/>
        <w:autoSpaceDN w:val="0"/>
        <w:adjustRightInd w:val="0"/>
        <w:snapToGrid w:val="0"/>
        <w:spacing w:before="120" w:after="0" w:line="240" w:lineRule="auto"/>
        <w:ind w:left="709"/>
        <w:contextualSpacing w:val="0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 xml:space="preserve">c) </w:t>
      </w:r>
      <w:r w:rsidR="00EF08D4" w:rsidRPr="003F3189">
        <w:rPr>
          <w:rFonts w:ascii="Franklin Gothic Book" w:hAnsi="Franklin Gothic Book" w:cs="Arial"/>
          <w:i/>
          <w:sz w:val="22"/>
          <w:szCs w:val="22"/>
        </w:rPr>
        <w:t>č</w:t>
      </w:r>
      <w:r w:rsidR="00CF7E9D" w:rsidRPr="003F3189">
        <w:rPr>
          <w:rFonts w:ascii="Franklin Gothic Book" w:hAnsi="Franklin Gothic Book" w:cs="Arial"/>
          <w:i/>
          <w:sz w:val="22"/>
          <w:szCs w:val="22"/>
        </w:rPr>
        <w:t>ást díla provedení inženýrských činností dle čl. II odst. 3 této smlouvy:</w:t>
      </w:r>
    </w:p>
    <w:p w:rsidR="00BC4938" w:rsidRPr="00EF08D4" w:rsidRDefault="00EF08D4" w:rsidP="00096D36">
      <w:pPr>
        <w:pStyle w:val="Odstavecseseznamem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napToGrid w:val="0"/>
        <w:spacing w:before="120" w:after="0" w:line="240" w:lineRule="auto"/>
        <w:ind w:left="1276" w:hanging="283"/>
        <w:contextualSpacing w:val="0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n</w:t>
      </w:r>
      <w:r w:rsidR="00BC4938" w:rsidRPr="00EF08D4">
        <w:rPr>
          <w:rFonts w:ascii="Franklin Gothic Book" w:hAnsi="Franklin Gothic Book" w:cs="Arial"/>
          <w:i/>
          <w:sz w:val="22"/>
          <w:szCs w:val="22"/>
        </w:rPr>
        <w:t xml:space="preserve">ejpozději do </w:t>
      </w:r>
      <w:r w:rsidR="00CF7E9D" w:rsidRPr="00EF08D4">
        <w:rPr>
          <w:rFonts w:ascii="Franklin Gothic Book" w:hAnsi="Franklin Gothic Book" w:cs="Arial"/>
          <w:b/>
          <w:i/>
          <w:sz w:val="22"/>
          <w:szCs w:val="22"/>
        </w:rPr>
        <w:t>210</w:t>
      </w:r>
      <w:r w:rsidR="00BC4938" w:rsidRPr="00EF08D4">
        <w:rPr>
          <w:rFonts w:ascii="Franklin Gothic Book" w:hAnsi="Franklin Gothic Book" w:cs="Arial"/>
          <w:b/>
          <w:i/>
          <w:sz w:val="22"/>
          <w:szCs w:val="22"/>
        </w:rPr>
        <w:t xml:space="preserve"> dní ode dne </w:t>
      </w:r>
      <w:r w:rsidR="00CF7E9D" w:rsidRPr="00EF08D4">
        <w:rPr>
          <w:rFonts w:ascii="Franklin Gothic Book" w:hAnsi="Franklin Gothic Book" w:cs="Arial"/>
          <w:b/>
          <w:i/>
          <w:sz w:val="22"/>
          <w:szCs w:val="22"/>
        </w:rPr>
        <w:t>účinnosti smlouvy</w:t>
      </w:r>
      <w:r w:rsidR="00BC4938" w:rsidRPr="00EF08D4">
        <w:rPr>
          <w:rFonts w:ascii="Franklin Gothic Book" w:hAnsi="Franklin Gothic Book" w:cs="Arial"/>
          <w:i/>
          <w:sz w:val="22"/>
          <w:szCs w:val="22"/>
        </w:rPr>
        <w:t>.</w:t>
      </w:r>
    </w:p>
    <w:p w:rsidR="00327FDA" w:rsidRPr="00EF646F" w:rsidRDefault="00327FDA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:rsidR="00327FDA" w:rsidRPr="00EF646F" w:rsidRDefault="00327FDA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:rsidR="00327FDA" w:rsidRPr="00327FDA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:rsidR="00327FDA" w:rsidRPr="00327FDA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>
        <w:rPr>
          <w:rFonts w:ascii="Franklin Gothic Book" w:hAnsi="Franklin Gothic Book" w:cs="Arial"/>
          <w:sz w:val="22"/>
          <w:szCs w:val="22"/>
        </w:rPr>
        <w:t xml:space="preserve">smlouvy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>
        <w:rPr>
          <w:rFonts w:ascii="Franklin Gothic Book" w:hAnsi="Franklin Gothic Book" w:cs="Arial"/>
          <w:sz w:val="22"/>
          <w:szCs w:val="22"/>
        </w:rPr>
        <w:t xml:space="preserve">smlouvy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>spravedlivé uspořádání smluvního vztahu, zavazují se smluvní strany k takové úpravě smlouvy, která odpovídá jejímu účelu a vůli stran při jejím uzavření.</w:t>
      </w:r>
    </w:p>
    <w:p w:rsidR="006B38B2" w:rsidRPr="008D398F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Dodatek je vyhotoven ve čtyřech (4) stejnopisech, z nichž každá ze smluvních stran obdrží 2 stejnopisy. Každý stejnopis má právní sílu originálu.</w:t>
      </w:r>
    </w:p>
    <w:p w:rsidR="006B38B2" w:rsidRPr="008D398F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 dle § 6 zákona č. 340/2015 Sb., o zvláštních podmínkách účinnosti některých smluv, uveřejňování těchto smluv a o registru smluv (dále jen „registr smluv“).</w:t>
      </w:r>
      <w:r w:rsidR="006B38B2" w:rsidRPr="006B38B2">
        <w:rPr>
          <w:rFonts w:ascii="Times New Roman" w:hAnsi="Times New Roman"/>
          <w:sz w:val="22"/>
          <w:szCs w:val="22"/>
        </w:rPr>
        <w:t xml:space="preserve"> </w:t>
      </w:r>
      <w:r w:rsidR="006B38B2" w:rsidRPr="006B38B2">
        <w:rPr>
          <w:rFonts w:ascii="Franklin Gothic Book" w:hAnsi="Franklin Gothic Book" w:cs="Arial"/>
          <w:sz w:val="22"/>
          <w:szCs w:val="22"/>
        </w:rPr>
        <w:t>Smluvní strany berou výslovně na vědomí a souhlasí s tím, že plnění dle dodatku může nastat až po nabytí jeho účinnosti. Objednatel se zavazuje informovat druhou smluvní stranu o provedení registrace dodatku zasláním kopie potvrzení správce registru smluv na e-mailovou adresu uvedenou v záhlaví tohoto dodatku.</w:t>
      </w:r>
    </w:p>
    <w:p w:rsidR="006B38B2" w:rsidRPr="006B38B2" w:rsidRDefault="006B38B2" w:rsidP="008D398F">
      <w:pPr>
        <w:pStyle w:val="Zkladntext"/>
        <w:widowControl w:val="0"/>
        <w:numPr>
          <w:ilvl w:val="0"/>
          <w:numId w:val="14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</w:rPr>
      </w:pP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strany</w:t>
      </w:r>
      <w:r w:rsidRPr="006B38B2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se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dohodly, že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změny</w:t>
      </w:r>
      <w:r w:rsidRPr="006B38B2">
        <w:rPr>
          <w:rFonts w:ascii="Franklin Gothic Book" w:hAnsi="Franklin Gothic Book" w:cs="Times New Roman"/>
          <w:spacing w:val="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osob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pověřených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realizací</w:t>
      </w:r>
      <w:r w:rsidRPr="006B38B2">
        <w:rPr>
          <w:rFonts w:ascii="Franklin Gothic Book" w:hAnsi="Franklin Gothic Book" w:cs="Times New Roman"/>
          <w:spacing w:val="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smlouvy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uvedených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w w:val="108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smlouvy</w:t>
      </w:r>
      <w:r w:rsidRPr="006B38B2">
        <w:rPr>
          <w:rFonts w:ascii="Franklin Gothic Book" w:hAnsi="Franklin Gothic Book" w:cs="Times New Roman"/>
          <w:spacing w:val="1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nevyžadují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-1"/>
          <w:w w:val="105"/>
        </w:rPr>
        <w:t>pís</w:t>
      </w:r>
      <w:r w:rsidRPr="006B38B2">
        <w:rPr>
          <w:rFonts w:ascii="Franklin Gothic Book" w:hAnsi="Franklin Gothic Book" w:cs="Times New Roman"/>
          <w:spacing w:val="-2"/>
          <w:w w:val="105"/>
        </w:rPr>
        <w:t>emný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dodatek</w:t>
      </w:r>
      <w:r w:rsidRPr="006B38B2">
        <w:rPr>
          <w:rFonts w:ascii="Franklin Gothic Book" w:hAnsi="Franklin Gothic Book" w:cs="Times New Roman"/>
          <w:spacing w:val="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ke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smlouvě.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Dostačující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je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1"/>
          <w:w w:val="105"/>
        </w:rPr>
        <w:t>jednostranná</w:t>
      </w:r>
      <w:r w:rsidRPr="006B38B2">
        <w:rPr>
          <w:rFonts w:ascii="Franklin Gothic Book" w:hAnsi="Franklin Gothic Book" w:cs="Times New Roman"/>
          <w:spacing w:val="28"/>
          <w:w w:val="104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písemná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informace</w:t>
      </w:r>
      <w:r w:rsidRPr="006B38B2">
        <w:rPr>
          <w:rFonts w:ascii="Franklin Gothic Book" w:hAnsi="Franklin Gothic Book" w:cs="Times New Roman"/>
          <w:spacing w:val="-1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zaslaná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druhé</w:t>
      </w:r>
      <w:r w:rsidRPr="006B38B2">
        <w:rPr>
          <w:rFonts w:ascii="Franklin Gothic Book" w:hAnsi="Franklin Gothic Book" w:cs="Times New Roman"/>
          <w:spacing w:val="-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straně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na</w:t>
      </w:r>
      <w:r w:rsidRPr="006B38B2">
        <w:rPr>
          <w:rFonts w:ascii="Franklin Gothic Book" w:hAnsi="Franklin Gothic Book" w:cs="Times New Roman"/>
          <w:spacing w:val="-2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adresu</w:t>
      </w:r>
      <w:r w:rsidRPr="006B38B2">
        <w:rPr>
          <w:rFonts w:ascii="Franklin Gothic Book" w:hAnsi="Franklin Gothic Book" w:cs="Times New Roman"/>
          <w:spacing w:val="-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uvedenou</w:t>
      </w:r>
      <w:r w:rsidRPr="006B38B2">
        <w:rPr>
          <w:rFonts w:ascii="Franklin Gothic Book" w:hAnsi="Franklin Gothic Book" w:cs="Times New Roman"/>
          <w:spacing w:val="-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smlouvy.</w:t>
      </w:r>
    </w:p>
    <w:p w:rsidR="00327FDA" w:rsidRPr="008D398F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p w:rsidR="00241BCB" w:rsidRPr="00327FDA" w:rsidRDefault="00241BCB" w:rsidP="00327FDA">
      <w:pPr>
        <w:pStyle w:val="Odstavecseseznamem"/>
        <w:autoSpaceDE w:val="0"/>
        <w:autoSpaceDN w:val="0"/>
        <w:adjustRightInd w:val="0"/>
        <w:snapToGrid w:val="0"/>
        <w:spacing w:before="120"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327FDA" w:rsidRPr="00AE351A" w:rsidTr="00132AEA">
        <w:trPr>
          <w:trHeight w:val="80"/>
        </w:trPr>
        <w:tc>
          <w:tcPr>
            <w:tcW w:w="5103" w:type="dxa"/>
          </w:tcPr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0" w:name="OLE_LINK1"/>
            <w:bookmarkStart w:id="1" w:name="OLE_LINK2"/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CF7E9D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Praze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.………………………………………………………………..……….</w:t>
            </w:r>
          </w:p>
          <w:p w:rsidR="00327FDA" w:rsidRDefault="00C61EC1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b/>
                <w:bCs/>
                <w:color w:val="auto"/>
                <w:sz w:val="22"/>
                <w:szCs w:val="22"/>
                <w:lang w:val="cs-CZ"/>
              </w:rPr>
            </w:pPr>
            <w:r w:rsidRPr="00C61EC1">
              <w:rPr>
                <w:rFonts w:ascii="Franklin Gothic Book" w:hAnsi="Franklin Gothic Book"/>
                <w:b/>
                <w:bCs/>
                <w:color w:val="auto"/>
                <w:sz w:val="22"/>
                <w:szCs w:val="22"/>
                <w:lang w:val="cs-CZ"/>
              </w:rPr>
              <w:t>Rekonstrukce památek, s.r.o.</w:t>
            </w:r>
          </w:p>
          <w:p w:rsidR="00327FDA" w:rsidRPr="00AE351A" w:rsidRDefault="00047307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  <w:tc>
          <w:tcPr>
            <w:tcW w:w="5103" w:type="dxa"/>
          </w:tcPr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…………………………………………..…….…………………………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spellStart"/>
            <w:proofErr w:type="gramStart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o</w:t>
            </w:r>
            <w:proofErr w:type="spell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.,</w:t>
            </w:r>
          </w:p>
          <w:p w:rsidR="00327FDA" w:rsidRPr="00AE351A" w:rsidRDefault="00047307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bookmarkStart w:id="2" w:name="_GoBack"/>
            <w:bookmarkEnd w:id="2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</w:tr>
      <w:bookmarkEnd w:id="0"/>
      <w:bookmarkEnd w:id="1"/>
    </w:tbl>
    <w:p w:rsidR="00070D09" w:rsidRDefault="00070D09" w:rsidP="00241BCB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070D09" w:rsidSect="00CF48B6"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E0" w:rsidRDefault="00EC09E0" w:rsidP="00DE0EBD">
      <w:pPr>
        <w:spacing w:after="0" w:line="240" w:lineRule="auto"/>
      </w:pPr>
      <w:r>
        <w:separator/>
      </w:r>
    </w:p>
  </w:endnote>
  <w:endnote w:type="continuationSeparator" w:id="0">
    <w:p w:rsidR="00EC09E0" w:rsidRDefault="00EC09E0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E0" w:rsidRDefault="00EC09E0" w:rsidP="00DE0EBD">
      <w:pPr>
        <w:spacing w:after="0" w:line="240" w:lineRule="auto"/>
      </w:pPr>
      <w:r>
        <w:separator/>
      </w:r>
    </w:p>
  </w:footnote>
  <w:footnote w:type="continuationSeparator" w:id="0">
    <w:p w:rsidR="00EC09E0" w:rsidRDefault="00EC09E0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70DAD40A" wp14:editId="16058A35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6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0"/>
  </w:num>
  <w:num w:numId="5">
    <w:abstractNumId w:val="5"/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F2A"/>
    <w:rsid w:val="00047307"/>
    <w:rsid w:val="000643B2"/>
    <w:rsid w:val="00070D09"/>
    <w:rsid w:val="00096D36"/>
    <w:rsid w:val="000A0395"/>
    <w:rsid w:val="000F5510"/>
    <w:rsid w:val="001154C4"/>
    <w:rsid w:val="00156951"/>
    <w:rsid w:val="00157902"/>
    <w:rsid w:val="00191A09"/>
    <w:rsid w:val="00192F98"/>
    <w:rsid w:val="00241BCB"/>
    <w:rsid w:val="002676F3"/>
    <w:rsid w:val="002C2247"/>
    <w:rsid w:val="002E170F"/>
    <w:rsid w:val="00327FDA"/>
    <w:rsid w:val="00350744"/>
    <w:rsid w:val="003A46D6"/>
    <w:rsid w:val="003C3824"/>
    <w:rsid w:val="003C6A4C"/>
    <w:rsid w:val="003F3189"/>
    <w:rsid w:val="004041FF"/>
    <w:rsid w:val="004137D2"/>
    <w:rsid w:val="00432175"/>
    <w:rsid w:val="004602D5"/>
    <w:rsid w:val="004614FA"/>
    <w:rsid w:val="004D1792"/>
    <w:rsid w:val="005330F6"/>
    <w:rsid w:val="00554331"/>
    <w:rsid w:val="00575025"/>
    <w:rsid w:val="005D042E"/>
    <w:rsid w:val="005E72F4"/>
    <w:rsid w:val="005F350A"/>
    <w:rsid w:val="00657117"/>
    <w:rsid w:val="00685190"/>
    <w:rsid w:val="006B38B2"/>
    <w:rsid w:val="006B6A6A"/>
    <w:rsid w:val="00720018"/>
    <w:rsid w:val="0074500B"/>
    <w:rsid w:val="007853D1"/>
    <w:rsid w:val="007D60D8"/>
    <w:rsid w:val="007D6E10"/>
    <w:rsid w:val="00822F3F"/>
    <w:rsid w:val="008377E5"/>
    <w:rsid w:val="00851DC2"/>
    <w:rsid w:val="00895E60"/>
    <w:rsid w:val="008A0662"/>
    <w:rsid w:val="008A7043"/>
    <w:rsid w:val="008B64FE"/>
    <w:rsid w:val="008C1E7B"/>
    <w:rsid w:val="008D398F"/>
    <w:rsid w:val="009143B1"/>
    <w:rsid w:val="00927BE6"/>
    <w:rsid w:val="00932E40"/>
    <w:rsid w:val="00934C80"/>
    <w:rsid w:val="009751B1"/>
    <w:rsid w:val="0099454D"/>
    <w:rsid w:val="009D0D32"/>
    <w:rsid w:val="009D3ACD"/>
    <w:rsid w:val="009F02EB"/>
    <w:rsid w:val="00A15F9E"/>
    <w:rsid w:val="00A36941"/>
    <w:rsid w:val="00A47341"/>
    <w:rsid w:val="00A83B00"/>
    <w:rsid w:val="00A87132"/>
    <w:rsid w:val="00AD4E6F"/>
    <w:rsid w:val="00AF7940"/>
    <w:rsid w:val="00B1090E"/>
    <w:rsid w:val="00B176CE"/>
    <w:rsid w:val="00B6528B"/>
    <w:rsid w:val="00BB54C5"/>
    <w:rsid w:val="00BC1298"/>
    <w:rsid w:val="00BC4938"/>
    <w:rsid w:val="00BD17F5"/>
    <w:rsid w:val="00C317F3"/>
    <w:rsid w:val="00C61EC1"/>
    <w:rsid w:val="00C66590"/>
    <w:rsid w:val="00C714B0"/>
    <w:rsid w:val="00CB51EB"/>
    <w:rsid w:val="00CF48B6"/>
    <w:rsid w:val="00CF7E9D"/>
    <w:rsid w:val="00D215C4"/>
    <w:rsid w:val="00D46D9D"/>
    <w:rsid w:val="00DE0EBD"/>
    <w:rsid w:val="00E36D5F"/>
    <w:rsid w:val="00E542B9"/>
    <w:rsid w:val="00EA310A"/>
    <w:rsid w:val="00EC09E0"/>
    <w:rsid w:val="00ED1D70"/>
    <w:rsid w:val="00EE7C4E"/>
    <w:rsid w:val="00EF08D4"/>
    <w:rsid w:val="00EF51C1"/>
    <w:rsid w:val="00F15DC3"/>
    <w:rsid w:val="00F20DE0"/>
    <w:rsid w:val="00F82451"/>
    <w:rsid w:val="00F95C83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3B0E5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34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550D-0ADF-41BB-BCD6-17A91D8E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2020-04-20T14:24:00Z</cp:lastPrinted>
  <dcterms:created xsi:type="dcterms:W3CDTF">2020-12-04T10:51:00Z</dcterms:created>
  <dcterms:modified xsi:type="dcterms:W3CDTF">2020-12-04T10:52:00Z</dcterms:modified>
</cp:coreProperties>
</file>