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D31E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D31E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D31E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D31E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D31E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D31E85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31E85">
        <w:rPr>
          <w:b/>
          <w:snapToGrid w:val="0"/>
          <w:sz w:val="28"/>
          <w:szCs w:val="28"/>
        </w:rPr>
        <w:t xml:space="preserve">09 – </w:t>
      </w:r>
      <w:r w:rsidR="0039257F">
        <w:rPr>
          <w:b/>
          <w:snapToGrid w:val="0"/>
          <w:sz w:val="28"/>
          <w:szCs w:val="28"/>
        </w:rPr>
        <w:t>3/2016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A18C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D31E85">
        <w:rPr>
          <w:rFonts w:ascii="Times New Roman" w:hAnsi="Times New Roman"/>
          <w:snapToGrid w:val="0"/>
          <w:sz w:val="24"/>
        </w:rPr>
        <w:t xml:space="preserve"> </w:t>
      </w:r>
      <w:r w:rsidR="00D31E85" w:rsidRPr="00D31E85">
        <w:rPr>
          <w:rFonts w:ascii="Times New Roman" w:hAnsi="Times New Roman"/>
          <w:snapToGrid w:val="0"/>
          <w:sz w:val="24"/>
        </w:rPr>
        <w:t>6559001</w:t>
      </w:r>
    </w:p>
    <w:p w:rsidR="00226595" w:rsidRPr="00206D3F" w:rsidRDefault="00D31E8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D31E85">
        <w:rPr>
          <w:rFonts w:ascii="Times New Roman" w:hAnsi="Times New Roman"/>
          <w:b/>
          <w:snapToGrid w:val="0"/>
          <w:sz w:val="24"/>
        </w:rPr>
        <w:t>Allianz pojišťovna,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D31E85" w:rsidRPr="00D31E85">
        <w:rPr>
          <w:rFonts w:ascii="Times New Roman" w:hAnsi="Times New Roman"/>
          <w:b/>
          <w:snapToGrid w:val="0"/>
          <w:sz w:val="24"/>
        </w:rPr>
        <w:t>Praha 8, Ke Štvanici 656/3, PSČ 18600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D31E85">
        <w:rPr>
          <w:rFonts w:ascii="Times New Roman" w:hAnsi="Times New Roman"/>
          <w:b/>
          <w:snapToGrid w:val="0"/>
          <w:sz w:val="24"/>
        </w:rPr>
        <w:t>í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D31E85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31E85">
        <w:rPr>
          <w:rFonts w:ascii="Times New Roman" w:hAnsi="Times New Roman"/>
          <w:snapToGrid w:val="0"/>
          <w:sz w:val="24"/>
        </w:rPr>
        <w:t>Sonia</w:t>
      </w:r>
      <w:proofErr w:type="spellEnd"/>
      <w:r w:rsidR="00D31E85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31E85">
        <w:rPr>
          <w:rFonts w:ascii="Times New Roman" w:hAnsi="Times New Roman"/>
          <w:snapToGrid w:val="0"/>
          <w:sz w:val="24"/>
        </w:rPr>
        <w:t>Mihaylova</w:t>
      </w:r>
      <w:proofErr w:type="spellEnd"/>
      <w:r w:rsidR="00D31E85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31E85">
        <w:rPr>
          <w:rFonts w:ascii="Times New Roman" w:hAnsi="Times New Roman"/>
          <w:snapToGrid w:val="0"/>
          <w:sz w:val="24"/>
        </w:rPr>
        <w:t>Slavtcheva</w:t>
      </w:r>
      <w:proofErr w:type="spellEnd"/>
      <w:r w:rsidR="00D31E85">
        <w:rPr>
          <w:rFonts w:ascii="Times New Roman" w:hAnsi="Times New Roman"/>
          <w:snapToGrid w:val="0"/>
          <w:sz w:val="24"/>
        </w:rPr>
        <w:t>, člen představenstva</w:t>
      </w:r>
    </w:p>
    <w:p w:rsidR="00D31E85" w:rsidRPr="00BE13EB" w:rsidRDefault="00D31E85" w:rsidP="00D31E85">
      <w:pPr>
        <w:pStyle w:val="Codstavec"/>
        <w:tabs>
          <w:tab w:val="left" w:pos="284"/>
          <w:tab w:val="left" w:pos="851"/>
          <w:tab w:val="left" w:pos="1560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E13EB">
        <w:rPr>
          <w:rFonts w:ascii="Times New Roman" w:hAnsi="Times New Roman"/>
          <w:snapToGrid w:val="0"/>
          <w:sz w:val="24"/>
        </w:rPr>
        <w:t>Aleš Jelínek, MBA</w:t>
      </w:r>
      <w:r w:rsidR="00BE13EB" w:rsidRPr="00BE13EB">
        <w:rPr>
          <w:rFonts w:ascii="Times New Roman" w:hAnsi="Times New Roman"/>
          <w:snapToGrid w:val="0"/>
          <w:sz w:val="24"/>
        </w:rPr>
        <w:t>, člen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BE13EB">
        <w:rPr>
          <w:rFonts w:ascii="Times New Roman" w:hAnsi="Times New Roman"/>
          <w:snapToGrid w:val="0"/>
          <w:sz w:val="24"/>
        </w:rPr>
        <w:tab/>
        <w:t>47115971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</w:r>
      <w:r w:rsidR="00BE13EB" w:rsidRPr="00BE13EB">
        <w:rPr>
          <w:rFonts w:ascii="Times New Roman" w:hAnsi="Times New Roman"/>
          <w:snapToGrid w:val="0"/>
          <w:sz w:val="24"/>
        </w:rPr>
        <w:t>CZ699001236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</w:t>
      </w:r>
      <w:r w:rsidR="00BE13EB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BE13EB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BE13EB">
        <w:rPr>
          <w:rFonts w:ascii="Times New Roman" w:hAnsi="Times New Roman"/>
          <w:snapToGrid w:val="0"/>
          <w:sz w:val="24"/>
        </w:rPr>
        <w:t xml:space="preserve"> </w:t>
      </w:r>
      <w:r w:rsidR="000C34FC">
        <w:rPr>
          <w:rFonts w:ascii="Times New Roman" w:hAnsi="Times New Roman"/>
          <w:snapToGrid w:val="0"/>
          <w:sz w:val="24"/>
        </w:rPr>
        <w:t>1815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0C34FC">
        <w:rPr>
          <w:rFonts w:ascii="Times New Roman" w:hAnsi="Times New Roman"/>
          <w:snapToGrid w:val="0"/>
          <w:sz w:val="24"/>
        </w:rPr>
        <w:t>Wüstenrot</w:t>
      </w:r>
      <w:proofErr w:type="spellEnd"/>
      <w:r w:rsidR="000C34FC">
        <w:rPr>
          <w:rFonts w:ascii="Times New Roman" w:hAnsi="Times New Roman"/>
          <w:snapToGrid w:val="0"/>
          <w:sz w:val="24"/>
        </w:rPr>
        <w:t xml:space="preserve"> hypoteční banka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A18C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0C34FC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0C34F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664C6" w:rsidRDefault="007664C6" w:rsidP="008C2A45">
      <w:pPr>
        <w:pStyle w:val="Nzev"/>
        <w:spacing w:before="360"/>
        <w:rPr>
          <w:sz w:val="24"/>
          <w:szCs w:val="24"/>
        </w:rPr>
      </w:pPr>
    </w:p>
    <w:p w:rsidR="007664C6" w:rsidRDefault="007664C6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B24637" w:rsidRDefault="00226595" w:rsidP="00B2463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B24637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B24637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B24637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B24637" w:rsidRDefault="00226595" w:rsidP="00B2463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B2463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B2463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B24637" w:rsidRDefault="00226595" w:rsidP="00B2463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B24637">
        <w:rPr>
          <w:rFonts w:ascii="Times New Roman" w:hAnsi="Times New Roman"/>
          <w:sz w:val="24"/>
        </w:rPr>
        <w:t xml:space="preserve"> </w:t>
      </w:r>
      <w:r w:rsidRPr="00B24637">
        <w:rPr>
          <w:rFonts w:ascii="Times New Roman" w:hAnsi="Times New Roman"/>
          <w:b/>
          <w:sz w:val="24"/>
        </w:rPr>
        <w:t xml:space="preserve">rozšířený soubor zaplacených plateb </w:t>
      </w:r>
      <w:r w:rsidRPr="00B24637">
        <w:rPr>
          <w:rFonts w:ascii="Times New Roman" w:hAnsi="Times New Roman"/>
          <w:sz w:val="24"/>
        </w:rPr>
        <w:t>s průvodkou;</w:t>
      </w:r>
      <w:r w:rsidR="00B24637">
        <w:rPr>
          <w:rFonts w:ascii="Times New Roman" w:hAnsi="Times New Roman"/>
          <w:sz w:val="24"/>
        </w:rPr>
        <w:t xml:space="preserve"> </w:t>
      </w:r>
      <w:r w:rsidRPr="00B24637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B2463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82046C" w:rsidRDefault="00226595" w:rsidP="00B24637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7664C6" w:rsidRDefault="007664C6" w:rsidP="007664C6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7664C6" w:rsidRPr="00147095" w:rsidRDefault="007664C6" w:rsidP="007664C6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B24637" w:rsidRDefault="00226595" w:rsidP="00B2463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B24637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B24637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B24637" w:rsidRDefault="00226595" w:rsidP="00B2463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B24637">
        <w:rPr>
          <w:rFonts w:ascii="Times New Roman" w:hAnsi="Times New Roman"/>
          <w:color w:val="3366FF"/>
          <w:sz w:val="24"/>
        </w:rPr>
        <w:t xml:space="preserve"> </w:t>
      </w:r>
      <w:r w:rsidRPr="00B24637">
        <w:rPr>
          <w:rFonts w:ascii="Times New Roman" w:hAnsi="Times New Roman"/>
          <w:b/>
          <w:sz w:val="24"/>
        </w:rPr>
        <w:t>denním odúčtováním</w:t>
      </w:r>
      <w:r w:rsidRPr="00B24637">
        <w:rPr>
          <w:rFonts w:ascii="Times New Roman" w:hAnsi="Times New Roman"/>
          <w:sz w:val="24"/>
        </w:rPr>
        <w:t xml:space="preserve"> do pěti pracovních dnů po vyinkasování od plátců na poště či bezhotovostním převodem od bank.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B2463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7664C6" w:rsidRDefault="007664C6" w:rsidP="007664C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7664C6" w:rsidRPr="00DE2BC9" w:rsidRDefault="007664C6" w:rsidP="007664C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B24637" w:rsidRDefault="00226595" w:rsidP="00B2463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24637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B2463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B24637">
        <w:rPr>
          <w:rFonts w:ascii="Times New Roman" w:hAnsi="Times New Roman"/>
          <w:snapToGrid w:val="0"/>
          <w:sz w:val="24"/>
        </w:rPr>
        <w:t xml:space="preserve">) </w:t>
      </w:r>
      <w:r w:rsidRPr="00B24637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B2463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B2463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A50BA1" w:rsidRPr="00A50BA1" w:rsidRDefault="00226595" w:rsidP="00A50BA1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24637" w:rsidRPr="00A50BA1">
        <w:rPr>
          <w:rFonts w:ascii="Times New Roman" w:hAnsi="Times New Roman"/>
          <w:b/>
          <w:snapToGrid w:val="0"/>
          <w:sz w:val="24"/>
        </w:rPr>
        <w:t>Allianz pojišťovna, a.s.</w:t>
      </w:r>
      <w:r w:rsidR="00A50BA1" w:rsidRPr="00A50BA1">
        <w:rPr>
          <w:rFonts w:ascii="Times New Roman" w:hAnsi="Times New Roman"/>
          <w:b/>
          <w:snapToGrid w:val="0"/>
          <w:sz w:val="24"/>
        </w:rPr>
        <w:t xml:space="preserve">, Ke Štvanici 656/3, </w:t>
      </w:r>
    </w:p>
    <w:p w:rsidR="00B24637" w:rsidRPr="00A50BA1" w:rsidRDefault="00A50BA1" w:rsidP="00A50BA1">
      <w:pPr>
        <w:pStyle w:val="Codstavec"/>
        <w:tabs>
          <w:tab w:val="left" w:pos="284"/>
          <w:tab w:val="left" w:pos="4111"/>
        </w:tabs>
        <w:spacing w:before="120" w:line="240" w:lineRule="auto"/>
        <w:ind w:left="720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A50BA1">
        <w:rPr>
          <w:rFonts w:ascii="Times New Roman" w:hAnsi="Times New Roman"/>
          <w:b/>
          <w:snapToGrid w:val="0"/>
          <w:sz w:val="24"/>
        </w:rPr>
        <w:t>18600 Praha 8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7664C6" w:rsidRDefault="00226595" w:rsidP="00A50BA1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50B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50BA1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A50BA1">
        <w:rPr>
          <w:rFonts w:ascii="Times New Roman" w:hAnsi="Times New Roman"/>
          <w:snapToGrid w:val="0"/>
          <w:sz w:val="24"/>
        </w:rPr>
        <w:t>(kódová stránka 1250).</w:t>
      </w:r>
    </w:p>
    <w:p w:rsidR="007664C6" w:rsidRDefault="007664C6" w:rsidP="007664C6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7664C6" w:rsidRPr="00A50BA1" w:rsidRDefault="007664C6" w:rsidP="007664C6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7664C6" w:rsidRDefault="007664C6" w:rsidP="007664C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7664C6" w:rsidRPr="00DE2BC9" w:rsidRDefault="007664C6" w:rsidP="007664C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7664C6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7664C6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7664C6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7664C6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7664C6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7664C6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7664C6">
        <w:rPr>
          <w:rFonts w:ascii="Times New Roman" w:hAnsi="Times New Roman"/>
          <w:b/>
          <w:snapToGrid w:val="0"/>
          <w:sz w:val="24"/>
          <w:szCs w:val="24"/>
        </w:rPr>
        <w:t xml:space="preserve"> 09 – 17/2010 ze dne </w:t>
      </w:r>
      <w:proofErr w:type="gramStart"/>
      <w:r w:rsidR="007664C6">
        <w:rPr>
          <w:rFonts w:ascii="Times New Roman" w:hAnsi="Times New Roman"/>
          <w:b/>
          <w:snapToGrid w:val="0"/>
          <w:sz w:val="24"/>
          <w:szCs w:val="24"/>
        </w:rPr>
        <w:t>22.10.2010</w:t>
      </w:r>
      <w:proofErr w:type="gramEnd"/>
      <w:r w:rsidR="007664C6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7664C6" w:rsidRDefault="007664C6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664C6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7664C6">
        <w:rPr>
          <w:rFonts w:ascii="Times New Roman" w:hAnsi="Times New Roman"/>
          <w:snapToGrid w:val="0"/>
          <w:sz w:val="24"/>
        </w:rPr>
        <w:t>Sonia</w:t>
      </w:r>
      <w:proofErr w:type="spellEnd"/>
      <w:r w:rsidR="007664C6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664C6">
        <w:rPr>
          <w:rFonts w:ascii="Times New Roman" w:hAnsi="Times New Roman"/>
          <w:snapToGrid w:val="0"/>
          <w:sz w:val="24"/>
        </w:rPr>
        <w:t>Mihaylova</w:t>
      </w:r>
      <w:proofErr w:type="spellEnd"/>
      <w:r w:rsidR="007664C6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664C6">
        <w:rPr>
          <w:rFonts w:ascii="Times New Roman" w:hAnsi="Times New Roman"/>
          <w:snapToGrid w:val="0"/>
          <w:sz w:val="24"/>
        </w:rPr>
        <w:t>Slavtcheva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7664C6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7664C6" w:rsidRPr="00DE2BC9" w:rsidRDefault="007664C6" w:rsidP="007664C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7664C6" w:rsidRPr="00DE2BC9" w:rsidRDefault="007664C6" w:rsidP="00766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664C6" w:rsidRPr="00DE2BC9" w:rsidRDefault="007664C6" w:rsidP="00766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Aleš Jelínek, MBA</w:t>
      </w:r>
    </w:p>
    <w:p w:rsidR="007664C6" w:rsidRDefault="007664C6" w:rsidP="007664C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7664C6" w:rsidRDefault="007664C6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8A18CF" w:rsidRDefault="008A18C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8A18CF" w:rsidRDefault="008A18C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8A18CF" w:rsidRPr="008C2A45" w:rsidRDefault="008A18C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8A18CF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41" w:rsidRDefault="00774E41">
      <w:r>
        <w:separator/>
      </w:r>
    </w:p>
  </w:endnote>
  <w:endnote w:type="continuationSeparator" w:id="0">
    <w:p w:rsidR="00774E41" w:rsidRDefault="0077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D31E85">
      <w:rPr>
        <w:sz w:val="16"/>
      </w:rPr>
      <w:t xml:space="preserve">09 – </w:t>
    </w:r>
    <w:r w:rsidR="0039257F">
      <w:rPr>
        <w:sz w:val="16"/>
      </w:rPr>
      <w:t>3/2016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A18CF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41" w:rsidRDefault="00774E41">
      <w:r>
        <w:separator/>
      </w:r>
    </w:p>
  </w:footnote>
  <w:footnote w:type="continuationSeparator" w:id="0">
    <w:p w:rsidR="00774E41" w:rsidRDefault="0077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C34FC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257F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46043"/>
    <w:rsid w:val="004551F8"/>
    <w:rsid w:val="0046433A"/>
    <w:rsid w:val="00465CAC"/>
    <w:rsid w:val="00474BE7"/>
    <w:rsid w:val="00483F44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546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328C"/>
    <w:rsid w:val="00627315"/>
    <w:rsid w:val="00635C39"/>
    <w:rsid w:val="00636382"/>
    <w:rsid w:val="006433B4"/>
    <w:rsid w:val="006451C9"/>
    <w:rsid w:val="00646493"/>
    <w:rsid w:val="00650E0B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664C6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18CF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E3FE9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0BA1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4637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3EB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1E85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4CF4"/>
    <w:rsid w:val="00E37970"/>
    <w:rsid w:val="00E43756"/>
    <w:rsid w:val="00E4379A"/>
    <w:rsid w:val="00E46CAE"/>
    <w:rsid w:val="00E603A2"/>
    <w:rsid w:val="00E63205"/>
    <w:rsid w:val="00E65E9C"/>
    <w:rsid w:val="00E707BF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2165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2016-06-22T09:39:00Z</cp:lastPrinted>
  <dcterms:created xsi:type="dcterms:W3CDTF">2016-08-24T05:48:00Z</dcterms:created>
  <dcterms:modified xsi:type="dcterms:W3CDTF">2016-08-24T05:48:00Z</dcterms:modified>
</cp:coreProperties>
</file>