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0D6" w:rsidRDefault="006000D6">
      <w:pPr>
        <w:spacing w:line="226" w:lineRule="exact"/>
        <w:rPr>
          <w:sz w:val="18"/>
          <w:szCs w:val="18"/>
        </w:rPr>
      </w:pPr>
    </w:p>
    <w:p w:rsidR="006000D6" w:rsidRDefault="006000D6">
      <w:pPr>
        <w:spacing w:line="14" w:lineRule="exact"/>
        <w:sectPr w:rsidR="006000D6">
          <w:pgSz w:w="11900" w:h="16840"/>
          <w:pgMar w:top="180" w:right="0" w:bottom="1066" w:left="0" w:header="0" w:footer="3" w:gutter="0"/>
          <w:cols w:space="720"/>
          <w:noEndnote/>
          <w:docGrid w:linePitch="360"/>
        </w:sectPr>
      </w:pPr>
    </w:p>
    <w:p w:rsidR="006000D6" w:rsidRDefault="007C3EAF">
      <w:pPr>
        <w:pStyle w:val="Bodytext20"/>
        <w:shd w:val="clear" w:color="auto" w:fill="auto"/>
        <w:spacing w:line="254" w:lineRule="auto"/>
        <w:jc w:val="center"/>
      </w:pPr>
      <w:r>
        <w:t xml:space="preserve">Výzkumný ústa v živočišné výroby, </w:t>
      </w:r>
      <w:proofErr w:type="spellStart"/>
      <w:r>
        <w:t>v.v.i</w:t>
      </w:r>
      <w:proofErr w:type="spellEnd"/>
      <w:r>
        <w:t>.</w:t>
      </w:r>
      <w:r>
        <w:br/>
        <w:t>Přátelství 815</w:t>
      </w:r>
    </w:p>
    <w:p w:rsidR="006000D6" w:rsidRDefault="007C3EAF">
      <w:pPr>
        <w:pStyle w:val="Bodytext20"/>
        <w:shd w:val="clear" w:color="auto" w:fill="auto"/>
        <w:spacing w:after="280" w:line="254" w:lineRule="auto"/>
        <w:ind w:left="620"/>
      </w:pPr>
      <w:r>
        <w:t xml:space="preserve">104 00 </w:t>
      </w:r>
      <w:proofErr w:type="gramStart"/>
      <w:r>
        <w:t xml:space="preserve">Praha - </w:t>
      </w:r>
      <w:proofErr w:type="spellStart"/>
      <w:r>
        <w:t>UhřinAvaa</w:t>
      </w:r>
      <w:proofErr w:type="spellEnd"/>
      <w:proofErr w:type="gramEnd"/>
      <w:r>
        <w:t xml:space="preserve"> (1)</w:t>
      </w:r>
    </w:p>
    <w:p w:rsidR="006000D6" w:rsidRDefault="007C3EAF">
      <w:pPr>
        <w:pStyle w:val="Heading30"/>
        <w:keepNext/>
        <w:keepLines/>
        <w:shd w:val="clear" w:color="auto" w:fill="auto"/>
      </w:pPr>
      <w:r>
        <w:rPr>
          <w:rFonts w:ascii="Arial" w:eastAsia="Arial" w:hAnsi="Arial" w:cs="Arial"/>
          <w:noProof/>
          <w:color w:val="4A8BC2"/>
          <w:sz w:val="17"/>
          <w:szCs w:val="17"/>
        </w:rPr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5367655</wp:posOffset>
            </wp:positionH>
            <wp:positionV relativeFrom="margin">
              <wp:posOffset>179705</wp:posOffset>
            </wp:positionV>
            <wp:extent cx="2084705" cy="8718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8470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proofErr w:type="spellStart"/>
      <w:r>
        <w:t>Příkaznísmlouva</w:t>
      </w:r>
      <w:bookmarkEnd w:id="0"/>
      <w:proofErr w:type="spellEnd"/>
    </w:p>
    <w:p w:rsidR="006000D6" w:rsidRDefault="007C3EAF">
      <w:pPr>
        <w:pStyle w:val="Zkladntext"/>
        <w:shd w:val="clear" w:color="auto" w:fill="auto"/>
        <w:spacing w:line="264" w:lineRule="auto"/>
        <w:ind w:right="20"/>
        <w:jc w:val="center"/>
      </w:pPr>
      <w:r>
        <w:t>o výkonu inženýrské činnosti</w:t>
      </w:r>
    </w:p>
    <w:p w:rsidR="006000D6" w:rsidRDefault="007C3EAF">
      <w:pPr>
        <w:pStyle w:val="Zkladntext"/>
        <w:shd w:val="clear" w:color="auto" w:fill="auto"/>
        <w:spacing w:after="540" w:line="264" w:lineRule="auto"/>
        <w:ind w:right="20"/>
        <w:jc w:val="center"/>
      </w:pPr>
      <w:r>
        <w:t>uzavřená podle ustanovení § 2430 a násl. zákona č. 89/2012 Sb., občanský zákoník, ve znění</w:t>
      </w:r>
      <w:r>
        <w:br/>
      </w:r>
      <w:r>
        <w:t>pozdějších předpisů (dále jen „občanský zákoník“)</w:t>
      </w:r>
    </w:p>
    <w:p w:rsidR="006000D6" w:rsidRDefault="007C3EAF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753"/>
        </w:tabs>
        <w:ind w:left="400"/>
      </w:pPr>
      <w:bookmarkStart w:id="1" w:name="bookmark1"/>
      <w:r>
        <w:t>Smluvní strany</w:t>
      </w:r>
      <w:bookmarkEnd w:id="1"/>
    </w:p>
    <w:p w:rsidR="006000D6" w:rsidRDefault="007C3EAF">
      <w:pPr>
        <w:pStyle w:val="Heading60"/>
        <w:keepNext/>
        <w:keepLines/>
        <w:numPr>
          <w:ilvl w:val="0"/>
          <w:numId w:val="2"/>
        </w:numPr>
        <w:shd w:val="clear" w:color="auto" w:fill="auto"/>
        <w:tabs>
          <w:tab w:val="left" w:pos="902"/>
        </w:tabs>
        <w:spacing w:after="0"/>
        <w:ind w:left="400"/>
      </w:pPr>
      <w:bookmarkStart w:id="2" w:name="bookmark2"/>
      <w:r>
        <w:rPr>
          <w:b w:val="0"/>
          <w:bCs w:val="0"/>
        </w:rPr>
        <w:t xml:space="preserve">Příkazce: </w:t>
      </w:r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2"/>
    </w:p>
    <w:p w:rsidR="006000D6" w:rsidRDefault="007C3EAF">
      <w:pPr>
        <w:pStyle w:val="Zkladntext"/>
        <w:shd w:val="clear" w:color="auto" w:fill="auto"/>
        <w:tabs>
          <w:tab w:val="left" w:pos="1669"/>
        </w:tabs>
        <w:spacing w:line="259" w:lineRule="auto"/>
        <w:ind w:left="760" w:right="3040" w:firstLine="40"/>
        <w:jc w:val="left"/>
      </w:pPr>
      <w:r>
        <w:t>se sídlem: Přátelství 815/109, Praha 22 - Uhříněves, 104 00 IČ:</w:t>
      </w:r>
      <w:r>
        <w:tab/>
        <w:t>00027014</w:t>
      </w:r>
    </w:p>
    <w:p w:rsidR="006000D6" w:rsidRDefault="007C3EAF">
      <w:pPr>
        <w:pStyle w:val="Zkladntext"/>
        <w:shd w:val="clear" w:color="auto" w:fill="auto"/>
        <w:tabs>
          <w:tab w:val="left" w:pos="1669"/>
        </w:tabs>
        <w:spacing w:after="280" w:line="259" w:lineRule="auto"/>
        <w:ind w:left="760" w:firstLine="40"/>
      </w:pPr>
      <w:r>
        <w:t>DIČ:</w:t>
      </w:r>
      <w:r>
        <w:tab/>
        <w:t>CZ00027014</w:t>
      </w:r>
    </w:p>
    <w:p w:rsidR="006000D6" w:rsidRDefault="007C3EAF">
      <w:pPr>
        <w:pStyle w:val="Zkladntext"/>
        <w:shd w:val="clear" w:color="auto" w:fill="auto"/>
        <w:spacing w:after="540" w:line="259" w:lineRule="auto"/>
        <w:ind w:left="880"/>
        <w:jc w:val="left"/>
      </w:pPr>
      <w:r>
        <w:t>(dále jen „příkazce“)</w:t>
      </w:r>
    </w:p>
    <w:p w:rsidR="006000D6" w:rsidRDefault="007C3EAF">
      <w:pPr>
        <w:pStyle w:val="Zkladntext"/>
        <w:numPr>
          <w:ilvl w:val="0"/>
          <w:numId w:val="2"/>
        </w:numPr>
        <w:shd w:val="clear" w:color="auto" w:fill="auto"/>
        <w:tabs>
          <w:tab w:val="left" w:pos="907"/>
        </w:tabs>
        <w:spacing w:line="269" w:lineRule="auto"/>
        <w:ind w:left="400"/>
        <w:jc w:val="left"/>
      </w:pPr>
      <w:r>
        <w:t>Příkazník: W.A.M. centrum s.r.o.</w:t>
      </w:r>
    </w:p>
    <w:p w:rsidR="006000D6" w:rsidRDefault="007C3EAF">
      <w:pPr>
        <w:pStyle w:val="Zkladntext"/>
        <w:shd w:val="clear" w:color="auto" w:fill="auto"/>
        <w:tabs>
          <w:tab w:val="left" w:pos="1669"/>
        </w:tabs>
        <w:spacing w:line="269" w:lineRule="auto"/>
        <w:ind w:left="760" w:right="4540" w:firstLine="40"/>
        <w:jc w:val="left"/>
      </w:pPr>
      <w:r>
        <w:t>se sídlem: Uhelný trh 1/420, Praha 1, 110 00 IČ:</w:t>
      </w:r>
      <w:r>
        <w:tab/>
        <w:t>481 17 862</w:t>
      </w:r>
    </w:p>
    <w:p w:rsidR="006000D6" w:rsidRDefault="007C3EAF">
      <w:pPr>
        <w:pStyle w:val="Zkladntext"/>
        <w:shd w:val="clear" w:color="auto" w:fill="auto"/>
        <w:tabs>
          <w:tab w:val="left" w:pos="1669"/>
        </w:tabs>
        <w:spacing w:after="260" w:line="269" w:lineRule="auto"/>
        <w:ind w:left="760" w:firstLine="40"/>
      </w:pPr>
      <w:r>
        <w:t>DIČ:</w:t>
      </w:r>
      <w:r>
        <w:tab/>
        <w:t>CZ48117862</w:t>
      </w:r>
    </w:p>
    <w:p w:rsidR="006000D6" w:rsidRDefault="007C3EAF">
      <w:pPr>
        <w:pStyle w:val="Zkladntext"/>
        <w:shd w:val="clear" w:color="auto" w:fill="auto"/>
        <w:spacing w:after="400" w:line="396" w:lineRule="auto"/>
        <w:ind w:left="760" w:right="2460" w:firstLine="340"/>
        <w:jc w:val="left"/>
      </w:pPr>
      <w:r>
        <w:t xml:space="preserve"> (dále jen „příkazník“)</w:t>
      </w:r>
    </w:p>
    <w:p w:rsidR="006000D6" w:rsidRDefault="007C3EAF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821"/>
        </w:tabs>
        <w:spacing w:after="280" w:line="240" w:lineRule="auto"/>
        <w:ind w:left="400"/>
      </w:pPr>
      <w:bookmarkStart w:id="3" w:name="bookmark3"/>
      <w:r>
        <w:t>Výchozí podklady a údaje</w:t>
      </w:r>
      <w:bookmarkEnd w:id="3"/>
    </w:p>
    <w:p w:rsidR="006000D6" w:rsidRDefault="007C3EAF">
      <w:pPr>
        <w:pStyle w:val="Zkladntext"/>
        <w:numPr>
          <w:ilvl w:val="0"/>
          <w:numId w:val="3"/>
        </w:numPr>
        <w:shd w:val="clear" w:color="auto" w:fill="auto"/>
        <w:tabs>
          <w:tab w:val="left" w:pos="931"/>
        </w:tabs>
        <w:spacing w:after="280" w:line="240" w:lineRule="auto"/>
        <w:ind w:left="400"/>
        <w:jc w:val="left"/>
      </w:pPr>
      <w:r>
        <w:t>Podkladem pro uzavření této smlouvy jsou:</w:t>
      </w:r>
    </w:p>
    <w:p w:rsidR="006000D6" w:rsidRDefault="007C3EAF">
      <w:pPr>
        <w:pStyle w:val="Zkladntext"/>
        <w:numPr>
          <w:ilvl w:val="0"/>
          <w:numId w:val="4"/>
        </w:numPr>
        <w:shd w:val="clear" w:color="auto" w:fill="auto"/>
        <w:tabs>
          <w:tab w:val="left" w:pos="1235"/>
        </w:tabs>
        <w:spacing w:line="240" w:lineRule="auto"/>
        <w:ind w:left="760" w:firstLine="40"/>
      </w:pPr>
      <w:r>
        <w:t xml:space="preserve">Projektová </w:t>
      </w:r>
      <w:proofErr w:type="gramStart"/>
      <w:r>
        <w:t>dokumentace :</w:t>
      </w:r>
      <w:proofErr w:type="gramEnd"/>
    </w:p>
    <w:p w:rsidR="006000D6" w:rsidRDefault="007C3EAF">
      <w:pPr>
        <w:pStyle w:val="Zkladntext"/>
        <w:numPr>
          <w:ilvl w:val="0"/>
          <w:numId w:val="4"/>
        </w:numPr>
        <w:shd w:val="clear" w:color="auto" w:fill="auto"/>
        <w:tabs>
          <w:tab w:val="left" w:pos="1235"/>
        </w:tabs>
        <w:spacing w:after="1380" w:line="240" w:lineRule="auto"/>
        <w:ind w:left="760" w:firstLine="40"/>
      </w:pPr>
      <w:r>
        <w:t>Smlouva o dílo č.reg. číslo 86/2020</w:t>
      </w:r>
    </w:p>
    <w:p w:rsidR="006000D6" w:rsidRDefault="007C3EAF">
      <w:pPr>
        <w:pStyle w:val="Zkladntext"/>
        <w:numPr>
          <w:ilvl w:val="0"/>
          <w:numId w:val="3"/>
        </w:numPr>
        <w:shd w:val="clear" w:color="auto" w:fill="auto"/>
        <w:tabs>
          <w:tab w:val="left" w:pos="1099"/>
        </w:tabs>
        <w:spacing w:after="280" w:line="240" w:lineRule="auto"/>
        <w:ind w:left="400"/>
        <w:jc w:val="left"/>
      </w:pPr>
      <w:r>
        <w:t>Výchozí údaje:</w:t>
      </w:r>
      <w:r>
        <w:br w:type="page"/>
      </w:r>
    </w:p>
    <w:p w:rsidR="006000D6" w:rsidRDefault="007C3EAF">
      <w:pPr>
        <w:pStyle w:val="Heading20"/>
        <w:keepNext/>
        <w:keepLines/>
        <w:shd w:val="clear" w:color="auto" w:fill="auto"/>
      </w:pPr>
      <w:bookmarkStart w:id="4" w:name="bookmark4"/>
      <w:r>
        <w:lastRenderedPageBreak/>
        <w:t>\\</w:t>
      </w:r>
      <w:bookmarkEnd w:id="4"/>
    </w:p>
    <w:p w:rsidR="006000D6" w:rsidRDefault="007C3EAF">
      <w:pPr>
        <w:pStyle w:val="Zkladntext"/>
        <w:shd w:val="clear" w:color="auto" w:fill="auto"/>
        <w:spacing w:line="259" w:lineRule="auto"/>
        <w:ind w:left="2000" w:hanging="1640"/>
        <w:jc w:val="left"/>
      </w:pPr>
      <w:r>
        <w:rPr>
          <w:rFonts w:ascii="Arial" w:eastAsia="Arial" w:hAnsi="Arial" w:cs="Arial"/>
          <w:noProof/>
          <w:sz w:val="38"/>
          <w:szCs w:val="38"/>
        </w:rPr>
        <mc:AlternateContent>
          <mc:Choice Requires="wps">
            <w:drawing>
              <wp:anchor distT="0" distB="3175" distL="114300" distR="1077595" simplePos="0" relativeHeight="125829379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12700</wp:posOffset>
                </wp:positionV>
                <wp:extent cx="362585" cy="5334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after="280" w:line="240" w:lineRule="auto"/>
                              <w:jc w:val="left"/>
                            </w:pPr>
                            <w:r>
                              <w:t>2.2.1.</w:t>
                            </w:r>
                          </w:p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2.2.2.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92.9pt;margin-top:1pt;width:28.55pt;height:42pt;z-index:125829379;visibility:visible;mso-wrap-style:square;mso-wrap-distance-left:9pt;mso-wrap-distance-top:0;mso-wrap-distance-right:84.8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" filled="f" stroked="f">
                <v:textbox style="mso-fit-shape-to-text:t" inset="0,0,0,0">
                  <w:txbxContent>
                    <w:p w:rsidR="006000D6" w:rsidRDefault="007C3EAF">
                      <w:pPr>
                        <w:pStyle w:val="Zkladntext"/>
                        <w:shd w:val="clear" w:color="auto" w:fill="auto"/>
                        <w:spacing w:after="280" w:line="240" w:lineRule="auto"/>
                        <w:jc w:val="left"/>
                      </w:pPr>
                      <w:r>
                        <w:t>2.2.1.</w:t>
                      </w:r>
                    </w:p>
                    <w:p w:rsidR="006000D6" w:rsidRDefault="007C3EAF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2.2.2.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38"/>
          <w:szCs w:val="38"/>
        </w:rPr>
        <mc:AlternateContent>
          <mc:Choice Requires="wps">
            <w:drawing>
              <wp:anchor distT="0" distB="0" distL="476885" distR="114300" simplePos="0" relativeHeight="125829381" behindDoc="0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12700</wp:posOffset>
                </wp:positionV>
                <wp:extent cx="963295" cy="5365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after="280" w:line="240" w:lineRule="auto"/>
                              <w:jc w:val="left"/>
                            </w:pPr>
                            <w:r>
                              <w:t>Název stavby:</w:t>
                            </w:r>
                          </w:p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Místo stavby: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121.45pt;margin-top:1pt;width:75.85pt;height:42.25pt;z-index:125829381;visibility:visible;mso-wrap-style:square;mso-wrap-distance-left:37.5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" filled="f" stroked="f">
                <v:textbox style="mso-fit-shape-to-text:t" inset="0,0,0,0">
                  <w:txbxContent>
                    <w:p w:rsidR="006000D6" w:rsidRDefault="007C3EAF">
                      <w:pPr>
                        <w:pStyle w:val="Zkladntext"/>
                        <w:shd w:val="clear" w:color="auto" w:fill="auto"/>
                        <w:spacing w:after="280" w:line="240" w:lineRule="auto"/>
                        <w:jc w:val="left"/>
                      </w:pPr>
                      <w:r>
                        <w:t>Název stavby:</w:t>
                      </w:r>
                    </w:p>
                    <w:p w:rsidR="006000D6" w:rsidRDefault="007C3EAF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Místo stavby: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Technické zhodnocení hnojného plata (</w:t>
      </w:r>
      <w:proofErr w:type="spellStart"/>
      <w:proofErr w:type="gramStart"/>
      <w:r>
        <w:t>resp.polního</w:t>
      </w:r>
      <w:proofErr w:type="spellEnd"/>
      <w:proofErr w:type="gramEnd"/>
      <w:r>
        <w:t xml:space="preserve"> hnojiště) a příjezdové plochy</w:t>
      </w:r>
    </w:p>
    <w:p w:rsidR="006000D6" w:rsidRDefault="007C3EAF">
      <w:pPr>
        <w:pStyle w:val="Zkladntext"/>
        <w:shd w:val="clear" w:color="auto" w:fill="auto"/>
        <w:spacing w:after="540" w:line="259" w:lineRule="auto"/>
        <w:ind w:left="4980" w:hanging="4620"/>
        <w:jc w:val="left"/>
      </w:pPr>
      <w:r>
        <w:t xml:space="preserve">na </w:t>
      </w:r>
      <w:r>
        <w:t xml:space="preserve">adrese pare. Č. 245/3, katastrální území č. 773395 - Hájek v </w:t>
      </w:r>
      <w:proofErr w:type="gramStart"/>
      <w:r>
        <w:t>Uhříněvsi - Praha</w:t>
      </w:r>
      <w:proofErr w:type="gramEnd"/>
      <w:r>
        <w:t>, LV 2024, obec Praha</w:t>
      </w:r>
    </w:p>
    <w:p w:rsidR="006000D6" w:rsidRDefault="007C3EAF">
      <w:pPr>
        <w:pStyle w:val="Zkladntext"/>
        <w:shd w:val="clear" w:color="auto" w:fill="auto"/>
        <w:spacing w:after="140"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12700</wp:posOffset>
                </wp:positionV>
                <wp:extent cx="365760" cy="44831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after="140" w:line="240" w:lineRule="auto"/>
                              <w:jc w:val="left"/>
                            </w:pPr>
                            <w:r>
                              <w:t>2.2.3.</w:t>
                            </w:r>
                          </w:p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2.2.4.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9pt;margin-top:1pt;width:28.8pt;height:35.3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" filled="f" stroked="f">
                <v:textbox style="mso-fit-shape-to-text:t" inset="0,0,0,0">
                  <w:txbxContent>
                    <w:p w:rsidR="006000D6" w:rsidRDefault="007C3EAF">
                      <w:pPr>
                        <w:pStyle w:val="Zkladntext"/>
                        <w:shd w:val="clear" w:color="auto" w:fill="auto"/>
                        <w:spacing w:after="140" w:line="240" w:lineRule="auto"/>
                        <w:jc w:val="left"/>
                      </w:pPr>
                      <w:r>
                        <w:t>2.2.3.</w:t>
                      </w:r>
                    </w:p>
                    <w:p w:rsidR="006000D6" w:rsidRDefault="007C3EAF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2.2.4.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Investor: Výzkumný ústav živočišné výroby, </w:t>
      </w:r>
      <w:proofErr w:type="spellStart"/>
      <w:r>
        <w:t>v.v.i</w:t>
      </w:r>
      <w:proofErr w:type="spellEnd"/>
      <w:r>
        <w:t>.</w:t>
      </w:r>
    </w:p>
    <w:p w:rsidR="006000D6" w:rsidRDefault="007C3EAF">
      <w:pPr>
        <w:pStyle w:val="Zkladntext"/>
        <w:shd w:val="clear" w:color="auto" w:fill="auto"/>
        <w:spacing w:after="400" w:line="240" w:lineRule="auto"/>
        <w:jc w:val="left"/>
      </w:pPr>
      <w:proofErr w:type="spellStart"/>
      <w:r>
        <w:t>Předpokl</w:t>
      </w:r>
      <w:proofErr w:type="spellEnd"/>
      <w:r>
        <w:t>. termín zahájení stavby: rozpracovaná stavba, zahájení činnosti 1.9.2020</w:t>
      </w:r>
    </w:p>
    <w:p w:rsidR="006000D6" w:rsidRDefault="007C3EAF">
      <w:pPr>
        <w:pStyle w:val="Zkladntext"/>
        <w:shd w:val="clear" w:color="auto" w:fill="auto"/>
        <w:spacing w:after="540" w:line="240" w:lineRule="auto"/>
        <w:ind w:left="700" w:firstLine="20"/>
        <w:jc w:val="left"/>
      </w:pPr>
      <w:r>
        <w:t xml:space="preserve">2.2.5. </w:t>
      </w:r>
      <w:proofErr w:type="spellStart"/>
      <w:r>
        <w:t>Předpokl</w:t>
      </w:r>
      <w:proofErr w:type="spellEnd"/>
      <w:r>
        <w:t>. termín ukončení stavby: 30.11.2020</w:t>
      </w:r>
    </w:p>
    <w:p w:rsidR="006000D6" w:rsidRDefault="007C3EAF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  <w:spacing w:line="262" w:lineRule="auto"/>
        <w:ind w:left="0"/>
      </w:pPr>
      <w:bookmarkStart w:id="5" w:name="bookmark5"/>
      <w:r>
        <w:t>Předmět smlouvy</w:t>
      </w:r>
      <w:bookmarkEnd w:id="5"/>
    </w:p>
    <w:p w:rsidR="006000D6" w:rsidRDefault="007C3EAF">
      <w:pPr>
        <w:pStyle w:val="Zkladntext"/>
        <w:numPr>
          <w:ilvl w:val="0"/>
          <w:numId w:val="5"/>
        </w:numPr>
        <w:shd w:val="clear" w:color="auto" w:fill="auto"/>
        <w:tabs>
          <w:tab w:val="left" w:pos="536"/>
        </w:tabs>
        <w:jc w:val="left"/>
      </w:pPr>
      <w:r>
        <w:t xml:space="preserve">Příkazník se touto smlouvou zavazuje, že pro příkazce zajistí výkon inženýrské </w:t>
      </w:r>
      <w:proofErr w:type="gramStart"/>
      <w:r>
        <w:t>činnosti - výkon</w:t>
      </w:r>
      <w:proofErr w:type="gramEnd"/>
      <w:r>
        <w:t xml:space="preserve"> technického dozoru stavebníka (dále jen „TDS“) v rámci stavební akce: Technické zhodnocení hnojného</w:t>
      </w:r>
      <w:r>
        <w:t xml:space="preserve"> plata </w:t>
      </w:r>
      <w:proofErr w:type="spellStart"/>
      <w:r>
        <w:t>rostřednictvím</w:t>
      </w:r>
      <w:proofErr w:type="spellEnd"/>
      <w:r>
        <w:t xml:space="preserve"> fyzické osoby Ing. Josefem Maňhalem</w:t>
      </w:r>
      <w:bookmarkStart w:id="6" w:name="_GoBack"/>
      <w:bookmarkEnd w:id="6"/>
      <w:r>
        <w:t>. Výkon „TDS“ bude prováděn v rozsahu:</w:t>
      </w:r>
    </w:p>
    <w:p w:rsidR="006000D6" w:rsidRDefault="007C3EAF">
      <w:pPr>
        <w:pStyle w:val="Zkladntext"/>
        <w:shd w:val="clear" w:color="auto" w:fill="auto"/>
        <w:ind w:left="560" w:firstLine="20"/>
        <w:jc w:val="left"/>
      </w:pPr>
      <w:r>
        <w:t>provádění technického dozoru stavby dle potřeby a v závislosti na její realizaci, zpravidla 2x týdně,</w:t>
      </w:r>
    </w:p>
    <w:p w:rsidR="006000D6" w:rsidRDefault="007C3EAF">
      <w:pPr>
        <w:pStyle w:val="Zkladntext"/>
        <w:shd w:val="clear" w:color="auto" w:fill="auto"/>
        <w:ind w:left="560" w:firstLine="20"/>
        <w:jc w:val="left"/>
      </w:pPr>
      <w:r>
        <w:t>zajišťování a odborné vedení pravidelných kontrolních dnů za ú</w:t>
      </w:r>
      <w:r>
        <w:t xml:space="preserve">čelem podání informací o průběhu realizace příkazci (zpravidla </w:t>
      </w:r>
      <w:proofErr w:type="spellStart"/>
      <w:r>
        <w:t>lx</w:t>
      </w:r>
      <w:proofErr w:type="spellEnd"/>
      <w:r>
        <w:t xml:space="preserve"> týdně), včetně provedení zápisů z kontrolních dní, kontroly souladu provádění stavby s odsouhlasenou projektovou dokumentací, kontroly souladu provádění stavby s podmínkami ve správních rozh</w:t>
      </w:r>
      <w:r>
        <w:t>odnutích,</w:t>
      </w:r>
    </w:p>
    <w:p w:rsidR="006000D6" w:rsidRDefault="007C3EAF">
      <w:pPr>
        <w:pStyle w:val="Zkladntext"/>
        <w:shd w:val="clear" w:color="auto" w:fill="auto"/>
        <w:ind w:left="560" w:firstLine="20"/>
        <w:jc w:val="left"/>
      </w:pPr>
      <w:r>
        <w:t>zajištění součinnosti s autorským dozorem projektanta,</w:t>
      </w:r>
    </w:p>
    <w:p w:rsidR="006000D6" w:rsidRDefault="007C3EAF">
      <w:pPr>
        <w:pStyle w:val="Zkladntext"/>
        <w:shd w:val="clear" w:color="auto" w:fill="auto"/>
        <w:ind w:left="560" w:firstLine="20"/>
        <w:jc w:val="left"/>
      </w:pPr>
      <w:r>
        <w:t>cenové a věcné kontroly prováděných prací, porovnáním s odsouhlaseným rozpočtem, sledování dodržování kvality prací, dodaných materiálů, technologických postupů a technických předpisů, kontro</w:t>
      </w:r>
      <w:r>
        <w:t>la dodržování podmínek fakturace dle uzavřených smluv s potvrzením správnosti svým podpisem,</w:t>
      </w:r>
    </w:p>
    <w:p w:rsidR="006000D6" w:rsidRDefault="007C3EAF">
      <w:pPr>
        <w:pStyle w:val="Zkladntext"/>
        <w:shd w:val="clear" w:color="auto" w:fill="auto"/>
        <w:ind w:left="700" w:firstLine="20"/>
        <w:jc w:val="left"/>
      </w:pPr>
      <w:r>
        <w:t>kontroly prací a dodávek, které budou v dalším postupu zakryty, nebo znepřístupněny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pravidelné kontroly stavebního a montážního deníku, provádění zápisů s vyjádřen</w:t>
      </w:r>
      <w:r>
        <w:t>ím ke kvalitě prováděných prací a dodaných materiálů, v případě zjištění nedostatků vyzvání zhotovitele k provedení nápravy do určeného termínu, následně kontrolu splnění požadavku technického dozoru,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  <w:jc w:val="left"/>
      </w:pPr>
      <w:r>
        <w:t xml:space="preserve">seznámení se s dokumentací pro provedení stavby, </w:t>
      </w:r>
      <w:r>
        <w:t>obsahem smluv, stavebním povolením a územním rozhodnutím, stanovisky a vyjádřeními dotčených orgánů a správců sítí, sledování, zdali zhotovitel provádí předepsané a dohodnuté zkoušky materiálů, konstrukcí a prací a vyžádání dokladů prokazujících jakost pro</w:t>
      </w:r>
      <w:r>
        <w:t>vádění prací a dodávek,</w:t>
      </w:r>
    </w:p>
    <w:p w:rsidR="006000D6" w:rsidRDefault="007C3EAF">
      <w:pPr>
        <w:pStyle w:val="Zkladntext"/>
        <w:shd w:val="clear" w:color="auto" w:fill="auto"/>
        <w:ind w:left="700" w:firstLine="20"/>
        <w:jc w:val="left"/>
      </w:pPr>
      <w:r>
        <w:t>odevzdání a převzetí staveniště a zabezpečení zápisů do stavebního deníku,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účasti na prostorovém vytýčení stavby zhotovitelem před zahájením prací,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organizace kontrolních dnů a provádění pravidelných zápisů do stavebního deníku,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pís</w:t>
      </w:r>
      <w:r>
        <w:t xml:space="preserve">emného vyjadřování se k nutnosti případných víceprací nebo </w:t>
      </w:r>
      <w:proofErr w:type="spellStart"/>
      <w:r>
        <w:t>méněprací</w:t>
      </w:r>
      <w:proofErr w:type="spellEnd"/>
      <w:r>
        <w:t>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účasti na koordinaci průběhu realizace díla s prováděcí firmou,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kontroly průběhu prací s ohledem na harmonogram provádění díla,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kontroly realizovaných jednotek, výměr, jakosti, standardů</w:t>
      </w:r>
      <w:r>
        <w:t>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kontroly oprávněnosti faktur dle skutečně provedených prací,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účasti na kontrolních prohlídkách stavby,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340"/>
      </w:pPr>
      <w:r>
        <w:t>kontroly podkladů a dokladů pro odevzdání a převzetí stavby a převzetí stavby po jejím dokončení,</w:t>
      </w:r>
    </w:p>
    <w:p w:rsidR="006000D6" w:rsidRDefault="007C3EAF">
      <w:pPr>
        <w:pStyle w:val="Zkladntext"/>
        <w:shd w:val="clear" w:color="auto" w:fill="auto"/>
        <w:ind w:left="700" w:firstLine="20"/>
        <w:jc w:val="left"/>
      </w:pPr>
      <w:r>
        <w:t xml:space="preserve">kontroly zpracování dokumentace skutečného provedení </w:t>
      </w:r>
      <w:r>
        <w:t>stavby,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696"/>
        </w:tabs>
        <w:spacing w:after="340"/>
        <w:ind w:left="700" w:hanging="340"/>
      </w:pPr>
      <w:r>
        <w:t>dalších úkonů, souvisejících dle platných právních předpisů.</w:t>
      </w:r>
    </w:p>
    <w:p w:rsidR="006000D6" w:rsidRDefault="007C3EAF">
      <w:pPr>
        <w:pStyle w:val="Zkladntext"/>
        <w:shd w:val="clear" w:color="auto" w:fill="auto"/>
        <w:jc w:val="left"/>
      </w:pPr>
      <w:r>
        <w:t>.. Příkazník stvrzuje, že fyzická osoba uvedená v odst. 3.1 tohoto článku splňuje autorizaci</w:t>
      </w:r>
    </w:p>
    <w:p w:rsidR="006000D6" w:rsidRDefault="007C3EAF">
      <w:pPr>
        <w:pStyle w:val="Zkladntext"/>
        <w:shd w:val="clear" w:color="auto" w:fill="auto"/>
        <w:ind w:left="420" w:firstLine="20"/>
      </w:pPr>
      <w:r>
        <w:t xml:space="preserve">pro výkon inženýrské </w:t>
      </w:r>
      <w:proofErr w:type="gramStart"/>
      <w:r>
        <w:t>činnosti - výkon</w:t>
      </w:r>
      <w:proofErr w:type="gramEnd"/>
      <w:r>
        <w:t xml:space="preserve"> TDS podle zákona č. 360/1992 Sb., o výkonu povolání </w:t>
      </w:r>
      <w:r>
        <w:t xml:space="preserve">autorizovaných architektů a o výkonu povolání autorizovaných inženýrů a techniků., o územním plánování </w:t>
      </w:r>
      <w:r>
        <w:lastRenderedPageBreak/>
        <w:t>a stavebním řádu (stavební zákon), ve znění pozdějších předpisů, činných ve výstavbě, ve znění pozdějších předpisů, pro sjednaný předmět smlouvy, kdy Osv</w:t>
      </w:r>
      <w:r>
        <w:t>ědčení o této autorizaci tvoří přílohu č. 1 této smlouvy.</w:t>
      </w:r>
    </w:p>
    <w:p w:rsidR="006000D6" w:rsidRDefault="007C3EAF">
      <w:pPr>
        <w:pStyle w:val="Zkladntext"/>
        <w:numPr>
          <w:ilvl w:val="0"/>
          <w:numId w:val="7"/>
        </w:numPr>
        <w:shd w:val="clear" w:color="auto" w:fill="auto"/>
        <w:tabs>
          <w:tab w:val="left" w:pos="471"/>
        </w:tabs>
        <w:spacing w:after="820"/>
        <w:ind w:left="420" w:hanging="420"/>
      </w:pPr>
      <w:r>
        <w:t xml:space="preserve">V případě neschopnosti výkonu inženýrské </w:t>
      </w:r>
      <w:proofErr w:type="gramStart"/>
      <w:r>
        <w:t>činnosti - výkonu</w:t>
      </w:r>
      <w:proofErr w:type="gramEnd"/>
      <w:r>
        <w:t xml:space="preserve"> TDS uvedenou fyzickou osobou dle odst. 3.1 tohoto článkuje příkazník povinen zajistit výkon inženýrské činnosti - výkon TDS jinou fyzickou </w:t>
      </w:r>
      <w:r>
        <w:t>osobou splňující předpoklady výkonu dle zákona č. 360/1992 Sb., o výkonu povolání autorizovaných architektů a o výkonu povolání autorizovaných inženýrů a techniků činných ve výstavbě, ve znění pozdějších předpisů, pro oblast předmětu činnosti této smlouvy.</w:t>
      </w:r>
      <w:r>
        <w:t xml:space="preserve"> Příkazník je povinen příkazce o tomto písemně informovat včetně zaslání osvědčení o autorizaci fyzické osoby zajišťující výkon inženýrské </w:t>
      </w:r>
      <w:proofErr w:type="gramStart"/>
      <w:r>
        <w:t>činnosti - výkon</w:t>
      </w:r>
      <w:proofErr w:type="gramEnd"/>
      <w:r>
        <w:t xml:space="preserve"> TDS pro sjednaný předmět smlouvy.</w:t>
      </w:r>
    </w:p>
    <w:p w:rsidR="006000D6" w:rsidRDefault="007C3EAF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438"/>
        </w:tabs>
        <w:spacing w:line="264" w:lineRule="auto"/>
        <w:ind w:left="420" w:hanging="420"/>
        <w:jc w:val="both"/>
      </w:pPr>
      <w:bookmarkStart w:id="7" w:name="bookmark6"/>
      <w:r>
        <w:t>Doba trvání smlouvy</w:t>
      </w:r>
      <w:bookmarkEnd w:id="7"/>
    </w:p>
    <w:p w:rsidR="006000D6" w:rsidRDefault="007C3EAF">
      <w:pPr>
        <w:pStyle w:val="Zkladntext"/>
        <w:numPr>
          <w:ilvl w:val="0"/>
          <w:numId w:val="8"/>
        </w:numPr>
        <w:shd w:val="clear" w:color="auto" w:fill="auto"/>
        <w:tabs>
          <w:tab w:val="left" w:pos="476"/>
        </w:tabs>
        <w:spacing w:line="264" w:lineRule="auto"/>
        <w:ind w:left="420" w:hanging="420"/>
      </w:pPr>
      <w:r>
        <w:t xml:space="preserve">Příkazník se zavazuje provádět činnosti v </w:t>
      </w:r>
      <w:r>
        <w:t>rozsahu článku III. odst. 3.1. této smlouvy.</w:t>
      </w:r>
    </w:p>
    <w:p w:rsidR="006000D6" w:rsidRDefault="007C3EAF">
      <w:pPr>
        <w:pStyle w:val="Zkladntext"/>
        <w:numPr>
          <w:ilvl w:val="0"/>
          <w:numId w:val="8"/>
        </w:numPr>
        <w:shd w:val="clear" w:color="auto" w:fill="auto"/>
        <w:tabs>
          <w:tab w:val="left" w:pos="476"/>
        </w:tabs>
        <w:spacing w:line="264" w:lineRule="auto"/>
        <w:ind w:left="420" w:hanging="420"/>
      </w:pPr>
      <w:r>
        <w:t>Smlouvaje uzavřena na dobu určitou, a to s platností od data podpisu této smlouvy, do ukončení předmětu plnění.</w:t>
      </w:r>
    </w:p>
    <w:p w:rsidR="006000D6" w:rsidRDefault="007C3EAF">
      <w:pPr>
        <w:pStyle w:val="Zkladntext"/>
        <w:numPr>
          <w:ilvl w:val="0"/>
          <w:numId w:val="8"/>
        </w:numPr>
        <w:shd w:val="clear" w:color="auto" w:fill="auto"/>
        <w:tabs>
          <w:tab w:val="left" w:pos="476"/>
        </w:tabs>
        <w:spacing w:line="264" w:lineRule="auto"/>
        <w:ind w:left="420" w:hanging="420"/>
      </w:pPr>
      <w:r>
        <w:t>V případě, že dojde k prodloužení doby realizace stavby dohodnuté touto smlouvou z důvodů, které ne</w:t>
      </w:r>
      <w:r>
        <w:t>budou na straně příkazníka, je povinen příkazce vyhotovit písemný návrh dodatku k této smlouvě.</w:t>
      </w:r>
    </w:p>
    <w:p w:rsidR="006000D6" w:rsidRDefault="007C3EAF">
      <w:pPr>
        <w:pStyle w:val="Zkladntext"/>
        <w:numPr>
          <w:ilvl w:val="0"/>
          <w:numId w:val="8"/>
        </w:numPr>
        <w:shd w:val="clear" w:color="auto" w:fill="auto"/>
        <w:tabs>
          <w:tab w:val="left" w:pos="476"/>
        </w:tabs>
        <w:spacing w:line="264" w:lineRule="auto"/>
        <w:ind w:left="420" w:hanging="420"/>
      </w:pPr>
      <w:r>
        <w:t>Příkazce se zavazuje vytvořit podmínky pro to, aby příkazník mohl činnosti v rozsahu čl. III. odst. 3.1. této smlouvy řádně a včas splnit, za uvedené činnosti z</w:t>
      </w:r>
      <w:r>
        <w:t>aplatit příkazníkovi úplatu v dohodnuté výši a v termínech úplaty.</w:t>
      </w:r>
    </w:p>
    <w:p w:rsidR="006000D6" w:rsidRDefault="007C3EAF">
      <w:pPr>
        <w:pStyle w:val="Zkladntext"/>
        <w:shd w:val="clear" w:color="auto" w:fill="auto"/>
        <w:spacing w:line="264" w:lineRule="auto"/>
        <w:ind w:left="420" w:firstLine="20"/>
      </w:pPr>
      <w:r>
        <w:t>V případě, že se vyskytnou neočekávané náklady při zabezpečování dohodnutých činností nad rámec této příkazní smlouvy, projedná toto příkazník s příkazcem a následně příkazník vyhotoví píse</w:t>
      </w:r>
      <w:r>
        <w:t>mný návrh dodatku k této smlouvě.</w:t>
      </w:r>
    </w:p>
    <w:p w:rsidR="006000D6" w:rsidRDefault="007C3EAF">
      <w:pPr>
        <w:pStyle w:val="Zkladntext"/>
        <w:shd w:val="clear" w:color="auto" w:fill="auto"/>
        <w:spacing w:after="820" w:line="264" w:lineRule="auto"/>
        <w:ind w:left="420" w:firstLine="20"/>
      </w:pPr>
      <w:r>
        <w:t>Dodržení doby plnění ze strany příkazníka je závislé na řádném a včasném spolupůsobení příkazce, dohodnutého v této smlouvě. Po dobu prodlení příkazce s poskytnutím spolupůsobení není příkazník v prodlení se splněním předm</w:t>
      </w:r>
      <w:r>
        <w:t>ětu plnění.</w:t>
      </w:r>
    </w:p>
    <w:p w:rsidR="006000D6" w:rsidRDefault="007C3EAF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414"/>
        </w:tabs>
        <w:spacing w:after="40" w:line="262" w:lineRule="auto"/>
        <w:ind w:left="420" w:hanging="420"/>
        <w:jc w:val="both"/>
      </w:pPr>
      <w:bookmarkStart w:id="8" w:name="bookmark7"/>
      <w:r>
        <w:t>Odměna</w:t>
      </w:r>
      <w:bookmarkEnd w:id="8"/>
    </w:p>
    <w:p w:rsidR="006000D6" w:rsidRDefault="007C3EAF">
      <w:pPr>
        <w:pStyle w:val="Zkladntext"/>
        <w:numPr>
          <w:ilvl w:val="0"/>
          <w:numId w:val="9"/>
        </w:numPr>
        <w:shd w:val="clear" w:color="auto" w:fill="auto"/>
        <w:tabs>
          <w:tab w:val="left" w:pos="471"/>
        </w:tabs>
        <w:ind w:left="420" w:hanging="420"/>
      </w:pPr>
      <w:r>
        <w:t>Příkazce zaplatí příkazníkovi vzájemně dohodnutou odměnu za činnost v rozsahu čl. III. odst.</w:t>
      </w:r>
    </w:p>
    <w:p w:rsidR="006000D6" w:rsidRDefault="007C3EAF">
      <w:pPr>
        <w:pStyle w:val="Zkladntext"/>
        <w:numPr>
          <w:ilvl w:val="0"/>
          <w:numId w:val="10"/>
        </w:numPr>
        <w:shd w:val="clear" w:color="auto" w:fill="auto"/>
        <w:tabs>
          <w:tab w:val="left" w:pos="896"/>
        </w:tabs>
        <w:ind w:left="420" w:firstLine="20"/>
      </w:pPr>
      <w:r>
        <w:t xml:space="preserve">po dobu dle článku II. odst. 2.2.4. a 2.2.5. této smlouvy v celkové výši 48 000 Kč bez DPH (58 080 Kč včetně DPH) z toho DPH činí 10 080 Kč. </w:t>
      </w:r>
      <w:r>
        <w:t xml:space="preserve">Odměna bude fakturována měsíční částkou 16 000 Kč bez DPH </w:t>
      </w:r>
      <w:proofErr w:type="gramStart"/>
      <w:r>
        <w:t>( 19</w:t>
      </w:r>
      <w:proofErr w:type="gramEnd"/>
      <w:r>
        <w:t xml:space="preserve"> 360 Kč včetně DPH). Odměna bude fakturována za období jednoho měsíce, počínaje měsícem září a konče měsícem, ve kterém dojde k úspěšnému předání nebo vydání kolaudačního souhlasu díla (stavby).</w:t>
      </w:r>
      <w:r>
        <w:t xml:space="preserve"> Sjednaná odměna rovněž zahrnuje náklady účelně vynaložené příkazníkem při zajišťování záležitosti, jakož i jeho hotové výdaje.</w:t>
      </w:r>
    </w:p>
    <w:p w:rsidR="006000D6" w:rsidRDefault="007C3EAF">
      <w:pPr>
        <w:pStyle w:val="Zkladntext"/>
        <w:numPr>
          <w:ilvl w:val="0"/>
          <w:numId w:val="11"/>
        </w:numPr>
        <w:shd w:val="clear" w:color="auto" w:fill="auto"/>
        <w:tabs>
          <w:tab w:val="left" w:pos="414"/>
        </w:tabs>
        <w:ind w:left="420" w:hanging="420"/>
      </w:pPr>
      <w:r>
        <w:t>Dojde-li na základě změny právních předpisů v průběhu realizace předmětu Smlouvy ke změně sazby DPH, bude k finančnímu plnění be</w:t>
      </w:r>
      <w:r>
        <w:t>z DPH připočteno DPH ve výši dle platných právních předpisů.</w:t>
      </w:r>
    </w:p>
    <w:p w:rsidR="006000D6" w:rsidRDefault="007C3EAF">
      <w:pPr>
        <w:pStyle w:val="Zkladntext"/>
        <w:numPr>
          <w:ilvl w:val="0"/>
          <w:numId w:val="11"/>
        </w:numPr>
        <w:shd w:val="clear" w:color="auto" w:fill="auto"/>
        <w:tabs>
          <w:tab w:val="left" w:pos="414"/>
        </w:tabs>
        <w:ind w:left="420" w:hanging="420"/>
      </w:pPr>
      <w:r>
        <w:t>Sjednané celkové finanční plnění je nejvýše přípustné a kryje zisk a veškeré náklady nezbytné k řádnému a včasnému provedení sjednaných činností.</w:t>
      </w:r>
      <w:r>
        <w:br w:type="page"/>
      </w:r>
    </w:p>
    <w:p w:rsidR="006000D6" w:rsidRDefault="007C3EAF">
      <w:pPr>
        <w:pStyle w:val="Zkladntext"/>
        <w:numPr>
          <w:ilvl w:val="0"/>
          <w:numId w:val="11"/>
        </w:numPr>
        <w:shd w:val="clear" w:color="auto" w:fill="auto"/>
        <w:tabs>
          <w:tab w:val="left" w:pos="415"/>
        </w:tabs>
        <w:spacing w:after="1100" w:line="254" w:lineRule="auto"/>
        <w:ind w:left="420" w:hanging="420"/>
      </w:pPr>
      <w:r>
        <w:lastRenderedPageBreak/>
        <w:t>V případě, že bude zastavena nebo přerušena příp</w:t>
      </w:r>
      <w:r>
        <w:t xml:space="preserve">rava nebo realizace stavby, nebude si </w:t>
      </w:r>
      <w:proofErr w:type="gramStart"/>
      <w:r>
        <w:t>příkazník- nárokovat</w:t>
      </w:r>
      <w:proofErr w:type="gramEnd"/>
      <w:r>
        <w:t xml:space="preserve"> dohodnutou odměnu po dobu přerušení či zastavení stavby.</w:t>
      </w:r>
    </w:p>
    <w:p w:rsidR="006000D6" w:rsidRDefault="007C3EAF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507"/>
        </w:tabs>
        <w:spacing w:after="280"/>
        <w:ind w:left="420" w:hanging="420"/>
        <w:jc w:val="both"/>
      </w:pPr>
      <w:bookmarkStart w:id="9" w:name="bookmark8"/>
      <w:r>
        <w:t>Způsob a forma úhrady</w:t>
      </w:r>
      <w:bookmarkEnd w:id="9"/>
    </w:p>
    <w:p w:rsidR="006000D6" w:rsidRDefault="007C3EAF">
      <w:pPr>
        <w:pStyle w:val="Zkladntext"/>
        <w:numPr>
          <w:ilvl w:val="0"/>
          <w:numId w:val="12"/>
        </w:numPr>
        <w:shd w:val="clear" w:color="auto" w:fill="auto"/>
        <w:tabs>
          <w:tab w:val="left" w:pos="670"/>
        </w:tabs>
        <w:spacing w:after="760" w:line="259" w:lineRule="auto"/>
        <w:ind w:left="420" w:hanging="420"/>
      </w:pPr>
      <w:r>
        <w:t>Příkazce zaplatí příkazníkovi odměnu dohodnutou v čl. V této smlouvy na základě faktur vystavených příkazníkem na níže</w:t>
      </w:r>
      <w:r>
        <w:t xml:space="preserve"> uvedenou fakturační adresu, které budou mít náležitosti daňového dokladu dle zákona č.235/2004 Sb. o dani z přidané hodnoty, ve znění pozdějších předpisů (dále jen „zákon o dani z přidané hodnoty“) a to v měsíčním plnění.</w:t>
      </w:r>
    </w:p>
    <w:p w:rsidR="006000D6" w:rsidRDefault="007C3EAF">
      <w:pPr>
        <w:pStyle w:val="Zkladntext"/>
        <w:shd w:val="clear" w:color="auto" w:fill="auto"/>
        <w:tabs>
          <w:tab w:val="left" w:pos="2701"/>
          <w:tab w:val="left" w:pos="4798"/>
        </w:tabs>
        <w:spacing w:after="60" w:line="240" w:lineRule="auto"/>
        <w:ind w:left="420" w:firstLine="20"/>
        <w:rPr>
          <w:sz w:val="24"/>
          <w:szCs w:val="24"/>
        </w:rPr>
      </w:pPr>
      <w:r>
        <w:t>Fakturační adresa:</w:t>
      </w:r>
      <w:r>
        <w:tab/>
      </w:r>
      <w:proofErr w:type="spellStart"/>
      <w:r>
        <w:rPr>
          <w:i/>
          <w:iCs/>
          <w:color w:val="5A5B89"/>
          <w:sz w:val="24"/>
          <w:szCs w:val="24"/>
        </w:rPr>
        <w:t>OmHlW</w:t>
      </w:r>
      <w:proofErr w:type="spellEnd"/>
      <w:r>
        <w:rPr>
          <w:i/>
          <w:iCs/>
          <w:color w:val="5A5B89"/>
          <w:sz w:val="24"/>
          <w:szCs w:val="24"/>
        </w:rPr>
        <w:tab/>
      </w:r>
      <w:proofErr w:type="spellStart"/>
      <w:r>
        <w:rPr>
          <w:i/>
          <w:iCs/>
          <w:color w:val="5A5B89"/>
          <w:sz w:val="24"/>
          <w:szCs w:val="24"/>
        </w:rPr>
        <w:t>tiPCCiC</w:t>
      </w:r>
      <w:proofErr w:type="spellEnd"/>
      <w:r>
        <w:rPr>
          <w:i/>
          <w:iCs/>
          <w:color w:val="5A5B89"/>
          <w:sz w:val="24"/>
          <w:szCs w:val="24"/>
        </w:rPr>
        <w:t>/</w:t>
      </w:r>
      <w:proofErr w:type="spellStart"/>
      <w:r>
        <w:rPr>
          <w:i/>
          <w:iCs/>
          <w:color w:val="5A5B89"/>
          <w:sz w:val="24"/>
          <w:szCs w:val="24"/>
        </w:rPr>
        <w:t>vť</w:t>
      </w:r>
      <w:proofErr w:type="spellEnd"/>
    </w:p>
    <w:p w:rsidR="006000D6" w:rsidRDefault="007C3EAF">
      <w:pPr>
        <w:pStyle w:val="Zkladntext"/>
        <w:shd w:val="clear" w:color="auto" w:fill="auto"/>
        <w:spacing w:after="180" w:line="240" w:lineRule="auto"/>
        <w:ind w:left="2480"/>
        <w:jc w:val="left"/>
        <w:rPr>
          <w:sz w:val="20"/>
          <w:szCs w:val="20"/>
        </w:rPr>
      </w:pPr>
      <w:proofErr w:type="spellStart"/>
      <w:r>
        <w:rPr>
          <w:i/>
          <w:iCs/>
          <w:color w:val="5A5B89"/>
          <w:sz w:val="20"/>
          <w:szCs w:val="20"/>
          <w:lang w:val="en-US" w:eastAsia="en-US" w:bidi="en-US"/>
        </w:rPr>
        <w:t>WroMi</w:t>
      </w:r>
      <w:proofErr w:type="spellEnd"/>
    </w:p>
    <w:p w:rsidR="006000D6" w:rsidRDefault="007C3EAF">
      <w:pPr>
        <w:pStyle w:val="Zkladntext"/>
        <w:shd w:val="clear" w:color="auto" w:fill="auto"/>
        <w:tabs>
          <w:tab w:val="left" w:pos="4284"/>
        </w:tabs>
        <w:spacing w:after="320" w:line="240" w:lineRule="auto"/>
        <w:ind w:left="2580"/>
        <w:rPr>
          <w:sz w:val="20"/>
          <w:szCs w:val="20"/>
        </w:rPr>
      </w:pPr>
      <w:proofErr w:type="spellStart"/>
      <w:r>
        <w:rPr>
          <w:i/>
          <w:iCs/>
          <w:color w:val="5A5B89"/>
          <w:sz w:val="20"/>
          <w:szCs w:val="20"/>
        </w:rPr>
        <w:t>íč</w:t>
      </w:r>
      <w:proofErr w:type="spellEnd"/>
      <w:r>
        <w:rPr>
          <w:i/>
          <w:iCs/>
          <w:color w:val="5A5B89"/>
          <w:sz w:val="20"/>
          <w:szCs w:val="20"/>
        </w:rPr>
        <w:t>; (X&gt;0 L</w:t>
      </w:r>
      <w:r>
        <w:rPr>
          <w:rFonts w:ascii="Arial" w:eastAsia="Arial" w:hAnsi="Arial" w:cs="Arial"/>
          <w:color w:val="5A5B8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A5B89"/>
          <w:sz w:val="20"/>
          <w:szCs w:val="20"/>
        </w:rPr>
        <w:t>íf</w:t>
      </w:r>
      <w:proofErr w:type="spellEnd"/>
      <w:r>
        <w:rPr>
          <w:rFonts w:ascii="Arial" w:eastAsia="Arial" w:hAnsi="Arial" w:cs="Arial"/>
          <w:color w:val="5A5B89"/>
          <w:sz w:val="20"/>
          <w:szCs w:val="20"/>
        </w:rPr>
        <w:tab/>
      </w:r>
      <w:proofErr w:type="spellStart"/>
      <w:r>
        <w:rPr>
          <w:i/>
          <w:iCs/>
          <w:color w:val="5A5B89"/>
          <w:sz w:val="20"/>
          <w:szCs w:val="20"/>
        </w:rPr>
        <w:t>PiC</w:t>
      </w:r>
      <w:proofErr w:type="spellEnd"/>
      <w:r>
        <w:rPr>
          <w:i/>
          <w:iCs/>
          <w:color w:val="5A5B89"/>
          <w:sz w:val="20"/>
          <w:szCs w:val="20"/>
        </w:rPr>
        <w:t xml:space="preserve"> ■ čí 600 í</w:t>
      </w:r>
    </w:p>
    <w:p w:rsidR="006000D6" w:rsidRDefault="007C3EAF">
      <w:pPr>
        <w:pStyle w:val="Zkladntext"/>
        <w:numPr>
          <w:ilvl w:val="0"/>
          <w:numId w:val="12"/>
        </w:numPr>
        <w:shd w:val="clear" w:color="auto" w:fill="auto"/>
        <w:tabs>
          <w:tab w:val="left" w:pos="536"/>
        </w:tabs>
        <w:ind w:left="420" w:hanging="420"/>
      </w:pPr>
      <w:r>
        <w:t>Náležitosti daňového dokladu dle zákona o dani z přidané hodnoty jsou zejména:</w:t>
      </w:r>
    </w:p>
    <w:p w:rsidR="006000D6" w:rsidRDefault="007C3EAF">
      <w:pPr>
        <w:pStyle w:val="Zkladntext"/>
        <w:numPr>
          <w:ilvl w:val="0"/>
          <w:numId w:val="13"/>
        </w:numPr>
        <w:shd w:val="clear" w:color="auto" w:fill="auto"/>
        <w:tabs>
          <w:tab w:val="left" w:pos="808"/>
        </w:tabs>
        <w:ind w:left="420" w:firstLine="20"/>
      </w:pPr>
      <w:r>
        <w:t>označení daňového dokladu a její číslo,</w:t>
      </w:r>
    </w:p>
    <w:p w:rsidR="006000D6" w:rsidRDefault="007C3EAF">
      <w:pPr>
        <w:pStyle w:val="Zkladntext"/>
        <w:numPr>
          <w:ilvl w:val="0"/>
          <w:numId w:val="13"/>
        </w:numPr>
        <w:shd w:val="clear" w:color="auto" w:fill="auto"/>
        <w:tabs>
          <w:tab w:val="left" w:pos="822"/>
        </w:tabs>
        <w:ind w:left="420" w:firstLine="20"/>
      </w:pPr>
      <w:r>
        <w:t xml:space="preserve">označení </w:t>
      </w:r>
      <w:proofErr w:type="gramStart"/>
      <w:r>
        <w:t>příkazce - název</w:t>
      </w:r>
      <w:proofErr w:type="gramEnd"/>
      <w:r>
        <w:t>, sídlo, IČ a DIČ, bankovní spojení,</w:t>
      </w:r>
    </w:p>
    <w:p w:rsidR="006000D6" w:rsidRDefault="007C3EAF">
      <w:pPr>
        <w:pStyle w:val="Zkladntext"/>
        <w:numPr>
          <w:ilvl w:val="0"/>
          <w:numId w:val="13"/>
        </w:numPr>
        <w:shd w:val="clear" w:color="auto" w:fill="auto"/>
        <w:tabs>
          <w:tab w:val="left" w:pos="822"/>
        </w:tabs>
        <w:ind w:left="420" w:firstLine="20"/>
      </w:pPr>
      <w:r>
        <w:t xml:space="preserve">označení </w:t>
      </w:r>
      <w:proofErr w:type="gramStart"/>
      <w:r>
        <w:t>příkazníka - obchodní</w:t>
      </w:r>
      <w:proofErr w:type="gramEnd"/>
      <w:r>
        <w:t xml:space="preserve"> </w:t>
      </w:r>
      <w:r>
        <w:t>firma, sídlo, IČ a DIČ,</w:t>
      </w:r>
    </w:p>
    <w:p w:rsidR="006000D6" w:rsidRDefault="007C3EAF">
      <w:pPr>
        <w:pStyle w:val="Zkladntext"/>
        <w:numPr>
          <w:ilvl w:val="0"/>
          <w:numId w:val="13"/>
        </w:numPr>
        <w:shd w:val="clear" w:color="auto" w:fill="auto"/>
        <w:tabs>
          <w:tab w:val="left" w:pos="822"/>
        </w:tabs>
        <w:ind w:left="420" w:firstLine="20"/>
      </w:pPr>
      <w:r>
        <w:t>název stavby, číslo smlouvy příkazce a den jejího uzavření,</w:t>
      </w:r>
    </w:p>
    <w:p w:rsidR="006000D6" w:rsidRDefault="007C3EAF">
      <w:pPr>
        <w:pStyle w:val="Zkladntext"/>
        <w:numPr>
          <w:ilvl w:val="0"/>
          <w:numId w:val="13"/>
        </w:numPr>
        <w:shd w:val="clear" w:color="auto" w:fill="auto"/>
        <w:tabs>
          <w:tab w:val="left" w:pos="822"/>
        </w:tabs>
        <w:ind w:left="420" w:firstLine="20"/>
      </w:pPr>
      <w:r>
        <w:t>předmět plnění,</w:t>
      </w:r>
    </w:p>
    <w:p w:rsidR="006000D6" w:rsidRDefault="007C3EAF">
      <w:pPr>
        <w:pStyle w:val="Zkladntext"/>
        <w:shd w:val="clear" w:color="auto" w:fill="auto"/>
        <w:ind w:left="420" w:firstLine="20"/>
      </w:pPr>
      <w:r>
        <w:t xml:space="preserve">í) odměna provedených </w:t>
      </w:r>
      <w:proofErr w:type="gramStart"/>
      <w:r>
        <w:t>prací - fakturovaná</w:t>
      </w:r>
      <w:proofErr w:type="gramEnd"/>
      <w:r>
        <w:t xml:space="preserve"> částka,</w:t>
      </w:r>
    </w:p>
    <w:p w:rsidR="006000D6" w:rsidRDefault="007C3EAF">
      <w:pPr>
        <w:pStyle w:val="Zkladntext"/>
        <w:numPr>
          <w:ilvl w:val="0"/>
          <w:numId w:val="14"/>
        </w:numPr>
        <w:shd w:val="clear" w:color="auto" w:fill="auto"/>
        <w:tabs>
          <w:tab w:val="left" w:pos="818"/>
        </w:tabs>
        <w:ind w:left="420" w:firstLine="20"/>
      </w:pPr>
      <w:r>
        <w:t>DPH v platné výši,</w:t>
      </w:r>
    </w:p>
    <w:p w:rsidR="006000D6" w:rsidRDefault="007C3EAF">
      <w:pPr>
        <w:pStyle w:val="Zkladntext"/>
        <w:numPr>
          <w:ilvl w:val="0"/>
          <w:numId w:val="14"/>
        </w:numPr>
        <w:shd w:val="clear" w:color="auto" w:fill="auto"/>
        <w:tabs>
          <w:tab w:val="left" w:pos="818"/>
        </w:tabs>
        <w:ind w:left="420" w:firstLine="20"/>
      </w:pPr>
      <w:r>
        <w:t>datum vystavení a odeslání faktury,</w:t>
      </w:r>
    </w:p>
    <w:p w:rsidR="006000D6" w:rsidRDefault="007C3EAF">
      <w:pPr>
        <w:pStyle w:val="Zkladntext"/>
        <w:numPr>
          <w:ilvl w:val="0"/>
          <w:numId w:val="14"/>
        </w:numPr>
        <w:shd w:val="clear" w:color="auto" w:fill="auto"/>
        <w:tabs>
          <w:tab w:val="left" w:pos="818"/>
        </w:tabs>
        <w:ind w:left="420" w:firstLine="20"/>
      </w:pPr>
      <w:r>
        <w:t>datum uskutečnění zdanitelného plnění,</w:t>
      </w:r>
    </w:p>
    <w:p w:rsidR="006000D6" w:rsidRDefault="007C3EAF">
      <w:pPr>
        <w:pStyle w:val="Zkladntext"/>
        <w:numPr>
          <w:ilvl w:val="0"/>
          <w:numId w:val="14"/>
        </w:numPr>
        <w:shd w:val="clear" w:color="auto" w:fill="auto"/>
        <w:tabs>
          <w:tab w:val="left" w:pos="818"/>
        </w:tabs>
        <w:ind w:left="420" w:firstLine="20"/>
      </w:pPr>
      <w:r>
        <w:t xml:space="preserve">splatnost </w:t>
      </w:r>
      <w:r>
        <w:t>faktury,</w:t>
      </w:r>
    </w:p>
    <w:p w:rsidR="006000D6" w:rsidRDefault="007C3EAF">
      <w:pPr>
        <w:pStyle w:val="Zkladntext"/>
        <w:numPr>
          <w:ilvl w:val="0"/>
          <w:numId w:val="14"/>
        </w:numPr>
        <w:shd w:val="clear" w:color="auto" w:fill="auto"/>
        <w:tabs>
          <w:tab w:val="left" w:pos="822"/>
        </w:tabs>
        <w:ind w:left="420" w:firstLine="20"/>
      </w:pPr>
      <w:r>
        <w:t>razítko a podpis oprávněné osoby, stvrzující oprávněnost, formální a věcnou správnost faktury.</w:t>
      </w:r>
    </w:p>
    <w:p w:rsidR="006000D6" w:rsidRDefault="007C3EAF">
      <w:pPr>
        <w:pStyle w:val="Zkladntext"/>
        <w:numPr>
          <w:ilvl w:val="0"/>
          <w:numId w:val="12"/>
        </w:numPr>
        <w:shd w:val="clear" w:color="auto" w:fill="auto"/>
        <w:tabs>
          <w:tab w:val="left" w:pos="536"/>
        </w:tabs>
        <w:ind w:left="420" w:hanging="420"/>
      </w:pPr>
      <w:r>
        <w:t>Příkazce nebude poskytovat zálohové plnění.</w:t>
      </w:r>
    </w:p>
    <w:p w:rsidR="006000D6" w:rsidRDefault="007C3EAF">
      <w:pPr>
        <w:pStyle w:val="Zkladntext"/>
        <w:numPr>
          <w:ilvl w:val="0"/>
          <w:numId w:val="12"/>
        </w:numPr>
        <w:shd w:val="clear" w:color="auto" w:fill="auto"/>
        <w:tabs>
          <w:tab w:val="left" w:pos="536"/>
        </w:tabs>
        <w:ind w:left="420" w:hanging="420"/>
      </w:pPr>
      <w:r>
        <w:t>Fakturovanou částku je příkazce povinen uhradit do 14 dní po řádném doručení faktury. Za den úhrady je považ</w:t>
      </w:r>
      <w:r>
        <w:t>ován den, kdy je příkazcem dán příkaz k úhradě, je-li tento následně realizován.</w:t>
      </w:r>
    </w:p>
    <w:p w:rsidR="006000D6" w:rsidRDefault="007C3EAF">
      <w:pPr>
        <w:pStyle w:val="Zkladntext"/>
        <w:numPr>
          <w:ilvl w:val="0"/>
          <w:numId w:val="12"/>
        </w:numPr>
        <w:shd w:val="clear" w:color="auto" w:fill="auto"/>
        <w:tabs>
          <w:tab w:val="left" w:pos="536"/>
        </w:tabs>
        <w:ind w:left="420" w:hanging="420"/>
      </w:pPr>
      <w:r>
        <w:t xml:space="preserve">Příkazník je povinen na faktuře vyznačit smluvní akt, na </w:t>
      </w:r>
      <w:proofErr w:type="gramStart"/>
      <w:r>
        <w:t>základě</w:t>
      </w:r>
      <w:proofErr w:type="gramEnd"/>
      <w:r>
        <w:t xml:space="preserve"> kterého je práce realizována. Faktura dále musí splňovat veškeré náležitosti daňového dokladu. Příkazník musí </w:t>
      </w:r>
      <w:r>
        <w:t>dále uvést označení, pod kterým je registrován v Obchodním rejstříku.</w:t>
      </w:r>
    </w:p>
    <w:p w:rsidR="006000D6" w:rsidRDefault="007C3EAF">
      <w:pPr>
        <w:pStyle w:val="Zkladntext"/>
        <w:numPr>
          <w:ilvl w:val="0"/>
          <w:numId w:val="12"/>
        </w:numPr>
        <w:shd w:val="clear" w:color="auto" w:fill="auto"/>
        <w:tabs>
          <w:tab w:val="left" w:pos="536"/>
        </w:tabs>
        <w:spacing w:after="1320"/>
        <w:ind w:left="420" w:hanging="420"/>
      </w:pPr>
      <w:r>
        <w:t xml:space="preserve">Nebudou-li faktury obsahovat náležitosti dle </w:t>
      </w:r>
      <w:proofErr w:type="spellStart"/>
      <w:r>
        <w:t>ěl</w:t>
      </w:r>
      <w:proofErr w:type="spellEnd"/>
      <w:r>
        <w:t>. 6.2. této smlouvy požadované příkazcem nebo jimi bude účtována neoprávněná výše finančního plnění nebo budou obsahovat nesprávné údaje, j</w:t>
      </w:r>
      <w:r>
        <w:t>e příkazce oprávněn fakturu vrátit příkazníkovi k opravě. V takovém případě se přeruší běh lhůty splatnosti a nová lhůta započne běžet doručením opravené nebo nově vystavené faktury příkazci. Příkazce je povinen fakturu vrátit do data její splatnosti, jina</w:t>
      </w:r>
      <w:r>
        <w:t>k je v prodlení s placením částky, která měla být vyúčtována správně.</w:t>
      </w:r>
    </w:p>
    <w:p w:rsidR="006000D6" w:rsidRDefault="007C3EAF">
      <w:pPr>
        <w:pStyle w:val="Zkladntext"/>
        <w:numPr>
          <w:ilvl w:val="0"/>
          <w:numId w:val="1"/>
        </w:numPr>
        <w:shd w:val="clear" w:color="auto" w:fill="auto"/>
        <w:tabs>
          <w:tab w:val="left" w:pos="670"/>
        </w:tabs>
        <w:spacing w:after="300" w:line="240" w:lineRule="auto"/>
        <w:ind w:left="420" w:hanging="420"/>
        <w:rPr>
          <w:sz w:val="24"/>
          <w:szCs w:val="24"/>
        </w:rPr>
      </w:pPr>
      <w:r>
        <w:rPr>
          <w:b/>
          <w:bCs/>
          <w:sz w:val="24"/>
          <w:szCs w:val="24"/>
        </w:rPr>
        <w:t>Smluvní pokuty</w:t>
      </w:r>
    </w:p>
    <w:p w:rsidR="006000D6" w:rsidRDefault="007C3EAF">
      <w:pPr>
        <w:pStyle w:val="Zkladntext"/>
        <w:shd w:val="clear" w:color="auto" w:fill="auto"/>
        <w:spacing w:line="259" w:lineRule="auto"/>
        <w:jc w:val="right"/>
      </w:pPr>
      <w:r>
        <w:t xml:space="preserve">.1. Za prodloužení realizace stavby, vzniklé prokazatelně vinou příkazníka, uhradí příkazník příkazci smluvní pokutu ve výši </w:t>
      </w:r>
      <w:proofErr w:type="gramStart"/>
      <w:r>
        <w:t>0,2%</w:t>
      </w:r>
      <w:proofErr w:type="gramEnd"/>
      <w:r>
        <w:t xml:space="preserve"> z celkové odměny s DPH /měsíc ceny </w:t>
      </w:r>
      <w:r>
        <w:t xml:space="preserve">uvedené v </w:t>
      </w:r>
      <w:proofErr w:type="spellStart"/>
      <w:r>
        <w:t>čl.V</w:t>
      </w:r>
      <w:proofErr w:type="spellEnd"/>
      <w:r>
        <w:t>. bod</w:t>
      </w:r>
    </w:p>
    <w:p w:rsidR="006000D6" w:rsidRDefault="007C3EAF">
      <w:pPr>
        <w:pStyle w:val="Zkladntext"/>
        <w:numPr>
          <w:ilvl w:val="0"/>
          <w:numId w:val="15"/>
        </w:numPr>
        <w:shd w:val="clear" w:color="auto" w:fill="auto"/>
        <w:tabs>
          <w:tab w:val="left" w:pos="992"/>
        </w:tabs>
        <w:spacing w:line="259" w:lineRule="auto"/>
        <w:ind w:left="420" w:firstLine="20"/>
      </w:pPr>
      <w:r>
        <w:t>této smlouvy za každý den prodlení.</w:t>
      </w:r>
    </w:p>
    <w:p w:rsidR="006000D6" w:rsidRDefault="007C3EAF">
      <w:pPr>
        <w:pStyle w:val="Zkladntext"/>
        <w:numPr>
          <w:ilvl w:val="0"/>
          <w:numId w:val="16"/>
        </w:numPr>
        <w:shd w:val="clear" w:color="auto" w:fill="auto"/>
        <w:tabs>
          <w:tab w:val="left" w:pos="495"/>
        </w:tabs>
        <w:spacing w:after="560" w:line="259" w:lineRule="auto"/>
        <w:ind w:left="420" w:hanging="420"/>
      </w:pPr>
      <w:r>
        <w:t xml:space="preserve">Při prodlení příkazce s úhradou daňových dokladů, zaplatí příkazce příkazníkovi smluvní pokutu ve výši </w:t>
      </w:r>
      <w:proofErr w:type="gramStart"/>
      <w:r>
        <w:t>0,2%</w:t>
      </w:r>
      <w:proofErr w:type="gramEnd"/>
      <w:r>
        <w:t xml:space="preserve"> z dlužné částky za každý den prodlení.</w:t>
      </w:r>
    </w:p>
    <w:p w:rsidR="006000D6" w:rsidRDefault="007C3EAF">
      <w:pPr>
        <w:pStyle w:val="Zkladntext"/>
        <w:numPr>
          <w:ilvl w:val="0"/>
          <w:numId w:val="1"/>
        </w:numPr>
        <w:shd w:val="clear" w:color="auto" w:fill="auto"/>
        <w:tabs>
          <w:tab w:val="left" w:pos="684"/>
        </w:tabs>
        <w:spacing w:after="560" w:line="240" w:lineRule="auto"/>
        <w:ind w:left="420" w:hanging="42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Odpovědnost za škodu</w:t>
      </w:r>
    </w:p>
    <w:p w:rsidR="006000D6" w:rsidRDefault="007C3EAF">
      <w:pPr>
        <w:pStyle w:val="Zkladntext"/>
        <w:numPr>
          <w:ilvl w:val="0"/>
          <w:numId w:val="17"/>
        </w:numPr>
        <w:shd w:val="clear" w:color="auto" w:fill="auto"/>
        <w:tabs>
          <w:tab w:val="left" w:pos="499"/>
        </w:tabs>
        <w:spacing w:line="259" w:lineRule="auto"/>
        <w:ind w:left="420" w:hanging="420"/>
      </w:pPr>
      <w:r>
        <w:t>Příkazník odpovídá za prokazatel</w:t>
      </w:r>
      <w:r>
        <w:t>nou škodu vzniklou příkazci v důsledku porušení jeho povinností. Zejména odpovídá za škodu vzniklou: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76"/>
        </w:tabs>
        <w:spacing w:line="259" w:lineRule="auto"/>
        <w:ind w:left="420" w:firstLine="20"/>
      </w:pPr>
      <w:r>
        <w:t>neodbornou péčí při vyřizování záležitostí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71"/>
        </w:tabs>
        <w:spacing w:line="259" w:lineRule="auto"/>
        <w:ind w:left="420" w:right="1240" w:firstLine="20"/>
        <w:jc w:val="left"/>
      </w:pPr>
      <w:r>
        <w:t>nedodržením pokynů příkazce a jeho zájmů, které zná nebo musí znát vzhledem k obsahu této smlouvy a jejímu účelu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75"/>
        </w:tabs>
        <w:spacing w:line="259" w:lineRule="auto"/>
        <w:ind w:left="420" w:firstLine="20"/>
      </w:pPr>
      <w:proofErr w:type="spellStart"/>
      <w:r>
        <w:t>nezjištěním</w:t>
      </w:r>
      <w:proofErr w:type="spellEnd"/>
      <w:r>
        <w:t xml:space="preserve"> nebo následným neupozorněním na to, že pokyny příkazce jsou v rozporu s vhodným postupem při vyřizování záležitosti, ač toto zjištění a následné upozornění mělo vyplývat z odbornosti příkazníka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71"/>
        </w:tabs>
        <w:spacing w:line="259" w:lineRule="auto"/>
        <w:ind w:left="420" w:firstLine="20"/>
      </w:pPr>
      <w:r>
        <w:t>odchýlením se od pokynů příkazce v případě, že je</w:t>
      </w:r>
      <w:r>
        <w:t xml:space="preserve"> to vyloučeno smlouvou nebo písemným příkazem příkazce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71"/>
        </w:tabs>
        <w:spacing w:line="259" w:lineRule="auto"/>
        <w:ind w:left="420" w:firstLine="20"/>
      </w:pPr>
      <w:r>
        <w:t>neoznámením okolností, které zjistil při zařizování záležitostí a které mohou mít vliv na změnu pokynů příkazce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91"/>
        </w:tabs>
        <w:spacing w:line="259" w:lineRule="auto"/>
        <w:ind w:left="420" w:firstLine="20"/>
      </w:pPr>
      <w:r>
        <w:t>porušením povinnosti zařídit záležitosti osobně, pokud tak stanoví smlouva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71"/>
        </w:tabs>
        <w:spacing w:line="259" w:lineRule="auto"/>
        <w:ind w:left="420" w:firstLine="20"/>
      </w:pPr>
      <w:r>
        <w:t>nepředáním věc</w:t>
      </w:r>
      <w:r>
        <w:t>í příkazci, které za něho převzal a které je mu povinen podle smlouvy bez zbytečného odkladu odevzdat</w:t>
      </w:r>
    </w:p>
    <w:p w:rsidR="006000D6" w:rsidRDefault="007C3EAF">
      <w:pPr>
        <w:pStyle w:val="Zkladntext"/>
        <w:numPr>
          <w:ilvl w:val="0"/>
          <w:numId w:val="18"/>
        </w:numPr>
        <w:shd w:val="clear" w:color="auto" w:fill="auto"/>
        <w:tabs>
          <w:tab w:val="left" w:pos="775"/>
        </w:tabs>
        <w:spacing w:line="259" w:lineRule="auto"/>
        <w:ind w:left="420" w:firstLine="20"/>
      </w:pPr>
      <w:r>
        <w:t xml:space="preserve">pokračováním v činnosti od účinnosti výpovědi této smlouvy, stejně jako neupozorněním příkazce na opatření potřebná k tomu, aby se zabránilo vzniku škody </w:t>
      </w:r>
      <w:r>
        <w:t>bezprostředně hrozící příkazci nedokončením činnosti příkazníka od účinnosti výpovědi</w:t>
      </w:r>
    </w:p>
    <w:p w:rsidR="006000D6" w:rsidRDefault="007C3EAF">
      <w:pPr>
        <w:pStyle w:val="Zkladntext"/>
        <w:numPr>
          <w:ilvl w:val="0"/>
          <w:numId w:val="17"/>
        </w:numPr>
        <w:shd w:val="clear" w:color="auto" w:fill="auto"/>
        <w:tabs>
          <w:tab w:val="left" w:pos="499"/>
        </w:tabs>
        <w:spacing w:after="1340" w:line="259" w:lineRule="auto"/>
        <w:ind w:left="580" w:hanging="580"/>
      </w:pPr>
      <w:r>
        <w:t xml:space="preserve">Příkazce odpovídá za škodu vzniklou při plnění této smlouvy porušením povinností uložených mu smlouvou, zejména tím, že nepředá včas a v potřebném rozsahu příkazníkovi </w:t>
      </w:r>
      <w:r>
        <w:t>věci a informace, jež jsou nutné k vyřízení záležitostí, pokud z jejich povahy nebo ze smlouvy nevyplývá, že je má obstarat příkazník sám.</w:t>
      </w:r>
    </w:p>
    <w:p w:rsidR="006000D6" w:rsidRDefault="007C3EAF">
      <w:pPr>
        <w:pStyle w:val="Zkladntext"/>
        <w:numPr>
          <w:ilvl w:val="0"/>
          <w:numId w:val="1"/>
        </w:numPr>
        <w:shd w:val="clear" w:color="auto" w:fill="auto"/>
        <w:tabs>
          <w:tab w:val="left" w:pos="485"/>
        </w:tabs>
        <w:spacing w:after="340" w:line="240" w:lineRule="auto"/>
        <w:ind w:left="420" w:hanging="420"/>
        <w:rPr>
          <w:sz w:val="24"/>
          <w:szCs w:val="24"/>
        </w:rPr>
      </w:pPr>
      <w:r>
        <w:rPr>
          <w:b/>
          <w:bCs/>
          <w:sz w:val="24"/>
          <w:szCs w:val="24"/>
        </w:rPr>
        <w:t>Ostatní ujednání</w:t>
      </w:r>
    </w:p>
    <w:p w:rsidR="006000D6" w:rsidRDefault="007C3EAF">
      <w:pPr>
        <w:pStyle w:val="Zkladntext"/>
        <w:numPr>
          <w:ilvl w:val="0"/>
          <w:numId w:val="19"/>
        </w:numPr>
        <w:shd w:val="clear" w:color="auto" w:fill="auto"/>
        <w:tabs>
          <w:tab w:val="left" w:pos="499"/>
        </w:tabs>
        <w:ind w:left="420" w:hanging="420"/>
      </w:pPr>
      <w:r>
        <w:t>Příkazník bude informovat příkazce o stavu realizace stavby a jím zabezpečovaných činností na pravid</w:t>
      </w:r>
      <w:r>
        <w:t>elných poradách stavby a odesíláním kopií důležité obchodní i jiné korespondence (objednávky, smlouvy, reklamace, smluvní pokuty a jiné).</w:t>
      </w:r>
    </w:p>
    <w:p w:rsidR="006000D6" w:rsidRDefault="007C3EAF">
      <w:pPr>
        <w:pStyle w:val="Zkladntext"/>
        <w:numPr>
          <w:ilvl w:val="0"/>
          <w:numId w:val="19"/>
        </w:numPr>
        <w:shd w:val="clear" w:color="auto" w:fill="auto"/>
        <w:tabs>
          <w:tab w:val="left" w:pos="499"/>
        </w:tabs>
        <w:ind w:left="420" w:hanging="420"/>
      </w:pPr>
      <w:r>
        <w:t>Příkazce a příkazník se zavazují, že obchodní a technické informace, které jim byly svěřeny smluvním partnerem, nezpří</w:t>
      </w:r>
      <w:r>
        <w:t>stupní třetím osobám bez jeho písemného souhlasu nebo tyto informace nepoužije pro jiné účely.</w:t>
      </w:r>
    </w:p>
    <w:p w:rsidR="006000D6" w:rsidRDefault="007C3EAF">
      <w:pPr>
        <w:pStyle w:val="Zkladntext"/>
        <w:numPr>
          <w:ilvl w:val="0"/>
          <w:numId w:val="19"/>
        </w:numPr>
        <w:shd w:val="clear" w:color="auto" w:fill="auto"/>
        <w:tabs>
          <w:tab w:val="left" w:pos="499"/>
        </w:tabs>
        <w:ind w:left="420" w:hanging="420"/>
      </w:pPr>
      <w:r>
        <w:t>Příkazník poskytuje najím provedenou činnost záruku 24 měsíců, která počíná dnem úspěšného předání díla (stavby), popř. vydání pravomocného kolaudačního souhlasu</w:t>
      </w:r>
      <w:r>
        <w:t>, pokud bude vyžadován. Tato záruka není zárukou na stavební dílo provedené zhotovitelem stavby, pouze na výsledky a produkty činnosti technického dozoru stavebníka a inženýrské činnosti.</w:t>
      </w:r>
    </w:p>
    <w:p w:rsidR="006000D6" w:rsidRDefault="007C3EAF">
      <w:pPr>
        <w:pStyle w:val="Zkladntext"/>
        <w:numPr>
          <w:ilvl w:val="0"/>
          <w:numId w:val="19"/>
        </w:numPr>
        <w:shd w:val="clear" w:color="auto" w:fill="auto"/>
        <w:tabs>
          <w:tab w:val="left" w:pos="499"/>
        </w:tabs>
        <w:ind w:left="420" w:hanging="420"/>
      </w:pPr>
      <w:r>
        <w:t>Příkazník bude při zabezpečování činností podle čl. III. této smlouv</w:t>
      </w:r>
      <w:r>
        <w:t>y postupovat s</w:t>
      </w:r>
    </w:p>
    <w:p w:rsidR="006000D6" w:rsidRDefault="007C3EAF">
      <w:pPr>
        <w:pStyle w:val="Zkladntext"/>
        <w:shd w:val="clear" w:color="auto" w:fill="auto"/>
        <w:ind w:left="420" w:firstLine="20"/>
      </w:pPr>
      <w:r>
        <w:t>odbornou péčí. Svoji činnost bude příkazník uskutečňovat v souladu se zájmy příkazce a podle jeho pokynů, zápisů a dohod oprávněných pracovníků smluvních stran a v souladu s vyjádřeními a rozhodnutími dotčených orgánů státní správy.</w:t>
      </w:r>
    </w:p>
    <w:p w:rsidR="006000D6" w:rsidRDefault="007C3EAF">
      <w:pPr>
        <w:pStyle w:val="Zkladntext"/>
        <w:numPr>
          <w:ilvl w:val="0"/>
          <w:numId w:val="19"/>
        </w:numPr>
        <w:shd w:val="clear" w:color="auto" w:fill="auto"/>
        <w:tabs>
          <w:tab w:val="left" w:pos="504"/>
        </w:tabs>
        <w:spacing w:after="540"/>
        <w:ind w:left="420" w:hanging="420"/>
      </w:pPr>
      <w:r>
        <w:t xml:space="preserve">V rámci </w:t>
      </w:r>
      <w:r>
        <w:t>svého spolupůsobení se příkazce zavazuje, že na vyzvání poskytne v potřebném rozsahu spolupráci při posuzování podkladů, doplňujících údajů, upřesnění, vyjádření a stanovisek. Spolupůsobení poskytne příkazníkovi nejpozději do 7 dnů od jeho vyžádání.</w:t>
      </w:r>
    </w:p>
    <w:p w:rsidR="006000D6" w:rsidRDefault="007C3EAF">
      <w:pPr>
        <w:pStyle w:val="Zkladntext"/>
        <w:numPr>
          <w:ilvl w:val="0"/>
          <w:numId w:val="1"/>
        </w:numPr>
        <w:shd w:val="clear" w:color="auto" w:fill="auto"/>
        <w:tabs>
          <w:tab w:val="left" w:pos="504"/>
        </w:tabs>
        <w:spacing w:after="300" w:line="240" w:lineRule="auto"/>
        <w:ind w:left="560" w:hanging="560"/>
        <w:rPr>
          <w:sz w:val="24"/>
          <w:szCs w:val="24"/>
        </w:rPr>
      </w:pPr>
      <w:r>
        <w:rPr>
          <w:b/>
          <w:bCs/>
          <w:sz w:val="24"/>
          <w:szCs w:val="24"/>
        </w:rPr>
        <w:t>Ukonče</w:t>
      </w:r>
      <w:r>
        <w:rPr>
          <w:b/>
          <w:bCs/>
          <w:sz w:val="24"/>
          <w:szCs w:val="24"/>
        </w:rPr>
        <w:t>ní smlouvy</w:t>
      </w:r>
    </w:p>
    <w:p w:rsidR="006000D6" w:rsidRDefault="007C3EAF">
      <w:pPr>
        <w:pStyle w:val="Zkladntext"/>
        <w:numPr>
          <w:ilvl w:val="0"/>
          <w:numId w:val="20"/>
        </w:numPr>
        <w:shd w:val="clear" w:color="auto" w:fill="auto"/>
        <w:tabs>
          <w:tab w:val="left" w:pos="580"/>
        </w:tabs>
        <w:spacing w:line="264" w:lineRule="auto"/>
        <w:ind w:left="560" w:hanging="560"/>
      </w:pPr>
      <w:r>
        <w:t>Vypoví-li příkazník příkaz před obstaráním záležitosti, kterou byl zvlášť pověřen, nebo s jejímž obstaráním začal podle všeobecného pověření, nahradí škodu z toho vzešlou podle obecných ustanovení občanského zákoníku.</w:t>
      </w:r>
    </w:p>
    <w:p w:rsidR="006000D6" w:rsidRDefault="007C3EAF">
      <w:pPr>
        <w:pStyle w:val="Zkladntext"/>
        <w:numPr>
          <w:ilvl w:val="0"/>
          <w:numId w:val="20"/>
        </w:numPr>
        <w:shd w:val="clear" w:color="auto" w:fill="auto"/>
        <w:tabs>
          <w:tab w:val="left" w:pos="585"/>
        </w:tabs>
        <w:spacing w:line="264" w:lineRule="auto"/>
        <w:ind w:left="560" w:hanging="560"/>
      </w:pPr>
      <w:r>
        <w:lastRenderedPageBreak/>
        <w:t xml:space="preserve">Příkazce může příkaz </w:t>
      </w:r>
      <w:r>
        <w:t>odvolat podle libosti, nahradí však příkazníkovi část odměny přiměřenou vynaložené námaze příkazníka ke dni odvolání příkazu. Část odměny v sobě zahrnuje veškeré účelně a prokazatelně vynaložené náklady příkazníkem ke dni odvolání příkazu.</w:t>
      </w:r>
    </w:p>
    <w:p w:rsidR="006000D6" w:rsidRDefault="007C3EAF">
      <w:pPr>
        <w:pStyle w:val="Zkladntext"/>
        <w:numPr>
          <w:ilvl w:val="0"/>
          <w:numId w:val="20"/>
        </w:numPr>
        <w:shd w:val="clear" w:color="auto" w:fill="auto"/>
        <w:tabs>
          <w:tab w:val="left" w:pos="585"/>
        </w:tabs>
        <w:spacing w:line="264" w:lineRule="auto"/>
        <w:ind w:left="560" w:hanging="560"/>
      </w:pPr>
      <w:r>
        <w:t>Za podstatné por</w:t>
      </w:r>
      <w:r>
        <w:t>ušení této smlouvy se považuje: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791"/>
        </w:tabs>
        <w:spacing w:line="264" w:lineRule="auto"/>
        <w:ind w:left="720" w:hanging="140"/>
        <w:jc w:val="left"/>
      </w:pPr>
      <w:r>
        <w:t xml:space="preserve">nepravdivé prohlášení příkazníka uvedené při předložení cenové nabídky, na </w:t>
      </w:r>
      <w:proofErr w:type="gramStart"/>
      <w:r>
        <w:t>základě</w:t>
      </w:r>
      <w:proofErr w:type="gramEnd"/>
      <w:r>
        <w:t xml:space="preserve"> které je uzavřena tato smlouva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791"/>
        </w:tabs>
        <w:spacing w:line="264" w:lineRule="auto"/>
        <w:ind w:left="720" w:hanging="140"/>
        <w:jc w:val="left"/>
      </w:pPr>
      <w:r>
        <w:t>příkazník je v likvidaci, úpadku nebo v evidenci nespolehlivých plátců DPH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791"/>
        </w:tabs>
        <w:spacing w:line="264" w:lineRule="auto"/>
        <w:ind w:left="720" w:hanging="140"/>
        <w:jc w:val="left"/>
      </w:pPr>
      <w:r>
        <w:t>vůči příkazníkovi je vedeno insolve</w:t>
      </w:r>
      <w:r>
        <w:t>nční řízení, anebo je příkazníkovi známo, nebo by mu mohlo být známo, že taková skutečnost nastane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796"/>
        </w:tabs>
        <w:spacing w:line="264" w:lineRule="auto"/>
        <w:ind w:left="720" w:hanging="140"/>
        <w:jc w:val="left"/>
      </w:pPr>
      <w:r>
        <w:t>prodlení příkazníka ve sjednaných termínech plnění</w:t>
      </w:r>
    </w:p>
    <w:p w:rsidR="006000D6" w:rsidRDefault="007C3EAF">
      <w:pPr>
        <w:pStyle w:val="Zkladntext"/>
        <w:numPr>
          <w:ilvl w:val="0"/>
          <w:numId w:val="6"/>
        </w:numPr>
        <w:shd w:val="clear" w:color="auto" w:fill="auto"/>
        <w:tabs>
          <w:tab w:val="left" w:pos="796"/>
        </w:tabs>
        <w:spacing w:after="500" w:line="264" w:lineRule="auto"/>
        <w:ind w:left="720" w:hanging="140"/>
        <w:jc w:val="left"/>
      </w:pPr>
      <w:r>
        <w:t>vadné plnění nebo vadné dílčí plnění.</w:t>
      </w:r>
    </w:p>
    <w:p w:rsidR="006000D6" w:rsidRDefault="007C3EAF">
      <w:pPr>
        <w:pStyle w:val="Zkladntext"/>
        <w:numPr>
          <w:ilvl w:val="0"/>
          <w:numId w:val="1"/>
        </w:numPr>
        <w:shd w:val="clear" w:color="auto" w:fill="auto"/>
        <w:tabs>
          <w:tab w:val="left" w:pos="504"/>
        </w:tabs>
        <w:spacing w:after="340" w:line="240" w:lineRule="auto"/>
        <w:ind w:left="560" w:hanging="560"/>
        <w:rPr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85"/>
        </w:tabs>
        <w:spacing w:line="264" w:lineRule="auto"/>
        <w:ind w:left="560" w:hanging="560"/>
      </w:pPr>
      <w:r>
        <w:t xml:space="preserve">Tato smlouva se uzavírá na dobu určitou, do </w:t>
      </w:r>
      <w:r>
        <w:t>ukončení předmětu plnění. Ukončením předmětu plnění se rozumí úspěšným předáním, nebo vydáním kolaudačního souhlasu díla (stavby).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85"/>
        </w:tabs>
        <w:spacing w:line="264" w:lineRule="auto"/>
        <w:ind w:left="560" w:hanging="560"/>
      </w:pPr>
      <w:r>
        <w:t>Tuto smlouvu je možné ukončit písemnou dohodou smluvních stran, případně výpovědí kterékoliv ze smluvních stran. Výpovědní do</w:t>
      </w:r>
      <w:r>
        <w:t>ba je jednoměsíční a počíná plynout prvním dnem kalendářního měsíce následujícího po doručení písemného vyhotovení výpovědi druhé smluvní straně.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85"/>
        </w:tabs>
        <w:spacing w:line="264" w:lineRule="auto"/>
        <w:ind w:left="560" w:hanging="560"/>
      </w:pPr>
      <w:r>
        <w:t>Měnit, doplňovat nebo rušit tuto smlouvu je možné jen formou písemných dodatků, které budou platné, jestliže b</w:t>
      </w:r>
      <w:r>
        <w:t>udou řádně potvrzené a podepsané oprávněnými zástupci obou smluvních stran.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85"/>
        </w:tabs>
        <w:spacing w:line="264" w:lineRule="auto"/>
        <w:ind w:left="560" w:hanging="560"/>
      </w:pPr>
      <w:r>
        <w:t>Tato smlouvaje vyhotovena ve dvou stejnopisech, z nichž po jejich vzájemném odsouhlasení obdrží jak příkazce, tak i příkazník jedno vyhotovení.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90"/>
        </w:tabs>
        <w:spacing w:line="264" w:lineRule="auto"/>
        <w:ind w:left="560" w:hanging="560"/>
      </w:pPr>
      <w:r>
        <w:t>Tato smlouva a vztahy zní vyplývajíc</w:t>
      </w:r>
      <w:r>
        <w:t>í se řídí právním řádem České republiky, zejména příslušnými ustanoveními zák. ě. 89/2012 Sb., občanský zákoník, ve znění pozdějších předpisů.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90"/>
        </w:tabs>
        <w:spacing w:line="264" w:lineRule="auto"/>
        <w:ind w:left="560" w:hanging="560"/>
      </w:pPr>
      <w:r>
        <w:t>Účastníci této smlouvy výslovně prohlašují, že jsou obsahem této smlouvy právně vázáni. Současně prohlašují, že p</w:t>
      </w:r>
      <w:r>
        <w:t>ro případ objektivních překážek k dosažení účelu této smlouvy si poskytnou vzájemnou součinnost a budou jednat tak, aby i za změněných podmínek mohlo být tohoto účelu dosaženo. Vědomé uvedení nepravdivých skutečností v této smlouvě zakládá druhé straně prá</w:t>
      </w:r>
      <w:r>
        <w:t>vo odstoupit od smlouvy a požadovat náhradu škody.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90"/>
        </w:tabs>
        <w:spacing w:line="264" w:lineRule="auto"/>
        <w:ind w:left="560" w:hanging="560"/>
        <w:jc w:val="left"/>
      </w:pPr>
      <w:r>
        <w:t xml:space="preserve">Tato smlouva nabývá platnosti dnem jejího podpisu oběma smluvními stranami a účinnosti dnem zveřejnění v registru </w:t>
      </w:r>
      <w:proofErr w:type="spellStart"/>
      <w:proofErr w:type="gramStart"/>
      <w:r>
        <w:t>smluv.Plnění</w:t>
      </w:r>
      <w:proofErr w:type="spellEnd"/>
      <w:proofErr w:type="gramEnd"/>
      <w:r>
        <w:t xml:space="preserve"> předmětu této smlouvy před její účinností se považuje za plnění podle této sml</w:t>
      </w:r>
      <w:r>
        <w:t>ouvy a práva a povinnosti z něj vzniklé se řídí touto smlouvou.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90"/>
        </w:tabs>
        <w:spacing w:line="264" w:lineRule="auto"/>
        <w:ind w:left="560" w:hanging="560"/>
      </w:pPr>
      <w:r>
        <w:t>Smluvní strany berou na vědomí, že tato smlouva vyžaduje ke své účinnosti uveřejnění v registru smluv podle zákona č. 340/2015 Sb., o zvláštních podmínkách účinnosti některých</w:t>
      </w:r>
      <w:r>
        <w:br w:type="page"/>
      </w:r>
      <w:r>
        <w:lastRenderedPageBreak/>
        <w:t>smluv, uveřejňov</w:t>
      </w:r>
      <w:r>
        <w:t>ání těchto smluv a o registru smluv (zákon o registru smluv), ve znění pozdějších předpisů, a prohlašují, že s tímto uveřejněním souhlasí. Za účelem splnění povinnosti uveřejnění této smlouvy se smluvní strany dohodly, že ji do registru smluv zašle příkazc</w:t>
      </w:r>
      <w:r>
        <w:t>e neprodleně, nejdéle však do 15 dnů, po jejím podpisu všemi smluvními stranami.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578"/>
        </w:tabs>
        <w:ind w:left="540" w:right="220" w:hanging="540"/>
      </w:pPr>
      <w:r>
        <w:t>Smluvní strany výslovně souhlasí s tím, aby tato smlouva byla zveřejněna také na oficiálních webových stránkách zadavatele, a to včetně všech případných příloh a dodatků a bez</w:t>
      </w:r>
      <w:r>
        <w:t xml:space="preserve"> časového omezení, s výjimkou informací, které nelze poskytnout při postupu podle předpisů upravujících svobodný přístup k informacím.</w:t>
      </w:r>
    </w:p>
    <w:p w:rsidR="006000D6" w:rsidRDefault="007C3EAF">
      <w:pPr>
        <w:pStyle w:val="Zkladntext"/>
        <w:numPr>
          <w:ilvl w:val="0"/>
          <w:numId w:val="21"/>
        </w:numPr>
        <w:shd w:val="clear" w:color="auto" w:fill="auto"/>
        <w:tabs>
          <w:tab w:val="left" w:pos="682"/>
        </w:tabs>
        <w:ind w:left="540" w:right="220" w:hanging="540"/>
      </w:pPr>
      <w:r>
        <w:t xml:space="preserve">Smluvní strany prohlašují, že skutečnosti uvedené v této smlouvě nepovažují za obchodní tajemství podle § 504 občanského </w:t>
      </w:r>
      <w:r>
        <w:t>zákoníku a udělují svolení k jejich užití a zveřejnění bez stanovení jakýchkoliv dalších podmínek.</w:t>
      </w:r>
    </w:p>
    <w:p w:rsidR="006000D6" w:rsidRDefault="007C3EAF">
      <w:pPr>
        <w:pStyle w:val="Zkladntext"/>
        <w:shd w:val="clear" w:color="auto" w:fill="auto"/>
        <w:ind w:left="640" w:right="220" w:hanging="640"/>
      </w:pPr>
      <w:r>
        <w:t xml:space="preserve">11.11.Smluvní strany níže svým podpisem stvrzují, že si smlouvu před jejím podpisem přečetly, s jejím obsahem souhlasí, a tato je sepsána podle jejich pravé </w:t>
      </w:r>
      <w:r>
        <w:t>a skutečné vůle, srozumitelně a určitě, nikoli v tísni za nápadně nevýhodných podmínek.</w:t>
      </w:r>
    </w:p>
    <w:p w:rsidR="006000D6" w:rsidRDefault="007C3EAF">
      <w:pPr>
        <w:pStyle w:val="Zkladntext"/>
        <w:shd w:val="clear" w:color="auto" w:fill="auto"/>
        <w:spacing w:after="280"/>
        <w:ind w:left="640" w:hanging="640"/>
      </w:pPr>
      <w:r>
        <w:t>11.12. Součástí této smlouvy je:</w:t>
      </w:r>
    </w:p>
    <w:p w:rsidR="006000D6" w:rsidRDefault="007C3EAF">
      <w:pPr>
        <w:pStyle w:val="Zkladntext"/>
        <w:shd w:val="clear" w:color="auto" w:fill="auto"/>
        <w:ind w:left="640" w:firstLine="20"/>
        <w:jc w:val="left"/>
        <w:sectPr w:rsidR="006000D6">
          <w:type w:val="continuous"/>
          <w:pgSz w:w="11900" w:h="16840"/>
          <w:pgMar w:top="180" w:right="1003" w:bottom="1066" w:left="1138" w:header="0" w:footer="3" w:gutter="0"/>
          <w:cols w:space="720"/>
          <w:noEndnote/>
          <w:docGrid w:linePitch="360"/>
        </w:sectPr>
      </w:pPr>
      <w:r>
        <w:t>Příloha č. 1 - Osvědčení o autorizaci</w:t>
      </w:r>
    </w:p>
    <w:p w:rsidR="006000D6" w:rsidRDefault="006000D6">
      <w:pPr>
        <w:spacing w:line="240" w:lineRule="exact"/>
        <w:rPr>
          <w:sz w:val="19"/>
          <w:szCs w:val="19"/>
        </w:rPr>
      </w:pPr>
    </w:p>
    <w:p w:rsidR="006000D6" w:rsidRDefault="006000D6">
      <w:pPr>
        <w:spacing w:before="53" w:after="53" w:line="240" w:lineRule="exact"/>
        <w:rPr>
          <w:sz w:val="19"/>
          <w:szCs w:val="19"/>
        </w:rPr>
      </w:pPr>
    </w:p>
    <w:p w:rsidR="006000D6" w:rsidRDefault="006000D6">
      <w:pPr>
        <w:spacing w:line="14" w:lineRule="exact"/>
        <w:sectPr w:rsidR="006000D6">
          <w:type w:val="continuous"/>
          <w:pgSz w:w="11900" w:h="16840"/>
          <w:pgMar w:top="1201" w:right="0" w:bottom="1201" w:left="0" w:header="0" w:footer="3" w:gutter="0"/>
          <w:cols w:space="720"/>
          <w:noEndnote/>
          <w:docGrid w:linePitch="360"/>
        </w:sectPr>
      </w:pPr>
    </w:p>
    <w:p w:rsidR="006000D6" w:rsidRDefault="007C3EAF">
      <w:pPr>
        <w:pStyle w:val="Zkladntext"/>
        <w:framePr w:w="1219" w:h="293" w:wrap="none" w:vAnchor="text" w:hAnchor="margin" w:x="5564" w:y="135"/>
        <w:shd w:val="clear" w:color="auto" w:fill="auto"/>
        <w:spacing w:line="240" w:lineRule="auto"/>
        <w:jc w:val="left"/>
      </w:pPr>
      <w:r>
        <w:t>V Praze dne</w:t>
      </w:r>
    </w:p>
    <w:p w:rsidR="006000D6" w:rsidRDefault="007C3EAF">
      <w:pPr>
        <w:pStyle w:val="Bodytext20"/>
        <w:framePr w:w="3744" w:h="854" w:wrap="none" w:vAnchor="text" w:hAnchor="margin" w:x="491" w:y="1787"/>
        <w:shd w:val="clear" w:color="auto" w:fill="auto"/>
        <w:spacing w:line="240" w:lineRule="auto"/>
        <w:ind w:left="0"/>
        <w:jc w:val="right"/>
      </w:pPr>
      <w:proofErr w:type="spellStart"/>
      <w:r>
        <w:rPr>
          <w:b/>
          <w:bCs/>
        </w:rPr>
        <w:t>Výžíttfff.iý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i/>
          <w:iCs/>
        </w:rPr>
        <w:t>útfsv</w:t>
      </w:r>
      <w:proofErr w:type="spellEnd"/>
      <w:r>
        <w:rPr>
          <w:b/>
          <w:bCs/>
        </w:rPr>
        <w:t xml:space="preserve">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6000D6" w:rsidRDefault="007C3EAF">
      <w:pPr>
        <w:pStyle w:val="Bodytext20"/>
        <w:framePr w:w="3744" w:h="854" w:wrap="none" w:vAnchor="text" w:hAnchor="margin" w:x="491" w:y="1787"/>
        <w:shd w:val="clear" w:color="auto" w:fill="auto"/>
        <w:spacing w:line="228" w:lineRule="auto"/>
        <w:ind w:left="1560"/>
      </w:pPr>
      <w:r>
        <w:t>Přátelství 815</w:t>
      </w:r>
    </w:p>
    <w:p w:rsidR="006000D6" w:rsidRDefault="007C3EAF">
      <w:pPr>
        <w:pStyle w:val="Bodytext20"/>
        <w:framePr w:w="3744" w:h="854" w:wrap="none" w:vAnchor="text" w:hAnchor="margin" w:x="491" w:y="1787"/>
        <w:shd w:val="clear" w:color="auto" w:fill="auto"/>
        <w:spacing w:line="240" w:lineRule="auto"/>
        <w:ind w:left="0"/>
        <w:jc w:val="right"/>
      </w:pPr>
      <w:r>
        <w:rPr>
          <w:b/>
          <w:bCs/>
        </w:rPr>
        <w:t xml:space="preserve">104 00 </w:t>
      </w:r>
      <w:proofErr w:type="gramStart"/>
      <w:r>
        <w:rPr>
          <w:b/>
          <w:bCs/>
        </w:rPr>
        <w:t>Praha - Uhříněves</w:t>
      </w:r>
      <w:proofErr w:type="gramEnd"/>
      <w:r>
        <w:rPr>
          <w:b/>
          <w:bCs/>
        </w:rPr>
        <w:t xml:space="preserve"> (3)</w:t>
      </w:r>
    </w:p>
    <w:p w:rsidR="006000D6" w:rsidRDefault="007C3EAF">
      <w:pPr>
        <w:pStyle w:val="Zkladntext"/>
        <w:framePr w:w="3744" w:h="854" w:wrap="none" w:vAnchor="text" w:hAnchor="margin" w:x="491" w:y="1787"/>
        <w:shd w:val="clear" w:color="auto" w:fill="auto"/>
        <w:spacing w:line="190" w:lineRule="auto"/>
        <w:jc w:val="left"/>
      </w:pPr>
      <w:r>
        <w:t>příkazce</w:t>
      </w:r>
    </w:p>
    <w:p w:rsidR="006000D6" w:rsidRDefault="007C3EAF">
      <w:pPr>
        <w:pStyle w:val="Picturecaption0"/>
        <w:framePr w:w="653" w:h="288" w:wrap="none" w:vAnchor="text" w:hAnchor="margin" w:x="5732" w:y="1623"/>
        <w:shd w:val="clear" w:color="auto" w:fill="auto"/>
      </w:pPr>
      <w:proofErr w:type="spellStart"/>
      <w:r>
        <w:t>ítj</w:t>
      </w:r>
      <w:proofErr w:type="spellEnd"/>
      <w:r>
        <w:t>-a</w:t>
      </w:r>
    </w:p>
    <w:p w:rsidR="006000D6" w:rsidRDefault="007C3EAF">
      <w:pPr>
        <w:pStyle w:val="Zkladntext"/>
        <w:framePr w:w="2333" w:h="979" w:wrap="none" w:vAnchor="text" w:hAnchor="margin" w:x="6049" w:y="1686"/>
        <w:shd w:val="clear" w:color="auto" w:fill="auto"/>
        <w:spacing w:line="223" w:lineRule="auto"/>
        <w:ind w:firstLine="780"/>
        <w:jc w:val="left"/>
      </w:pPr>
      <w:r>
        <w:rPr>
          <w:rFonts w:ascii="Arial" w:eastAsia="Arial" w:hAnsi="Arial" w:cs="Arial"/>
          <w:strike/>
        </w:rPr>
        <w:t xml:space="preserve">CENTRUM </w:t>
      </w:r>
      <w:proofErr w:type="spellStart"/>
      <w:r>
        <w:rPr>
          <w:rFonts w:ascii="Arial" w:eastAsia="Arial" w:hAnsi="Arial" w:cs="Arial"/>
          <w:strike/>
          <w:sz w:val="20"/>
          <w:szCs w:val="20"/>
        </w:rPr>
        <w:t>a.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strike/>
        </w:rPr>
        <w:t>.o</w:t>
      </w:r>
      <w:proofErr w:type="spellEnd"/>
      <w:r>
        <w:rPr>
          <w:rFonts w:ascii="Arial" w:eastAsia="Arial" w:hAnsi="Arial" w:cs="Arial"/>
          <w:strike/>
        </w:rPr>
        <w:t xml:space="preserve">. </w:t>
      </w:r>
      <w:r>
        <w:t xml:space="preserve">UHĚLNÝ TRH 1/420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110 </w:t>
      </w:r>
      <w:r>
        <w:t>00 PRAHA 1</w:t>
      </w:r>
    </w:p>
    <w:p w:rsidR="00AA6478" w:rsidRDefault="00AA6478">
      <w:pPr>
        <w:spacing w:line="360" w:lineRule="exact"/>
        <w:rPr>
          <w:rFonts w:ascii="Times New Roman" w:eastAsia="Times New Roman" w:hAnsi="Times New Roman" w:cs="Times New Roman"/>
          <w:noProof/>
          <w:sz w:val="22"/>
          <w:szCs w:val="22"/>
        </w:rPr>
      </w:pPr>
    </w:p>
    <w:p w:rsidR="006000D6" w:rsidRDefault="00AA6478">
      <w:pPr>
        <w:spacing w:line="360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229871</wp:posOffset>
            </wp:positionH>
            <wp:positionV relativeFrom="paragraph">
              <wp:posOffset>10795</wp:posOffset>
            </wp:positionV>
            <wp:extent cx="2057400" cy="4762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 rotWithShape="1">
                    <a:blip r:embed="rId8"/>
                    <a:srcRect r="2262" b="57627"/>
                    <a:stretch/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0D6" w:rsidRDefault="006000D6">
      <w:pPr>
        <w:spacing w:line="360" w:lineRule="exact"/>
      </w:pPr>
    </w:p>
    <w:p w:rsidR="006000D6" w:rsidRDefault="006000D6">
      <w:pPr>
        <w:spacing w:line="360" w:lineRule="exact"/>
      </w:pPr>
    </w:p>
    <w:p w:rsidR="006000D6" w:rsidRDefault="006000D6">
      <w:pPr>
        <w:spacing w:line="360" w:lineRule="exact"/>
      </w:pPr>
    </w:p>
    <w:p w:rsidR="006000D6" w:rsidRDefault="006000D6">
      <w:pPr>
        <w:spacing w:line="360" w:lineRule="exact"/>
      </w:pPr>
    </w:p>
    <w:p w:rsidR="006000D6" w:rsidRDefault="006000D6">
      <w:pPr>
        <w:spacing w:line="504" w:lineRule="exact"/>
      </w:pPr>
    </w:p>
    <w:p w:rsidR="006000D6" w:rsidRDefault="006000D6">
      <w:pPr>
        <w:spacing w:line="14" w:lineRule="exact"/>
        <w:sectPr w:rsidR="006000D6">
          <w:type w:val="continuous"/>
          <w:pgSz w:w="11900" w:h="16840"/>
          <w:pgMar w:top="1201" w:right="810" w:bottom="1201" w:left="1424" w:header="0" w:footer="3" w:gutter="0"/>
          <w:cols w:space="720"/>
          <w:noEndnote/>
          <w:docGrid w:linePitch="360"/>
        </w:sectPr>
      </w:pPr>
    </w:p>
    <w:p w:rsidR="006000D6" w:rsidRDefault="007C3EAF">
      <w:pPr>
        <w:pStyle w:val="Heading10"/>
        <w:keepNext/>
        <w:keepLines/>
        <w:shd w:val="clear" w:color="auto" w:fill="auto"/>
      </w:pPr>
      <w:bookmarkStart w:id="10" w:name="bookmark9"/>
      <w:r>
        <w:lastRenderedPageBreak/>
        <w:t>OSVĚDČENÍ O AUTORIZACI</w:t>
      </w:r>
      <w:bookmarkEnd w:id="10"/>
    </w:p>
    <w:p w:rsidR="006000D6" w:rsidRDefault="007C3EAF">
      <w:pPr>
        <w:pStyle w:val="Zkladntext"/>
        <w:shd w:val="clear" w:color="auto" w:fill="auto"/>
        <w:spacing w:after="500" w:line="240" w:lineRule="auto"/>
        <w:ind w:right="220"/>
        <w:jc w:val="center"/>
        <w:rPr>
          <w:sz w:val="24"/>
          <w:szCs w:val="24"/>
        </w:rPr>
      </w:pPr>
      <w:r>
        <w:rPr>
          <w:sz w:val="24"/>
          <w:szCs w:val="24"/>
        </w:rPr>
        <w:t>číslo 8085</w:t>
      </w:r>
    </w:p>
    <w:p w:rsidR="006000D6" w:rsidRDefault="007C3EAF">
      <w:pPr>
        <w:pStyle w:val="Zkladntext"/>
        <w:shd w:val="clear" w:color="auto" w:fill="auto"/>
        <w:spacing w:after="380" w:line="240" w:lineRule="auto"/>
        <w:jc w:val="center"/>
      </w:pPr>
      <w:r>
        <w:t>vydané</w:t>
      </w:r>
    </w:p>
    <w:p w:rsidR="006000D6" w:rsidRDefault="007C3EAF">
      <w:pPr>
        <w:pStyle w:val="Heading50"/>
        <w:keepNext/>
        <w:keepLines/>
        <w:shd w:val="clear" w:color="auto" w:fill="auto"/>
        <w:rPr>
          <w:sz w:val="22"/>
          <w:szCs w:val="22"/>
        </w:rPr>
      </w:pPr>
      <w:bookmarkStart w:id="11" w:name="bookmark10"/>
      <w:r>
        <w:t xml:space="preserve">Českou komorou autorizovaných </w:t>
      </w:r>
      <w:r>
        <w:t>inženýrů a techniků</w:t>
      </w:r>
      <w:r>
        <w:br/>
        <w:t>činných ve výstavbě</w:t>
      </w:r>
      <w:r>
        <w:br/>
      </w:r>
      <w:r>
        <w:rPr>
          <w:sz w:val="22"/>
          <w:szCs w:val="22"/>
        </w:rPr>
        <w:t>podle zákona ČNR č. 360/1992 Sb.</w:t>
      </w:r>
      <w:bookmarkEnd w:id="11"/>
    </w:p>
    <w:p w:rsidR="006000D6" w:rsidRDefault="007C3EAF">
      <w:pPr>
        <w:pStyle w:val="Bodytext40"/>
        <w:shd w:val="clear" w:color="auto" w:fill="auto"/>
        <w:spacing w:after="0" w:line="293" w:lineRule="auto"/>
      </w:pPr>
      <w:r>
        <w:t>Ing. Josef Maňhal</w:t>
      </w:r>
    </w:p>
    <w:p w:rsidR="006000D6" w:rsidRDefault="007C3EAF">
      <w:pPr>
        <w:pStyle w:val="Zkladntext"/>
        <w:shd w:val="clear" w:color="auto" w:fill="auto"/>
        <w:spacing w:after="140" w:line="319" w:lineRule="auto"/>
        <w:jc w:val="center"/>
      </w:pPr>
      <w:r>
        <w:t>jméno a příjmení</w:t>
      </w:r>
    </w:p>
    <w:p w:rsidR="006000D6" w:rsidRDefault="007C3EAF">
      <w:pPr>
        <w:pStyle w:val="Zkladntext"/>
        <w:shd w:val="clear" w:color="auto" w:fill="auto"/>
        <w:spacing w:after="380" w:line="319" w:lineRule="auto"/>
        <w:jc w:val="center"/>
      </w:pPr>
      <w:r>
        <w:br/>
        <w:t>rodné číslo</w:t>
      </w:r>
    </w:p>
    <w:p w:rsidR="006000D6" w:rsidRDefault="007C3EAF">
      <w:pPr>
        <w:pStyle w:val="Zkladntext"/>
        <w:shd w:val="clear" w:color="auto" w:fill="auto"/>
        <w:spacing w:after="1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je</w:t>
      </w:r>
    </w:p>
    <w:p w:rsidR="006000D6" w:rsidRDefault="007C3EAF">
      <w:pPr>
        <w:pStyle w:val="Heading40"/>
        <w:keepNext/>
        <w:keepLines/>
        <w:shd w:val="clear" w:color="auto" w:fill="auto"/>
      </w:pPr>
      <w:bookmarkStart w:id="12" w:name="bookmark11"/>
      <w:r>
        <w:t>autorizovaným inženýrem</w:t>
      </w:r>
      <w:bookmarkEnd w:id="12"/>
    </w:p>
    <w:p w:rsidR="006000D6" w:rsidRDefault="007C3EAF">
      <w:pPr>
        <w:pStyle w:val="Zkladntext"/>
        <w:shd w:val="clear" w:color="auto" w:fill="auto"/>
        <w:spacing w:after="5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 oboru</w:t>
      </w:r>
    </w:p>
    <w:p w:rsidR="006000D6" w:rsidRDefault="007C3EAF">
      <w:pPr>
        <w:pStyle w:val="Bodytext40"/>
        <w:shd w:val="clear" w:color="auto" w:fill="auto"/>
        <w:spacing w:after="440" w:line="240" w:lineRule="auto"/>
      </w:pPr>
      <w:r>
        <w:t>pozemní stavby</w:t>
      </w:r>
    </w:p>
    <w:p w:rsidR="006000D6" w:rsidRDefault="007C3EAF">
      <w:pPr>
        <w:pStyle w:val="Zkladntext"/>
        <w:shd w:val="clear" w:color="auto" w:fill="auto"/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>V seznamu autorizovaných osob vedeném ČKAIT je veden pod číslem</w:t>
      </w:r>
    </w:p>
    <w:p w:rsidR="006000D6" w:rsidRDefault="007C3EAF">
      <w:pPr>
        <w:pStyle w:val="Zkladntext"/>
        <w:shd w:val="clear" w:color="auto" w:fill="auto"/>
        <w:spacing w:line="276" w:lineRule="auto"/>
        <w:jc w:val="center"/>
      </w:pPr>
      <w:r>
        <w:t>0003499</w:t>
      </w:r>
    </w:p>
    <w:p w:rsidR="006000D6" w:rsidRDefault="007C3EAF">
      <w:pPr>
        <w:pStyle w:val="Zkladntext"/>
        <w:shd w:val="clear" w:color="auto" w:fill="auto"/>
        <w:spacing w:after="1460" w:line="254" w:lineRule="auto"/>
        <w:ind w:left="2920" w:hanging="2380"/>
        <w:jc w:val="lef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4298315</wp:posOffset>
            </wp:positionH>
            <wp:positionV relativeFrom="paragraph">
              <wp:posOffset>203200</wp:posOffset>
            </wp:positionV>
            <wp:extent cx="1109345" cy="1109345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je oprávněn užívat autorizační razítko, jehož kontrolní otisk je uveden zde:</w:t>
      </w:r>
    </w:p>
    <w:p w:rsidR="006000D6" w:rsidRDefault="007C3EAF">
      <w:pPr>
        <w:pStyle w:val="Zkladntext"/>
        <w:shd w:val="clear" w:color="auto" w:fill="auto"/>
        <w:tabs>
          <w:tab w:val="left" w:pos="3226"/>
        </w:tabs>
        <w:spacing w:after="38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139700</wp:posOffset>
                </wp:positionV>
                <wp:extent cx="963295" cy="81407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B89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6000D6" w:rsidRDefault="007C3EAF">
                            <w:pPr>
                              <w:pStyle w:val="Bodytext30"/>
                              <w:shd w:val="clear" w:color="auto" w:fill="auto"/>
                              <w:tabs>
                                <w:tab w:val="left" w:pos="1110"/>
                              </w:tabs>
                              <w:ind w:right="0"/>
                            </w:pPr>
                            <w:r>
                              <w:t>'</w:t>
                            </w:r>
                            <w:proofErr w:type="spellStart"/>
                            <w:r>
                              <w:t>ifr</w:t>
                            </w:r>
                            <w:proofErr w:type="spellEnd"/>
                            <w:r>
                              <w:tab/>
                              <w:t>*</w:t>
                            </w:r>
                          </w:p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line="18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mallCaps/>
                                <w:color w:val="5A5B89"/>
                                <w:sz w:val="40"/>
                                <w:szCs w:val="40"/>
                              </w:rPr>
                              <w:t>'cesií</w:t>
                            </w:r>
                            <w:r>
                              <w:rPr>
                                <w:color w:val="5A5B8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A5B89"/>
                                <w:sz w:val="24"/>
                                <w:szCs w:val="24"/>
                              </w:rPr>
                              <w:t>KOXoiu</w:t>
                            </w:r>
                            <w:proofErr w:type="spellEnd"/>
                            <w:r>
                              <w:rPr>
                                <w:color w:val="5A5B89"/>
                                <w:sz w:val="24"/>
                                <w:szCs w:val="24"/>
                              </w:rPr>
                              <w:t>''</w:t>
                            </w:r>
                          </w:p>
                          <w:p w:rsidR="006000D6" w:rsidRDefault="007C3EAF">
                            <w:pPr>
                              <w:pStyle w:val="Bodytext30"/>
                              <w:shd w:val="clear" w:color="auto" w:fill="auto"/>
                            </w:pPr>
                            <w:r>
                              <w:t xml:space="preserve">AUTORIZOVANÝCH </w:t>
                            </w:r>
                            <w:proofErr w:type="spellStart"/>
                            <w:r>
                              <w:t>tóENVRŮATfcCHNIKÚ</w:t>
                            </w:r>
                            <w:proofErr w:type="spellEnd"/>
                            <w:r>
                              <w:t xml:space="preserve"> ČINNÝCH VE YÝSIAVBĚ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left:0;text-align:left;margin-left:87.9pt;margin-top:11pt;width:75.85pt;height:64.1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" filled="f" stroked="f">
                <v:textbox style="mso-fit-shape-to-text:t" inset="0,0,0,0">
                  <w:txbxContent>
                    <w:p w:rsidR="006000D6" w:rsidRDefault="007C3EAF">
                      <w:pPr>
                        <w:pStyle w:val="Zkladntext"/>
                        <w:shd w:val="clear" w:color="auto" w:fill="auto"/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B89"/>
                          <w:sz w:val="24"/>
                          <w:szCs w:val="24"/>
                        </w:rPr>
                        <w:t>*</w:t>
                      </w:r>
                    </w:p>
                    <w:p w:rsidR="006000D6" w:rsidRDefault="007C3EAF">
                      <w:pPr>
                        <w:pStyle w:val="Bodytext30"/>
                        <w:shd w:val="clear" w:color="auto" w:fill="auto"/>
                        <w:tabs>
                          <w:tab w:val="left" w:pos="1110"/>
                        </w:tabs>
                        <w:ind w:right="0"/>
                      </w:pPr>
                      <w:r>
                        <w:t>'</w:t>
                      </w:r>
                      <w:proofErr w:type="spellStart"/>
                      <w:r>
                        <w:t>ifr</w:t>
                      </w:r>
                      <w:proofErr w:type="spellEnd"/>
                      <w:r>
                        <w:tab/>
                        <w:t>*</w:t>
                      </w:r>
                    </w:p>
                    <w:p w:rsidR="006000D6" w:rsidRDefault="007C3EAF">
                      <w:pPr>
                        <w:pStyle w:val="Zkladntext"/>
                        <w:shd w:val="clear" w:color="auto" w:fill="auto"/>
                        <w:spacing w:line="18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mallCaps/>
                          <w:color w:val="5A5B89"/>
                          <w:sz w:val="40"/>
                          <w:szCs w:val="40"/>
                        </w:rPr>
                        <w:t>'cesií</w:t>
                      </w:r>
                      <w:r>
                        <w:rPr>
                          <w:color w:val="5A5B8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A5B89"/>
                          <w:sz w:val="24"/>
                          <w:szCs w:val="24"/>
                        </w:rPr>
                        <w:t>KOXoiu</w:t>
                      </w:r>
                      <w:proofErr w:type="spellEnd"/>
                      <w:r>
                        <w:rPr>
                          <w:color w:val="5A5B89"/>
                          <w:sz w:val="24"/>
                          <w:szCs w:val="24"/>
                        </w:rPr>
                        <w:t>''</w:t>
                      </w:r>
                    </w:p>
                    <w:p w:rsidR="006000D6" w:rsidRDefault="007C3EAF">
                      <w:pPr>
                        <w:pStyle w:val="Bodytext30"/>
                        <w:shd w:val="clear" w:color="auto" w:fill="auto"/>
                      </w:pPr>
                      <w:r>
                        <w:t xml:space="preserve">AUTORIZOVANÝCH </w:t>
                      </w:r>
                      <w:proofErr w:type="spellStart"/>
                      <w:r>
                        <w:t>tóENVRŮATfcCHNIKÚ</w:t>
                      </w:r>
                      <w:proofErr w:type="spellEnd"/>
                      <w:r>
                        <w:t xml:space="preserve"> ČINNÝCH VE YÝSIAVBĚ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4840" distB="0" distL="114300" distR="217805" simplePos="0" relativeHeight="125829390" behindDoc="0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701040</wp:posOffset>
                </wp:positionV>
                <wp:extent cx="1109345" cy="40259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00D6" w:rsidRDefault="007C3EAF">
                            <w:pPr>
                              <w:pStyle w:val="Zkladntext"/>
                              <w:shd w:val="clear" w:color="auto" w:fill="auto"/>
                              <w:spacing w:line="283" w:lineRule="auto"/>
                            </w:pPr>
                            <w:r>
                              <w:t>Ing. Václav Mach předseda ČKAIT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0" type="#_x0000_t202" style="position:absolute;left:0;text-align:left;margin-left:425.3pt;margin-top:55.2pt;width:87.35pt;height:31.7pt;z-index:125829390;visibility:visible;mso-wrap-style:square;mso-wrap-distance-left:9pt;mso-wrap-distance-top:49.2pt;mso-wrap-distance-right:17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" filled="f" stroked="f">
                <v:textbox style="mso-fit-shape-to-text:t" inset="0,0,0,0">
                  <w:txbxContent>
                    <w:p w:rsidR="006000D6" w:rsidRDefault="007C3EAF">
                      <w:pPr>
                        <w:pStyle w:val="Zkladntext"/>
                        <w:shd w:val="clear" w:color="auto" w:fill="auto"/>
                        <w:spacing w:line="283" w:lineRule="auto"/>
                      </w:pPr>
                      <w:r>
                        <w:t>Ing. Václav Mach předseda ČKAIT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4"/>
          <w:szCs w:val="24"/>
        </w:rPr>
        <w:t>Autorizace j e udělena ke dni</w:t>
      </w:r>
      <w:r>
        <w:rPr>
          <w:sz w:val="24"/>
          <w:szCs w:val="24"/>
        </w:rPr>
        <w:tab/>
        <w:t>14.11.94</w:t>
      </w:r>
    </w:p>
    <w:sectPr w:rsidR="006000D6">
      <w:pgSz w:w="11900" w:h="16840"/>
      <w:pgMar w:top="1976" w:right="1916" w:bottom="773" w:left="2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C3EAF">
      <w:r>
        <w:separator/>
      </w:r>
    </w:p>
  </w:endnote>
  <w:endnote w:type="continuationSeparator" w:id="0">
    <w:p w:rsidR="00000000" w:rsidRDefault="007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0D6" w:rsidRDefault="006000D6"/>
  </w:footnote>
  <w:footnote w:type="continuationSeparator" w:id="0">
    <w:p w:rsidR="006000D6" w:rsidRDefault="006000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23F"/>
    <w:multiLevelType w:val="multilevel"/>
    <w:tmpl w:val="4B5C67F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B04DD"/>
    <w:multiLevelType w:val="multilevel"/>
    <w:tmpl w:val="8724FD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81F6D"/>
    <w:multiLevelType w:val="multilevel"/>
    <w:tmpl w:val="8D544FB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6D2DBF"/>
    <w:multiLevelType w:val="multilevel"/>
    <w:tmpl w:val="8D2C71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812A8D"/>
    <w:multiLevelType w:val="multilevel"/>
    <w:tmpl w:val="3B1CED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52B45"/>
    <w:multiLevelType w:val="multilevel"/>
    <w:tmpl w:val="5DCA9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A7718A"/>
    <w:multiLevelType w:val="multilevel"/>
    <w:tmpl w:val="06C643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2F50F2"/>
    <w:multiLevelType w:val="multilevel"/>
    <w:tmpl w:val="24FC1B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5F4162"/>
    <w:multiLevelType w:val="multilevel"/>
    <w:tmpl w:val="223A6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3D248F"/>
    <w:multiLevelType w:val="multilevel"/>
    <w:tmpl w:val="55783C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3C18DD"/>
    <w:multiLevelType w:val="multilevel"/>
    <w:tmpl w:val="1152CB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232009"/>
    <w:multiLevelType w:val="multilevel"/>
    <w:tmpl w:val="775A1F4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62BBD"/>
    <w:multiLevelType w:val="multilevel"/>
    <w:tmpl w:val="422022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856370"/>
    <w:multiLevelType w:val="multilevel"/>
    <w:tmpl w:val="09CC4C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F12B7B"/>
    <w:multiLevelType w:val="multilevel"/>
    <w:tmpl w:val="6C986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6C3F66"/>
    <w:multiLevelType w:val="multilevel"/>
    <w:tmpl w:val="E66ECE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0947DB"/>
    <w:multiLevelType w:val="multilevel"/>
    <w:tmpl w:val="AD2868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911BE6"/>
    <w:multiLevelType w:val="multilevel"/>
    <w:tmpl w:val="16BA5C8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3068A1"/>
    <w:multiLevelType w:val="multilevel"/>
    <w:tmpl w:val="6908C8F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991361"/>
    <w:multiLevelType w:val="multilevel"/>
    <w:tmpl w:val="3DD0D34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7A0A4A"/>
    <w:multiLevelType w:val="multilevel"/>
    <w:tmpl w:val="C84CABB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5"/>
  </w:num>
  <w:num w:numId="5">
    <w:abstractNumId w:val="10"/>
  </w:num>
  <w:num w:numId="6">
    <w:abstractNumId w:val="14"/>
  </w:num>
  <w:num w:numId="7">
    <w:abstractNumId w:val="19"/>
  </w:num>
  <w:num w:numId="8">
    <w:abstractNumId w:val="12"/>
  </w:num>
  <w:num w:numId="9">
    <w:abstractNumId w:val="3"/>
  </w:num>
  <w:num w:numId="10">
    <w:abstractNumId w:val="6"/>
  </w:num>
  <w:num w:numId="11">
    <w:abstractNumId w:val="15"/>
  </w:num>
  <w:num w:numId="12">
    <w:abstractNumId w:val="13"/>
  </w:num>
  <w:num w:numId="13">
    <w:abstractNumId w:val="8"/>
  </w:num>
  <w:num w:numId="14">
    <w:abstractNumId w:val="17"/>
  </w:num>
  <w:num w:numId="15">
    <w:abstractNumId w:val="4"/>
  </w:num>
  <w:num w:numId="16">
    <w:abstractNumId w:val="20"/>
  </w:num>
  <w:num w:numId="17">
    <w:abstractNumId w:val="0"/>
  </w:num>
  <w:num w:numId="18">
    <w:abstractNumId w:val="7"/>
  </w:num>
  <w:num w:numId="19">
    <w:abstractNumId w:val="2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D6"/>
    <w:rsid w:val="006000D6"/>
    <w:rsid w:val="007C3EAF"/>
    <w:rsid w:val="00A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1DEF"/>
  <w15:docId w15:val="{CB3FAE60-7405-44E4-8605-D13BB0CC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A8BC2"/>
      <w:sz w:val="17"/>
      <w:szCs w:val="17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6">
    <w:name w:val="Heading #6_"/>
    <w:basedOn w:val="Standardnpsmoodstavce"/>
    <w:link w:val="Heading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5A5B89"/>
      <w:sz w:val="11"/>
      <w:szCs w:val="11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7" w:lineRule="auto"/>
      <w:ind w:left="20"/>
    </w:pPr>
    <w:rPr>
      <w:rFonts w:ascii="Arial" w:eastAsia="Arial" w:hAnsi="Arial" w:cs="Arial"/>
      <w:color w:val="4A8BC2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80"/>
      <w:ind w:left="3240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after="260" w:line="259" w:lineRule="auto"/>
      <w:ind w:left="41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40"/>
      <w:ind w:right="280"/>
      <w:jc w:val="right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83" w:lineRule="auto"/>
      <w:ind w:right="160" w:firstLine="160"/>
      <w:jc w:val="both"/>
    </w:pPr>
    <w:rPr>
      <w:rFonts w:ascii="Arial" w:eastAsia="Arial" w:hAnsi="Arial" w:cs="Arial"/>
      <w:b/>
      <w:bCs/>
      <w:color w:val="5A5B89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500"/>
      <w:ind w:left="680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after="1080" w:line="293" w:lineRule="auto"/>
      <w:jc w:val="center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66" w:lineRule="auto"/>
      <w:jc w:val="center"/>
    </w:pPr>
    <w:rPr>
      <w:rFonts w:ascii="Arial" w:eastAsia="Arial" w:hAnsi="Arial" w:cs="Arial"/>
      <w:b/>
      <w:bCs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16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2447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2020-12-03T10:13:00Z</dcterms:created>
  <dcterms:modified xsi:type="dcterms:W3CDTF">2020-12-03T10:24:00Z</dcterms:modified>
</cp:coreProperties>
</file>