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*KKHKX017ITNE*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KKHKX017ITNE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DO2000215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General Public s.r.o.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Hybešova 167/18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36005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Karlovy Vary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04788800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CZ04788800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27.11.2020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15.12.2020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  <w:br/>
              <w:t>- respirator FFP2 (balení po 10 kusech)                                   5000 ks      á 17,90 bez DPH</w:t>
              <w:br/>
              <w:br/>
              <w:t>Celkem          108 295,- Kč vč. DPH + dopravné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109582,00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