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C8" w:rsidRDefault="0040190A">
      <w:pPr>
        <w:spacing w:after="120" w:line="259" w:lineRule="auto"/>
        <w:ind w:left="43" w:right="0" w:firstLine="0"/>
        <w:jc w:val="center"/>
      </w:pPr>
      <w:r>
        <w:rPr>
          <w:sz w:val="26"/>
        </w:rPr>
        <w:t>Darovací smlouva</w:t>
      </w:r>
    </w:p>
    <w:p w:rsidR="007241C8" w:rsidRDefault="0040190A">
      <w:pPr>
        <w:pStyle w:val="Nadpis1"/>
        <w:numPr>
          <w:ilvl w:val="0"/>
          <w:numId w:val="0"/>
        </w:numPr>
        <w:spacing w:after="218"/>
        <w:ind w:left="312" w:right="273"/>
      </w:pPr>
      <w:r>
        <w:t>číslo PTV-20-012-SPP</w:t>
      </w:r>
    </w:p>
    <w:p w:rsidR="007241C8" w:rsidRDefault="0040190A">
      <w:pPr>
        <w:tabs>
          <w:tab w:val="center" w:pos="417"/>
          <w:tab w:val="center" w:pos="2464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  <w:t>Dárce</w:t>
      </w:r>
      <w:r>
        <w:rPr>
          <w:sz w:val="22"/>
        </w:rPr>
        <w:tab/>
        <w:t>ŠKODA AUTO a.s.</w:t>
      </w:r>
    </w:p>
    <w:p w:rsidR="007241C8" w:rsidRDefault="0040190A">
      <w:pPr>
        <w:spacing w:after="692" w:line="216" w:lineRule="auto"/>
        <w:ind w:firstLine="14"/>
        <w:jc w:val="left"/>
      </w:pPr>
      <w:r>
        <w:t xml:space="preserve">se sídlem: tř. Václava Klementa 869, Mladá Boleslav </w:t>
      </w:r>
      <w:proofErr w:type="spellStart"/>
      <w:r>
        <w:t>Il</w:t>
      </w:r>
      <w:proofErr w:type="spellEnd"/>
      <w:r>
        <w:t xml:space="preserve">, 293 01 Mladá Boleslav IČO: 00177041 DIC: </w:t>
      </w:r>
      <w:proofErr w:type="spellStart"/>
      <w:r>
        <w:t>czooł</w:t>
      </w:r>
      <w:proofErr w:type="spellEnd"/>
      <w:r>
        <w:t xml:space="preserve"> 77041 zapsaná v obchodním rejstříku u Městského soudu v Praze, odd. B, </w:t>
      </w:r>
      <w:proofErr w:type="spellStart"/>
      <w:r>
        <w:t>vl</w:t>
      </w:r>
      <w:proofErr w:type="spellEnd"/>
      <w:r>
        <w:t>. 332 zastoupená: Ing. Pavel Hlaváč, vedoucí SP - Plánování lidských zdrojů a In</w:t>
      </w:r>
      <w:r>
        <w:t xml:space="preserve">g. Hana </w:t>
      </w:r>
      <w:proofErr w:type="spellStart"/>
      <w:r>
        <w:t>Kurzweilová</w:t>
      </w:r>
      <w:proofErr w:type="spellEnd"/>
      <w:r>
        <w:t xml:space="preserve">, vedoucí ST - Komplexní péče o MGMT,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7241C8" w:rsidRDefault="0040190A">
      <w:pPr>
        <w:spacing w:after="267"/>
        <w:ind w:left="1676" w:right="820" w:hanging="1525"/>
      </w:pPr>
      <w:r>
        <w:t>Obdarovaný Dům dětí a mládeže Rychnov nad Kněžnou se sídlem: Poláčkovo náměstí 88, 516 01 Rychnov nad Kněžnou IČO: 71235698 DIČ: CZ 71235698 zapsaná v obchodním rejstříku u Krajskéh</w:t>
      </w:r>
      <w:r>
        <w:t xml:space="preserve">o soudu v Hradci Králové, odd. </w:t>
      </w:r>
      <w:proofErr w:type="spellStart"/>
      <w:r>
        <w:t>Pr</w:t>
      </w:r>
      <w:proofErr w:type="spellEnd"/>
      <w:r>
        <w:t xml:space="preserve">, </w:t>
      </w:r>
      <w:proofErr w:type="spellStart"/>
      <w:r>
        <w:t>vl</w:t>
      </w:r>
      <w:proofErr w:type="spellEnd"/>
      <w:r>
        <w:t xml:space="preserve">. 869 číslo účtu: 78-8970890207/0100 název banky a adresa: Komerční </w:t>
      </w:r>
      <w:proofErr w:type="spellStart"/>
      <w:r>
        <w:t>banka,a.</w:t>
      </w:r>
      <w:proofErr w:type="gramStart"/>
      <w:r>
        <w:t>s.Staré</w:t>
      </w:r>
      <w:proofErr w:type="spellEnd"/>
      <w:proofErr w:type="gramEnd"/>
      <w:r>
        <w:t xml:space="preserve"> náměstí 65, 516 Ol Rychnov nad Kněžnou IBAN: CZ87010000007889088970890207 SWIFT:KOMBCZPPXXX zastupuje: Josef Solár, ředitel kontaktní e</w:t>
      </w:r>
      <w:r>
        <w:t>-mail: decko.rk@seznam.cz, solar.josef@seznam.cz</w:t>
      </w:r>
    </w:p>
    <w:p w:rsidR="007241C8" w:rsidRDefault="0040190A">
      <w:pPr>
        <w:spacing w:after="238"/>
        <w:ind w:left="36" w:right="3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6172208</wp:posOffset>
            </wp:positionH>
            <wp:positionV relativeFrom="page">
              <wp:posOffset>465967</wp:posOffset>
            </wp:positionV>
            <wp:extent cx="831489" cy="840568"/>
            <wp:effectExtent l="0" t="0" r="0" b="0"/>
            <wp:wrapTopAndBottom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489" cy="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uzavírají v souladu s </w:t>
      </w:r>
      <w:proofErr w:type="spellStart"/>
      <w:r>
        <w:t>S</w:t>
      </w:r>
      <w:proofErr w:type="spellEnd"/>
      <w:r>
        <w:t xml:space="preserve"> 2055 a násl. zákona č. 89/2012 Sb., občanský zákoník (dále jako „občanský zákoník” nebo „OZ") tuto darovací smlouvu (dále jen „smlouva"):</w:t>
      </w:r>
    </w:p>
    <w:p w:rsidR="007241C8" w:rsidRDefault="0040190A">
      <w:pPr>
        <w:pStyle w:val="Nadpis1"/>
        <w:spacing w:after="126"/>
        <w:ind w:left="467" w:right="302" w:hanging="165"/>
      </w:pPr>
      <w:r>
        <w:t>Předmět smlouvy</w:t>
      </w:r>
    </w:p>
    <w:p w:rsidR="007241C8" w:rsidRDefault="0040190A">
      <w:pPr>
        <w:spacing w:after="211"/>
        <w:ind w:left="29" w:right="3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27412</wp:posOffset>
            </wp:positionH>
            <wp:positionV relativeFrom="paragraph">
              <wp:posOffset>388486</wp:posOffset>
            </wp:positionV>
            <wp:extent cx="9137" cy="31979"/>
            <wp:effectExtent l="0" t="0" r="0" b="0"/>
            <wp:wrapSquare wrapText="bothSides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3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Dárce daruje obdarovanému p</w:t>
      </w:r>
      <w:r>
        <w:t xml:space="preserve">eněžní prostředky ve výši 50 000,00 Kč (slovy: padesát tisíc korun českých), a to za účelem realizace projektu „Technika a polytechnika v zájmovém vzdělávání 111." (dále jen „dar”) v rámci grantového programu </w:t>
      </w:r>
      <w:proofErr w:type="gramStart"/>
      <w:r>
        <w:t>dárce ,</w:t>
      </w:r>
      <w:proofErr w:type="spellStart"/>
      <w:r>
        <w:t>GrP</w:t>
      </w:r>
      <w:proofErr w:type="spellEnd"/>
      <w:proofErr w:type="gramEnd"/>
      <w:r>
        <w:t xml:space="preserve"> Popularizace technického vzdělávání </w:t>
      </w:r>
      <w:r>
        <w:t>na základních školách". Popis projektu obdarovaného vč. závazných parametrů je uveden v příloze č. 1 této smlouvy. Dárce poukáže uvedené darované peněžní prostředky na výše uvedený účet obdarovaného do 30 dnů od uzavření této smlouvy. Obdarovaný před podpi</w:t>
      </w:r>
      <w:r>
        <w:t xml:space="preserve">sem této smlouvy dárci doložil, že je majitelem příslušného účtu. Platba bude provedena prostřednictvím společnosti Volkswagen International </w:t>
      </w:r>
      <w:proofErr w:type="spellStart"/>
      <w:r>
        <w:t>Belgium</w:t>
      </w:r>
      <w:proofErr w:type="spellEnd"/>
      <w:r>
        <w:t xml:space="preserve"> </w:t>
      </w:r>
      <w:proofErr w:type="gramStart"/>
      <w:r>
        <w:t>S.A.</w:t>
      </w:r>
      <w:proofErr w:type="gramEnd"/>
      <w:r>
        <w:t xml:space="preserve"> ("VIB”), Avenue Louise 143/1 , B-1050 </w:t>
      </w:r>
      <w:proofErr w:type="spellStart"/>
      <w:r>
        <w:t>Brussels</w:t>
      </w:r>
      <w:proofErr w:type="spellEnd"/>
      <w:r>
        <w:t xml:space="preserve"> </w:t>
      </w:r>
      <w:proofErr w:type="spellStart"/>
      <w:r>
        <w:t>Belgium</w:t>
      </w:r>
      <w:proofErr w:type="spellEnd"/>
      <w:r>
        <w:t xml:space="preserve">. Dar bude účtován k tíži dárce: NS 8540, konto </w:t>
      </w:r>
      <w:r>
        <w:t>46022000.</w:t>
      </w:r>
    </w:p>
    <w:p w:rsidR="007241C8" w:rsidRDefault="0040190A">
      <w:pPr>
        <w:pStyle w:val="Nadpis1"/>
        <w:numPr>
          <w:ilvl w:val="0"/>
          <w:numId w:val="0"/>
        </w:numPr>
        <w:spacing w:after="193"/>
        <w:ind w:left="312" w:right="302"/>
      </w:pPr>
      <w:proofErr w:type="spellStart"/>
      <w:r>
        <w:t>Il</w:t>
      </w:r>
      <w:proofErr w:type="spellEnd"/>
      <w:r>
        <w:t>. Použití daru</w:t>
      </w:r>
    </w:p>
    <w:p w:rsidR="007241C8" w:rsidRDefault="0040190A">
      <w:pPr>
        <w:spacing w:after="1598"/>
        <w:ind w:left="460" w:right="36" w:hanging="410"/>
      </w:pPr>
      <w:proofErr w:type="gramStart"/>
      <w:r>
        <w:t xml:space="preserve">1 . </w:t>
      </w:r>
      <w:r>
        <w:t>Obdarovaný</w:t>
      </w:r>
      <w:proofErr w:type="gramEnd"/>
      <w:r>
        <w:t xml:space="preserve"> dar uvedený v článku l. této darovací smlouvy přijímá a zavazuje se jej použít do 31. 03. 2021 od přijetí daru a pouze za účelem vymezeným v článku l. této darovací smlouvy. Dárce je oprávněn kdykoliv zkontrolovat </w:t>
      </w:r>
      <w:r>
        <w:t>účel využití daru, k čemuž mu poskytne obdarovaný potřebnou součinnost. Na základě žádosti dárce je obdarovaný povinen doložit přehled všech svých jednotlivých výdajových položek, na něž byly darované peněžní prostředky použity, včetně umožnění obdarovaným</w:t>
      </w:r>
      <w:r>
        <w:t xml:space="preserve"> dárci nahlédnout do všech účetních dokladů prokazujících nákup a uhrazení těchto výdajových položek a umožnění obdarovaným dárci pořídit si kopie takových dokladů. Obdarovaný je povinen do jednoho měsíce</w:t>
      </w:r>
    </w:p>
    <w:p w:rsidR="007241C8" w:rsidRDefault="0040190A">
      <w:pPr>
        <w:spacing w:after="356" w:line="259" w:lineRule="auto"/>
        <w:ind w:left="10" w:right="-15" w:hanging="10"/>
        <w:jc w:val="right"/>
      </w:pPr>
      <w:r>
        <w:rPr>
          <w:sz w:val="16"/>
        </w:rPr>
        <w:t>1/5</w:t>
      </w:r>
    </w:p>
    <w:p w:rsidR="007241C8" w:rsidRDefault="0040190A">
      <w:pPr>
        <w:spacing w:after="664" w:line="259" w:lineRule="auto"/>
        <w:ind w:left="-5" w:right="0" w:hanging="3"/>
        <w:jc w:val="left"/>
      </w:pPr>
      <w:r>
        <w:rPr>
          <w:sz w:val="22"/>
        </w:rPr>
        <w:t xml:space="preserve">Příloha č. 1 k darovací smlouvě č. PTV-20-012-SPP - Specifikace projektu „Technika a polytechnika v zájmovém vzdělávání </w:t>
      </w:r>
      <w:proofErr w:type="spellStart"/>
      <w:r>
        <w:rPr>
          <w:sz w:val="22"/>
        </w:rPr>
        <w:t>Ill</w:t>
      </w:r>
      <w:proofErr w:type="spellEnd"/>
      <w:r>
        <w:rPr>
          <w:sz w:val="22"/>
        </w:rPr>
        <w:t>.”</w:t>
      </w:r>
    </w:p>
    <w:p w:rsidR="007241C8" w:rsidRDefault="0040190A">
      <w:pPr>
        <w:numPr>
          <w:ilvl w:val="0"/>
          <w:numId w:val="1"/>
        </w:numPr>
        <w:spacing w:after="96" w:line="259" w:lineRule="auto"/>
        <w:ind w:right="0" w:hanging="223"/>
        <w:jc w:val="left"/>
      </w:pPr>
      <w:r>
        <w:rPr>
          <w:sz w:val="22"/>
        </w:rPr>
        <w:lastRenderedPageBreak/>
        <w:t>Cíl projektu a jeho zdůvodnění</w:t>
      </w:r>
    </w:p>
    <w:p w:rsidR="007241C8" w:rsidRDefault="0040190A">
      <w:pPr>
        <w:spacing w:after="131"/>
        <w:ind w:left="36" w:right="165"/>
      </w:pPr>
      <w:r>
        <w:t>Rozšířit nabídku výuky technických oboru v zájmovém vzdělávání. Podpořit děti a mládež v cestě za v</w:t>
      </w:r>
      <w:r>
        <w:t>ědou, technikou a polytechnikou. Vytvoření nových zájmových kroužků zaměřených na technické a polytechnické vzdělání. Vzbudit v dětech a mládeži zájem o technické obory a připravit je k dalšímu nastartování pracovní kariery směrem k výběru střední školy, V</w:t>
      </w:r>
      <w:r>
        <w:t xml:space="preserve">ysoké školy a následně zaměstnání a uplatnění např. ve </w:t>
      </w:r>
      <w:proofErr w:type="gramStart"/>
      <w:r>
        <w:t>ŠKODA</w:t>
      </w:r>
      <w:proofErr w:type="gramEnd"/>
      <w:r>
        <w:t xml:space="preserve"> AUTO, a.s.</w:t>
      </w:r>
    </w:p>
    <w:p w:rsidR="007241C8" w:rsidRDefault="0040190A">
      <w:pPr>
        <w:numPr>
          <w:ilvl w:val="0"/>
          <w:numId w:val="1"/>
        </w:numPr>
        <w:spacing w:after="146" w:line="259" w:lineRule="auto"/>
        <w:ind w:right="0" w:hanging="223"/>
        <w:jc w:val="left"/>
      </w:pPr>
      <w:r>
        <w:rPr>
          <w:sz w:val="22"/>
        </w:rPr>
        <w:t>Popis projektu</w:t>
      </w:r>
    </w:p>
    <w:p w:rsidR="007241C8" w:rsidRDefault="0040190A">
      <w:pPr>
        <w:spacing w:after="192"/>
        <w:ind w:left="29" w:right="518"/>
      </w:pPr>
      <w:r>
        <w:t>Projekt je zaměřen na rozvoj technických a polytechnických dovedností dětí a mládeže v rámci mimoškolních aktivit v zájmovém vzdělávání. DDM chce rozšířit nabídku v těch</w:t>
      </w:r>
      <w:r>
        <w:t>to „klučičích" oborech, co nejvíce zájemcům ve stávajících a nových kroužcích:</w:t>
      </w:r>
    </w:p>
    <w:p w:rsidR="007241C8" w:rsidRDefault="0040190A">
      <w:pPr>
        <w:spacing w:after="100"/>
        <w:ind w:left="22" w:right="36"/>
      </w:pPr>
      <w:r>
        <w:t xml:space="preserve">Elektrotechnik: - Rozvoj v oblasti fyziky, elektrotechniky a elektroniky. Teoretický úvod do elektrotechniky, soutěže. Tvorba a zapojování elektrických obvodů, pájení, spínače, </w:t>
      </w:r>
      <w:r>
        <w:t>lepené obvody, elektro stavebnice.</w:t>
      </w:r>
    </w:p>
    <w:p w:rsidR="007241C8" w:rsidRDefault="0040190A">
      <w:pPr>
        <w:spacing w:after="104"/>
        <w:ind w:left="29" w:right="36"/>
      </w:pPr>
      <w:r>
        <w:t>Dřevo modelář - Teoretický základ obráběni dřeva a práce se dřevem. Výroba dřevěných modelů, hraček, ozdob, rámečků, a dalších výrobků. Řezání, vrtání, lepení, druhy spojů, povrchová úprava dřeva a další činnosti.</w:t>
      </w:r>
    </w:p>
    <w:p w:rsidR="007241C8" w:rsidRDefault="0040190A">
      <w:pPr>
        <w:spacing w:after="111"/>
        <w:ind w:left="22" w:right="36"/>
      </w:pPr>
      <w:r>
        <w:t>Malý te</w:t>
      </w:r>
      <w:r>
        <w:t>chnik - Základní kroužek v technických dovednostech pro účastníky od šesti let. Papírové modely, přírodní materiály a základy práce se dřevem, kovy a plasty.</w:t>
      </w:r>
    </w:p>
    <w:p w:rsidR="007241C8" w:rsidRDefault="0040190A">
      <w:pPr>
        <w:spacing w:after="191"/>
        <w:ind w:left="14" w:right="24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6172208</wp:posOffset>
            </wp:positionH>
            <wp:positionV relativeFrom="page">
              <wp:posOffset>484240</wp:posOffset>
            </wp:positionV>
            <wp:extent cx="826920" cy="845137"/>
            <wp:effectExtent l="0" t="0" r="0" b="0"/>
            <wp:wrapTopAndBottom/>
            <wp:docPr id="4696" name="Picture 4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" name="Picture 46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6920" cy="845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Mladý konstruktér - Nový zájmový kroužek zaměřen na 3D modelování a 3D konstrukci v počítači s ná</w:t>
      </w:r>
      <w:r>
        <w:t>slednou produkcí prototypů a originálních výrobku. Stavba 3D tiskárny a 3D laser plotru. 3D Tisk, 3D vypalování, návštěva firem, kde probíhají dané procesy.</w:t>
      </w:r>
    </w:p>
    <w:p w:rsidR="007241C8" w:rsidRDefault="0040190A">
      <w:pPr>
        <w:spacing w:after="220"/>
        <w:ind w:left="7" w:right="36"/>
      </w:pPr>
      <w:r>
        <w:t xml:space="preserve">Lego roboti - Seznámení se základy robotické lego stavebnice LEGO </w:t>
      </w:r>
      <w:proofErr w:type="spellStart"/>
      <w:r>
        <w:t>Mindstorms</w:t>
      </w:r>
      <w:proofErr w:type="spellEnd"/>
      <w:r>
        <w:t>, stavění robotů, programování, výuka a objevování nových funkcí.</w:t>
      </w:r>
    </w:p>
    <w:p w:rsidR="007241C8" w:rsidRDefault="0040190A">
      <w:pPr>
        <w:spacing w:after="137"/>
        <w:ind w:left="14" w:right="36"/>
      </w:pPr>
      <w:r>
        <w:t>Lego technik - Stavění modelů, seznámení se s konstrukcí a mechanikou.</w:t>
      </w:r>
    </w:p>
    <w:p w:rsidR="007241C8" w:rsidRDefault="0040190A">
      <w:pPr>
        <w:spacing w:after="91" w:line="259" w:lineRule="auto"/>
        <w:ind w:left="-5" w:right="0" w:hanging="3"/>
        <w:jc w:val="left"/>
      </w:pPr>
      <w:r>
        <w:rPr>
          <w:sz w:val="22"/>
        </w:rPr>
        <w:t>3) Využití prostředků dárce a závazek spolu</w:t>
      </w:r>
      <w:r>
        <w:rPr>
          <w:sz w:val="22"/>
        </w:rPr>
        <w:t>financování</w:t>
      </w:r>
    </w:p>
    <w:p w:rsidR="007241C8" w:rsidRDefault="0040190A">
      <w:pPr>
        <w:spacing w:after="197"/>
        <w:ind w:left="0" w:right="108"/>
      </w:pPr>
      <w:r>
        <w:t xml:space="preserve">Z prostředků dárce bude zakoupeno vybavení a učební pomůcky (notebook Microsoft </w:t>
      </w:r>
      <w:proofErr w:type="spellStart"/>
      <w:r>
        <w:t>Surface</w:t>
      </w:r>
      <w:proofErr w:type="spellEnd"/>
      <w:r>
        <w:t xml:space="preserve"> Pro 128GB i7 8GB, software, hardware, komponenty </w:t>
      </w:r>
      <w:proofErr w:type="spellStart"/>
      <w:r>
        <w:t>dokovací</w:t>
      </w:r>
      <w:proofErr w:type="spellEnd"/>
      <w:r>
        <w:t xml:space="preserve"> stanice, myš, </w:t>
      </w:r>
      <w:proofErr w:type="spellStart"/>
      <w:r>
        <w:t>Pen</w:t>
      </w:r>
      <w:proofErr w:type="spellEnd"/>
      <w:r>
        <w:t xml:space="preserve">, klávesnice,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router</w:t>
      </w:r>
      <w:proofErr w:type="spellEnd"/>
      <w:r>
        <w:t xml:space="preserve"> další)</w:t>
      </w:r>
    </w:p>
    <w:p w:rsidR="007241C8" w:rsidRDefault="0040190A">
      <w:pPr>
        <w:spacing w:after="3526"/>
        <w:ind w:left="0" w:right="36"/>
      </w:pPr>
      <w:r>
        <w:t>Obdarovaný se zavazuje spolufinancovat náklady p</w:t>
      </w:r>
      <w:r>
        <w:t>rojektu minimálně v poměru uvedeném v žádosti, tedy minimálně 17% hodnoty projektu (tj. min. 10.000 Kč).</w:t>
      </w:r>
    </w:p>
    <w:p w:rsidR="007241C8" w:rsidRDefault="0040190A">
      <w:pPr>
        <w:spacing w:after="0" w:line="259" w:lineRule="auto"/>
        <w:ind w:left="0" w:right="122" w:firstLine="0"/>
        <w:jc w:val="right"/>
      </w:pPr>
      <w:r>
        <w:rPr>
          <w:rFonts w:ascii="Times New Roman" w:eastAsia="Times New Roman" w:hAnsi="Times New Roman" w:cs="Times New Roman"/>
          <w:sz w:val="12"/>
        </w:rPr>
        <w:t>515</w:t>
      </w:r>
    </w:p>
    <w:p w:rsidR="007241C8" w:rsidRDefault="0040190A">
      <w:pPr>
        <w:spacing w:after="417"/>
        <w:ind w:left="482" w:right="36"/>
      </w:pPr>
      <w:r>
        <w:t>po dokončení projektu, není-li dohodnuto jinak, zaslat dárci na adresu skoda.granty@skoda-auto.cz zprávu o čerpání daru a 5 fotografií zrealizované</w:t>
      </w:r>
      <w:r>
        <w:t>ho projektu.</w:t>
      </w:r>
    </w:p>
    <w:p w:rsidR="007241C8" w:rsidRDefault="0040190A">
      <w:pPr>
        <w:numPr>
          <w:ilvl w:val="0"/>
          <w:numId w:val="2"/>
        </w:numPr>
        <w:ind w:right="36" w:hanging="367"/>
      </w:pPr>
      <w:r>
        <w:t>Zpráva o čerpání daru o maximální délce dvou normostran, resp. 4000 znaků musí obsahovat tyto údaje: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název subjektu,</w:t>
      </w:r>
    </w:p>
    <w:p w:rsidR="007241C8" w:rsidRDefault="0040190A">
      <w:pPr>
        <w:numPr>
          <w:ilvl w:val="1"/>
          <w:numId w:val="2"/>
        </w:numPr>
        <w:spacing w:after="0" w:line="259" w:lineRule="auto"/>
        <w:ind w:right="36" w:hanging="367"/>
      </w:pPr>
      <w:r>
        <w:rPr>
          <w:sz w:val="22"/>
        </w:rPr>
        <w:lastRenderedPageBreak/>
        <w:t>název projektu</w:t>
      </w:r>
    </w:p>
    <w:p w:rsidR="007241C8" w:rsidRDefault="0040190A">
      <w:pPr>
        <w:numPr>
          <w:ilvl w:val="1"/>
          <w:numId w:val="2"/>
        </w:numPr>
        <w:spacing w:after="0" w:line="259" w:lineRule="auto"/>
        <w:ind w:right="36" w:hanging="367"/>
      </w:pPr>
      <w:r>
        <w:rPr>
          <w:sz w:val="18"/>
        </w:rPr>
        <w:t>popis projektu,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cíl projektu a jeho zdůvodnění,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údaj, pro koho je, resp. byl projekt určen,</w:t>
      </w:r>
    </w:p>
    <w:p w:rsidR="007241C8" w:rsidRDefault="0040190A">
      <w:pPr>
        <w:numPr>
          <w:ilvl w:val="1"/>
          <w:numId w:val="2"/>
        </w:numPr>
        <w:spacing w:after="0" w:line="259" w:lineRule="auto"/>
        <w:ind w:right="36" w:hanging="367"/>
      </w:pPr>
      <w:r>
        <w:rPr>
          <w:sz w:val="22"/>
        </w:rPr>
        <w:t>výše daru,</w:t>
      </w:r>
    </w:p>
    <w:p w:rsidR="007241C8" w:rsidRDefault="0040190A">
      <w:pPr>
        <w:numPr>
          <w:ilvl w:val="1"/>
          <w:numId w:val="2"/>
        </w:numPr>
        <w:spacing w:after="168"/>
        <w:ind w:right="36" w:hanging="367"/>
      </w:pPr>
      <w:r>
        <w:t>přínos projektu a informaci o tom, co dar obdarovanému umožnil.</w:t>
      </w:r>
    </w:p>
    <w:p w:rsidR="007241C8" w:rsidRDefault="0040190A">
      <w:pPr>
        <w:spacing w:after="189"/>
        <w:ind w:left="762" w:right="36"/>
      </w:pPr>
      <w:r>
        <w:t>Obdarovaný uděluje tímto dárci souhlas s publikací zprávy o čerpání daru dle tohoto odstavce, resp. její části ve všech v současné době známých mediích (zejména Internet). Souhlas s užitím zpr</w:t>
      </w:r>
      <w:r>
        <w:t>ávy je tímto udělen na dobu neurčitou a územně i množstevně neomezeně.</w:t>
      </w:r>
    </w:p>
    <w:p w:rsidR="007241C8" w:rsidRDefault="0040190A">
      <w:pPr>
        <w:numPr>
          <w:ilvl w:val="0"/>
          <w:numId w:val="2"/>
        </w:numPr>
        <w:spacing w:after="195"/>
        <w:ind w:right="36" w:hanging="367"/>
      </w:pPr>
      <w:r>
        <w:t>Fotografie zrealizovaného projektu musí být v minimálním rozměru 1500 x 2100 PX a velikosti 800 kB a musí být v publikovatelné podobě. Dárce je oprávněn dle svého uvážení tyto fotografi</w:t>
      </w:r>
      <w:r>
        <w:t>e upravovat, měnit, opakovaně použít a zejména pak publikovat ve všech v současné době známých mediích (zejména Internet). Souhlas s užitím fotografií je tímto udělen na dobu neurčitou a územně i množstevně neomezeně.</w:t>
      </w:r>
    </w:p>
    <w:p w:rsidR="007241C8" w:rsidRDefault="0040190A">
      <w:pPr>
        <w:numPr>
          <w:ilvl w:val="0"/>
          <w:numId w:val="2"/>
        </w:numPr>
        <w:spacing w:after="239"/>
        <w:ind w:right="36" w:hanging="367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6163071</wp:posOffset>
            </wp:positionH>
            <wp:positionV relativeFrom="page">
              <wp:posOffset>465967</wp:posOffset>
            </wp:positionV>
            <wp:extent cx="831490" cy="840568"/>
            <wp:effectExtent l="0" t="0" r="0" b="0"/>
            <wp:wrapTopAndBottom/>
            <wp:docPr id="7366" name="Picture 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" name="Picture 73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1490" cy="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Obdarovaný potvrzuje, že byl seznámen s informacemi o zpracování jeho osobních údajů dárcem v souvislosti s poskytnutím daru, včetně publikace zprávy. Tyto informace jsou obdarovanému k dispozici také na http://www.skoda-auto.cz/osobni-udaje. Obdarovaný se</w:t>
      </w:r>
      <w:r>
        <w:t xml:space="preserve"> zavazuje splnit veškeré právní povinnosti vůči osobám, které budou vyobrazeny na výše uvedených fotografiích, v souladu s právní úpravou ochrany osobních údajů a ochrany osobnosti, zejména seznámit tyto osoby s informacemi o zpracování osobních údajů dárc</w:t>
      </w:r>
      <w:r>
        <w:t>em, jak jsou uvedeny výše. Obdarovaný odpovídá dárci za škodu, která by mu vznikla, pokud obdarovaný povinnosti uvedené v tomto článku nesplní.</w:t>
      </w:r>
    </w:p>
    <w:p w:rsidR="007241C8" w:rsidRDefault="0040190A">
      <w:pPr>
        <w:numPr>
          <w:ilvl w:val="0"/>
          <w:numId w:val="2"/>
        </w:numPr>
        <w:spacing w:after="193" w:line="288" w:lineRule="auto"/>
        <w:ind w:right="36" w:hanging="367"/>
      </w:pPr>
      <w:r>
        <w:t>Obdarovaný je dále povinen do 30. 04. 2021 písemně zdokladovat čerpání daru (přeložení vyúčtování o čerpání daru</w:t>
      </w:r>
      <w:r>
        <w:t>).</w:t>
      </w:r>
    </w:p>
    <w:p w:rsidR="007241C8" w:rsidRDefault="0040190A">
      <w:pPr>
        <w:numPr>
          <w:ilvl w:val="0"/>
          <w:numId w:val="2"/>
        </w:numPr>
        <w:spacing w:after="304"/>
        <w:ind w:right="36" w:hanging="367"/>
      </w:pPr>
      <w:r>
        <w:t xml:space="preserve">Obdarovaný prohlašuje, že se seznámil s Etickým kodexem skupiny ŠKODA AUTO dostupným na adrese http://www.skoda-auto.cz/o-nas/corporate-governance (dále jen 'Etický kodex” a že v posledních třech letech před uzavřením této smlouvy nedošlo z jeho strany </w:t>
      </w:r>
      <w:r>
        <w:t>k jednání, které by znamenalo porušení Etického kodexu. Obdarovaný se zavazuje Etický kodex dodržovat v rozsahu, jako by obdarovaný a jeho zaměstnanci a zástupci byli v pozici zaměstnanců či zástupců dárce. Obdarovaný a dárce se dohodli, že za podstatné po</w:t>
      </w:r>
      <w:r>
        <w:t>rušení této smlouvy bude považováno porušení Etického kodexu obdarovaným, zejména pak porušení etických principů v oblastech: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ochrany lidských práv,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střetu zájmů obdarovaného se zájmy dárce,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zákazu korupce a korupčního jednání,</w:t>
      </w:r>
    </w:p>
    <w:p w:rsidR="007241C8" w:rsidRDefault="0040190A">
      <w:pPr>
        <w:numPr>
          <w:ilvl w:val="1"/>
          <w:numId w:val="2"/>
        </w:numPr>
        <w:ind w:right="36" w:hanging="367"/>
      </w:pPr>
      <w:r>
        <w:t>zákazu legalizace výnosů z t</w:t>
      </w:r>
      <w:r>
        <w:t>restné činnosti,</w:t>
      </w:r>
    </w:p>
    <w:p w:rsidR="007241C8" w:rsidRDefault="0040190A">
      <w:pPr>
        <w:numPr>
          <w:ilvl w:val="1"/>
          <w:numId w:val="2"/>
        </w:numPr>
        <w:spacing w:after="1847"/>
        <w:ind w:right="36" w:hanging="367"/>
      </w:pPr>
      <w:r>
        <w:t>zákazu financování terorismu.</w:t>
      </w:r>
    </w:p>
    <w:p w:rsidR="007241C8" w:rsidRDefault="0040190A">
      <w:pPr>
        <w:spacing w:after="0" w:line="259" w:lineRule="auto"/>
        <w:ind w:left="0" w:right="43" w:firstLine="0"/>
        <w:jc w:val="right"/>
      </w:pPr>
      <w:r>
        <w:rPr>
          <w:sz w:val="14"/>
        </w:rPr>
        <w:t>2/5</w:t>
      </w:r>
    </w:p>
    <w:p w:rsidR="007241C8" w:rsidRDefault="0040190A">
      <w:pPr>
        <w:numPr>
          <w:ilvl w:val="0"/>
          <w:numId w:val="2"/>
        </w:numPr>
        <w:spacing w:after="176"/>
        <w:ind w:right="36" w:hanging="367"/>
      </w:pPr>
      <w:r>
        <w:t>V případě porušení povinnosti obdarovaného využít dar pouze za v této smlouvě dohodnutým účelem nebo povinnosti chovat se v souladu s Etickým kodexem, nebo údaje či doklady nedoloží, je obdarovaný povinen vrátit tu část daru, jejíž použití nebyl schopen vě</w:t>
      </w:r>
      <w:r>
        <w:t xml:space="preserve">rohodně doložit, či která byla použita v rozporu s touto smlouvou, a to do 30 dnů od doručení písemné výzvy dárce k vrácení daru. Obdarovaný se v takovém případě současně </w:t>
      </w:r>
      <w:r>
        <w:lastRenderedPageBreak/>
        <w:t xml:space="preserve">zavazuje uhradit dárci jako smluvní pokutu úroky z celé darované částky odpovídající </w:t>
      </w:r>
      <w:r>
        <w:t xml:space="preserve">ročně výši </w:t>
      </w:r>
      <w:proofErr w:type="spellStart"/>
      <w:r>
        <w:t>repo</w:t>
      </w:r>
      <w:proofErr w:type="spellEnd"/>
      <w:r>
        <w:t xml:space="preserve"> sazby vyhlášené ČNB ke dni podpisu této smlouvy + 2%, a to za období ode dne poskytnutí daru až do vrácení, zpět dárci té částky daru, jejíž použití nebyl schopen obdarovaný věrohodně doložit, či která byla použita v rozporu s touto smlouvo</w:t>
      </w:r>
      <w:r>
        <w:t>u. Zaplacení této smluvní pokuty neomezuje právo dárce požadovat uhrazení škody v plném rozsahu. Povinnost zaplatit uvedenou smluvní pokutu trvá i po vrácení daru nebo odstoupení od této smlouvy.</w:t>
      </w:r>
    </w:p>
    <w:p w:rsidR="007241C8" w:rsidRDefault="0040190A">
      <w:pPr>
        <w:pStyle w:val="Nadpis1"/>
        <w:numPr>
          <w:ilvl w:val="0"/>
          <w:numId w:val="0"/>
        </w:numPr>
        <w:spacing w:after="203"/>
        <w:ind w:left="312" w:right="252"/>
      </w:pPr>
      <w:proofErr w:type="spellStart"/>
      <w:r>
        <w:t>Ill</w:t>
      </w:r>
      <w:proofErr w:type="spellEnd"/>
      <w:r>
        <w:t>. Další ujednání</w:t>
      </w:r>
    </w:p>
    <w:p w:rsidR="007241C8" w:rsidRDefault="0040190A">
      <w:pPr>
        <w:spacing w:after="269"/>
        <w:ind w:left="785" w:right="36" w:hanging="353"/>
      </w:pPr>
      <w:proofErr w:type="gramStart"/>
      <w:r>
        <w:t xml:space="preserve">1 . </w:t>
      </w:r>
      <w:r>
        <w:t>Pro</w:t>
      </w:r>
      <w:proofErr w:type="gramEnd"/>
      <w:r>
        <w:t xml:space="preserve"> veškeré spory vznikající z této </w:t>
      </w:r>
      <w:r>
        <w:t>smlouvy anebo v souvislosti s ní sjednávají smluvní strany pravomoc věcně příslušného soudu České republiky, v jehož obvodu je sídlo dárce.</w:t>
      </w:r>
    </w:p>
    <w:p w:rsidR="007241C8" w:rsidRDefault="0040190A">
      <w:pPr>
        <w:numPr>
          <w:ilvl w:val="0"/>
          <w:numId w:val="3"/>
        </w:numPr>
        <w:spacing w:after="37" w:line="216" w:lineRule="auto"/>
        <w:ind w:right="36" w:hanging="367"/>
      </w:pPr>
      <w:r>
        <w:t>Tato smlouva stejně jako právní vztahy vyplývající z porušení této smlouvy se řídí právním řádem České republiky při</w:t>
      </w:r>
      <w:r>
        <w:t xml:space="preserve"> vyloučení předpisů mezinárodního práva soukromého. Podmínky neupravené v této smlouvě se řídí občanským zákoníkem, přičemž smluvní strany ujednávají, že:</w:t>
      </w:r>
    </w:p>
    <w:p w:rsidR="007241C8" w:rsidRDefault="0040190A">
      <w:pPr>
        <w:numPr>
          <w:ilvl w:val="1"/>
          <w:numId w:val="3"/>
        </w:numPr>
        <w:ind w:right="36" w:hanging="360"/>
      </w:pPr>
      <w:r>
        <w:t>obdarovaný na sebe přebírá nebezpečí změny okolností;</w:t>
      </w:r>
    </w:p>
    <w:p w:rsidR="007241C8" w:rsidRDefault="0040190A">
      <w:pPr>
        <w:numPr>
          <w:ilvl w:val="1"/>
          <w:numId w:val="3"/>
        </w:numPr>
        <w:ind w:right="36" w:hanging="360"/>
      </w:pPr>
      <w:proofErr w:type="gramStart"/>
      <w:r>
        <w:t>se vylučuje</w:t>
      </w:r>
      <w:proofErr w:type="gramEnd"/>
      <w:r>
        <w:t xml:space="preserve"> přijetí této smlouvy s jakoukoliv o</w:t>
      </w:r>
      <w:r>
        <w:t>dchylkou, byť by to byla odchylka, která podstatně nemění původní podmínky. Totéž platí i pro sjednávání jakýchkoliv změn této smlouvy či uzavírání dílčích smluv na tuto smlouvu navazujících;</w:t>
      </w:r>
    </w:p>
    <w:p w:rsidR="007241C8" w:rsidRDefault="0040190A">
      <w:pPr>
        <w:numPr>
          <w:ilvl w:val="1"/>
          <w:numId w:val="3"/>
        </w:numPr>
        <w:spacing w:after="0"/>
        <w:ind w:right="36" w:hanging="360"/>
      </w:pPr>
      <w:r>
        <w:t>pro tuto smlouvu se nepoužije úprava dle S 1799 OZ a S 1800 OZ t</w:t>
      </w:r>
      <w:r>
        <w:t>ýkající se smluv uzavíraných adhezním způsobem. Totéž platí pro jakékoliv smlouvy a dokumenty na tuto smlouvu navazující;</w:t>
      </w:r>
    </w:p>
    <w:p w:rsidR="007241C8" w:rsidRDefault="0040190A">
      <w:pPr>
        <w:numPr>
          <w:ilvl w:val="1"/>
          <w:numId w:val="3"/>
        </w:numPr>
        <w:ind w:right="36" w:hanging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6167639</wp:posOffset>
            </wp:positionH>
            <wp:positionV relativeFrom="page">
              <wp:posOffset>447694</wp:posOffset>
            </wp:positionV>
            <wp:extent cx="836058" cy="840568"/>
            <wp:effectExtent l="0" t="0" r="0" b="0"/>
            <wp:wrapTopAndBottom/>
            <wp:docPr id="10985" name="Picture 10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" name="Picture 109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6058" cy="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veškeré změny a dodatky k této smlouvě musí být uzavřeny písemně a řádně podepsány oprávněnými zástupci obou smluvních stran; to plat</w:t>
      </w:r>
      <w:r>
        <w:t>í i pro vzdání se požadavku písemné formy. Změna kontaktních údajů se nepovažuje za změnu této smlouvy. Smluvní strany pro všechny své vzájemné vztahy stanoví, že nemůže dojít k uzavření smlouvy na základě jednostranného potvrzení dle S 1757 odst. 2 a 3 OZ</w:t>
      </w:r>
      <w:r>
        <w:t>, jejichž aplikaci tímto vylučují.</w:t>
      </w:r>
    </w:p>
    <w:p w:rsidR="007241C8" w:rsidRDefault="0040190A">
      <w:pPr>
        <w:numPr>
          <w:ilvl w:val="0"/>
          <w:numId w:val="3"/>
        </w:numPr>
        <w:spacing w:after="257"/>
        <w:ind w:right="36" w:hanging="367"/>
      </w:pPr>
      <w:r>
        <w:t xml:space="preserve">Obdarovaný je povinen na žádost dárce sdělit aktuální stav otevřených účetních položek vzniklých ze vzájemného obchodního styku, které jsou obsaženy v účetnictví obdarovaného k rozhodnému dni, a bude-li to třeba vyjasnit </w:t>
      </w:r>
      <w:r>
        <w:t>a odsouhlasit rozpory se stavem obsaženým v účetnictví dárce.</w:t>
      </w:r>
    </w:p>
    <w:p w:rsidR="007241C8" w:rsidRDefault="0040190A">
      <w:pPr>
        <w:numPr>
          <w:ilvl w:val="0"/>
          <w:numId w:val="3"/>
        </w:numPr>
        <w:spacing w:after="175" w:line="299" w:lineRule="auto"/>
        <w:ind w:right="36" w:hanging="367"/>
      </w:pPr>
      <w:r>
        <w:t>V souladu s podmínkami rozhodného práva je dárce oprávněn provést jednostranné započtení vzájemných pohledávek.</w:t>
      </w:r>
    </w:p>
    <w:p w:rsidR="007241C8" w:rsidRDefault="0040190A">
      <w:pPr>
        <w:numPr>
          <w:ilvl w:val="0"/>
          <w:numId w:val="3"/>
        </w:numPr>
        <w:spacing w:after="147"/>
        <w:ind w:right="36" w:hanging="367"/>
      </w:pPr>
      <w:r>
        <w:t>Obdarovaný není oprávněn postoupit nebo zastavit pohledávky z této smlouvy.</w:t>
      </w:r>
    </w:p>
    <w:p w:rsidR="007241C8" w:rsidRDefault="0040190A">
      <w:pPr>
        <w:numPr>
          <w:ilvl w:val="0"/>
          <w:numId w:val="3"/>
        </w:numPr>
        <w:spacing w:after="220"/>
        <w:ind w:right="36" w:hanging="367"/>
      </w:pPr>
      <w: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</w:t>
      </w:r>
      <w:r>
        <w:t>odně zamýšlenému ekonomickému účelu ustanovení neplatného.</w:t>
      </w:r>
    </w:p>
    <w:p w:rsidR="007241C8" w:rsidRDefault="0040190A">
      <w:pPr>
        <w:numPr>
          <w:ilvl w:val="0"/>
          <w:numId w:val="3"/>
        </w:numPr>
        <w:spacing w:after="178" w:line="309" w:lineRule="auto"/>
        <w:ind w:right="36" w:hanging="367"/>
      </w:pPr>
      <w:r>
        <w:t>Tato smlouva se vyhotovuje ve dvou vyhotoveních, z nichž každé má platnost originálu. Každá smluvní strana obdrží jedno vyhotovení.</w:t>
      </w:r>
    </w:p>
    <w:p w:rsidR="007241C8" w:rsidRDefault="0040190A">
      <w:pPr>
        <w:numPr>
          <w:ilvl w:val="0"/>
          <w:numId w:val="3"/>
        </w:numPr>
        <w:spacing w:after="1346"/>
        <w:ind w:right="36" w:hanging="367"/>
      </w:pPr>
      <w:r>
        <w:t>Smluvní strany se dohodly, že v případě, že je obdarovaný subjekt</w:t>
      </w:r>
      <w:r>
        <w:t>em dle S 2 zákona č. 340/2015 Sb., o zvláštních podmínkách účinnosti některých smluv, uveřejňování těchto smluv a o registru smluv (dále jen „zákon o registru smluv”) a tato smlouva podléhá povinnosti uveřejnění dle zákona o registru smluv, zavazuje se obd</w:t>
      </w:r>
      <w:r>
        <w:t xml:space="preserve">arovaný, že </w:t>
      </w:r>
      <w:proofErr w:type="gramStart"/>
      <w:r>
        <w:t>do</w:t>
      </w:r>
      <w:proofErr w:type="gramEnd"/>
    </w:p>
    <w:p w:rsidR="007241C8" w:rsidRDefault="0040190A">
      <w:pPr>
        <w:spacing w:after="356" w:line="259" w:lineRule="auto"/>
        <w:ind w:left="10" w:right="-15" w:hanging="10"/>
        <w:jc w:val="right"/>
      </w:pPr>
      <w:r>
        <w:rPr>
          <w:sz w:val="16"/>
        </w:rPr>
        <w:t>3/5</w:t>
      </w:r>
    </w:p>
    <w:p w:rsidR="007241C8" w:rsidRDefault="0040190A">
      <w:pPr>
        <w:spacing w:after="1072" w:line="259" w:lineRule="auto"/>
        <w:ind w:left="851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822352" cy="840568"/>
            <wp:effectExtent l="0" t="0" r="0" b="0"/>
            <wp:docPr id="13363" name="Picture 13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" name="Picture 133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352" cy="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C8" w:rsidRDefault="0040190A">
      <w:pPr>
        <w:spacing w:after="243"/>
        <w:ind w:left="762" w:right="36"/>
      </w:pPr>
      <w:r>
        <w:t xml:space="preserve">5 dnů od doručení podepsané smlouvy zajistí uveřejnění smlouvy (včetně všech jejich případných příloh) v registru smluv, včetně znečitelnění osobních údajů, a bez zbytečného odkladu zašle ŠKODA AUTO a.s. potvrzení o uveřejnění smlouvy </w:t>
      </w:r>
      <w:r>
        <w:t>dle S 5 odst. 4 zákona o registru smluv. Smluvní strany se také zavazují, že před uzavřením této smlouvy si vyjasní nutnost znečitelnění obchodního tajemství, pokud tato smlouva obchodní tajemství obsahuje.</w:t>
      </w:r>
    </w:p>
    <w:p w:rsidR="007241C8" w:rsidRDefault="0040190A">
      <w:pPr>
        <w:numPr>
          <w:ilvl w:val="0"/>
          <w:numId w:val="3"/>
        </w:numPr>
        <w:ind w:right="36" w:hanging="367"/>
      </w:pPr>
      <w:r>
        <w:t>Smluvní strany prohlašují, že si tuto smlouvu pře</w:t>
      </w:r>
      <w:r>
        <w:t>d jejím podpisem přečetly, že byla uzavřena po vzájemném projednání podle jejich pravé a svobodné vůle, určitě, vážně a srozumitelně, nikoliv v tísni za nápadně nevýhodných podmínek, a že s jejím obsahem po vzájemné dohodě souhlasí tak, aby mezi nimi nedoš</w:t>
      </w:r>
      <w:r>
        <w:t>lo k rozporům, a na důkaz</w:t>
      </w:r>
    </w:p>
    <w:p w:rsidR="007241C8" w:rsidRDefault="007241C8">
      <w:pPr>
        <w:sectPr w:rsidR="007241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20"/>
          <w:pgMar w:top="727" w:right="849" w:bottom="669" w:left="1194" w:header="2216" w:footer="640" w:gutter="0"/>
          <w:cols w:space="708"/>
        </w:sectPr>
      </w:pPr>
    </w:p>
    <w:p w:rsidR="007241C8" w:rsidRDefault="0040190A">
      <w:pPr>
        <w:spacing w:after="0"/>
        <w:ind w:left="640" w:right="36" w:hanging="36"/>
      </w:pPr>
      <w:r>
        <w:t xml:space="preserve">toho připojují níže své podpisy. </w:t>
      </w:r>
      <w:proofErr w:type="gramStart"/>
      <w:r>
        <w:t>/Z Zuv</w:t>
      </w:r>
      <w:proofErr w:type="gramEnd"/>
    </w:p>
    <w:p w:rsidR="007241C8" w:rsidRDefault="0040190A">
      <w:pPr>
        <w:spacing w:after="192" w:line="259" w:lineRule="auto"/>
        <w:ind w:left="-5" w:right="0" w:hanging="3"/>
        <w:jc w:val="left"/>
      </w:pPr>
      <w:r>
        <w:rPr>
          <w:sz w:val="22"/>
        </w:rPr>
        <w:t>Dne:</w:t>
      </w:r>
      <w:r w:rsidR="005D0466">
        <w:rPr>
          <w:sz w:val="22"/>
        </w:rPr>
        <w:t xml:space="preserve"> </w:t>
      </w:r>
      <w:proofErr w:type="gramStart"/>
      <w:r w:rsidR="005D0466">
        <w:rPr>
          <w:sz w:val="22"/>
        </w:rPr>
        <w:t>12.11.2020</w:t>
      </w:r>
      <w:proofErr w:type="gramEnd"/>
    </w:p>
    <w:p w:rsidR="007241C8" w:rsidRDefault="0040190A">
      <w:pPr>
        <w:spacing w:after="0" w:line="259" w:lineRule="auto"/>
        <w:ind w:left="-5" w:right="0" w:hanging="3"/>
        <w:jc w:val="left"/>
      </w:pPr>
      <w:r>
        <w:rPr>
          <w:sz w:val="22"/>
        </w:rPr>
        <w:t>Dárce: ŠKODA AUTO a.s.</w:t>
      </w:r>
    </w:p>
    <w:p w:rsidR="007241C8" w:rsidRDefault="007241C8">
      <w:pPr>
        <w:spacing w:after="333" w:line="259" w:lineRule="auto"/>
        <w:ind w:left="86" w:right="-201" w:firstLine="0"/>
        <w:jc w:val="left"/>
      </w:pPr>
    </w:p>
    <w:p w:rsidR="007241C8" w:rsidRDefault="0040190A">
      <w:pPr>
        <w:pStyle w:val="Nadpis1"/>
        <w:numPr>
          <w:ilvl w:val="0"/>
          <w:numId w:val="0"/>
        </w:numPr>
        <w:ind w:left="312"/>
      </w:pPr>
      <w:r>
        <w:t>Ing. Pavel Hlaváč,</w:t>
      </w:r>
    </w:p>
    <w:p w:rsidR="007241C8" w:rsidRDefault="007241C8">
      <w:pPr>
        <w:spacing w:after="57" w:line="259" w:lineRule="auto"/>
        <w:ind w:left="7" w:right="-309" w:firstLine="0"/>
        <w:jc w:val="left"/>
      </w:pPr>
    </w:p>
    <w:p w:rsidR="007241C8" w:rsidRDefault="0040190A">
      <w:pPr>
        <w:spacing w:after="0" w:line="259" w:lineRule="auto"/>
        <w:ind w:left="0" w:right="0" w:firstLine="0"/>
        <w:jc w:val="right"/>
      </w:pPr>
      <w:r>
        <w:t>vedoucí ST - Komplexní péče o MGMT,</w:t>
      </w:r>
    </w:p>
    <w:p w:rsidR="007241C8" w:rsidRDefault="0040190A">
      <w:pPr>
        <w:spacing w:after="191" w:line="230" w:lineRule="auto"/>
        <w:ind w:left="327" w:right="0" w:hanging="10"/>
        <w:jc w:val="center"/>
      </w:pPr>
      <w:proofErr w:type="spellStart"/>
      <w:r>
        <w:t>Employer</w:t>
      </w:r>
      <w:proofErr w:type="spellEnd"/>
      <w:r>
        <w:t xml:space="preserve"> </w:t>
      </w:r>
      <w:proofErr w:type="spellStart"/>
      <w:r>
        <w:t>Branding</w:t>
      </w:r>
      <w:proofErr w:type="spellEnd"/>
    </w:p>
    <w:p w:rsidR="007241C8" w:rsidRDefault="0040190A">
      <w:pPr>
        <w:pStyle w:val="Nadpis1"/>
        <w:numPr>
          <w:ilvl w:val="0"/>
          <w:numId w:val="0"/>
        </w:numPr>
        <w:spacing w:after="44"/>
        <w:ind w:left="7"/>
        <w:jc w:val="left"/>
      </w:pPr>
      <w:r>
        <w:rPr>
          <w:sz w:val="30"/>
        </w:rPr>
        <w:t xml:space="preserve">Dne: </w:t>
      </w:r>
      <w:r>
        <w:rPr>
          <w:sz w:val="30"/>
        </w:rPr>
        <w:t>/Z ///ZO,QI</w:t>
      </w:r>
      <w:r>
        <w:rPr>
          <w:noProof/>
        </w:rPr>
        <w:drawing>
          <wp:inline distT="0" distB="0" distL="0" distR="0">
            <wp:extent cx="246705" cy="18273"/>
            <wp:effectExtent l="0" t="0" r="0" b="0"/>
            <wp:docPr id="23241" name="Picture 23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1" name="Picture 232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70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C8" w:rsidRDefault="0040190A">
      <w:pPr>
        <w:spacing w:after="0" w:line="259" w:lineRule="auto"/>
        <w:ind w:left="-5" w:right="0" w:hanging="3"/>
        <w:jc w:val="left"/>
      </w:pPr>
      <w:r>
        <w:rPr>
          <w:sz w:val="22"/>
        </w:rPr>
        <w:t xml:space="preserve">Obdarovaný: Dům dětí a mládeže Rychnov </w:t>
      </w:r>
      <w:proofErr w:type="gramStart"/>
      <w:r>
        <w:rPr>
          <w:sz w:val="22"/>
        </w:rPr>
        <w:t>nad</w:t>
      </w:r>
      <w:proofErr w:type="gramEnd"/>
    </w:p>
    <w:p w:rsidR="007241C8" w:rsidRDefault="0040190A">
      <w:pPr>
        <w:ind w:left="7" w:right="36"/>
      </w:pPr>
      <w:r>
        <w:t>Kněžnou</w:t>
      </w:r>
    </w:p>
    <w:p w:rsidR="007241C8" w:rsidRDefault="007241C8">
      <w:pPr>
        <w:spacing w:after="0" w:line="259" w:lineRule="auto"/>
        <w:ind w:left="50" w:right="-108" w:firstLine="0"/>
        <w:jc w:val="left"/>
      </w:pPr>
    </w:p>
    <w:p w:rsidR="007241C8" w:rsidRDefault="0040190A">
      <w:pPr>
        <w:spacing w:after="457" w:line="230" w:lineRule="auto"/>
        <w:ind w:left="1298" w:right="1144" w:hanging="10"/>
        <w:jc w:val="center"/>
      </w:pPr>
      <w:r>
        <w:t>Josef Solár, ředitel</w:t>
      </w:r>
    </w:p>
    <w:p w:rsidR="005D0466" w:rsidRDefault="005D0466">
      <w:pPr>
        <w:spacing w:after="457" w:line="230" w:lineRule="auto"/>
        <w:ind w:left="1298" w:right="1144" w:hanging="10"/>
        <w:jc w:val="center"/>
      </w:pPr>
      <w:bookmarkStart w:id="0" w:name="_GoBack"/>
      <w:bookmarkEnd w:id="0"/>
    </w:p>
    <w:p w:rsidR="005D0466" w:rsidRDefault="005D0466">
      <w:pPr>
        <w:spacing w:after="457" w:line="230" w:lineRule="auto"/>
        <w:ind w:left="1298" w:right="1144" w:hanging="10"/>
        <w:jc w:val="center"/>
      </w:pPr>
      <w:r>
        <w:t xml:space="preserve">Akceptace: </w:t>
      </w:r>
      <w:proofErr w:type="gramStart"/>
      <w:r>
        <w:t>2.12.2020</w:t>
      </w:r>
      <w:proofErr w:type="gramEnd"/>
    </w:p>
    <w:sectPr w:rsidR="005D0466">
      <w:type w:val="continuous"/>
      <w:pgSz w:w="11900" w:h="16820"/>
      <w:pgMar w:top="1440" w:right="2050" w:bottom="1440" w:left="1360" w:header="708" w:footer="708" w:gutter="0"/>
      <w:cols w:num="2" w:space="708" w:equalWidth="0">
        <w:col w:w="3439" w:space="1202"/>
        <w:col w:w="38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0A" w:rsidRDefault="0040190A">
      <w:pPr>
        <w:spacing w:after="0" w:line="240" w:lineRule="auto"/>
      </w:pPr>
      <w:r>
        <w:separator/>
      </w:r>
    </w:p>
  </w:endnote>
  <w:endnote w:type="continuationSeparator" w:id="0">
    <w:p w:rsidR="0040190A" w:rsidRDefault="0040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29" w:right="0" w:firstLine="0"/>
      <w:jc w:val="left"/>
    </w:pPr>
    <w:r>
      <w:rPr>
        <w:sz w:val="14"/>
      </w:rPr>
      <w:t xml:space="preserve">Darovací smlouva </w:t>
    </w:r>
    <w:r>
      <w:rPr>
        <w:sz w:val="10"/>
      </w:rPr>
      <w:t xml:space="preserve">— </w:t>
    </w:r>
    <w:proofErr w:type="spellStart"/>
    <w:r>
      <w:rPr>
        <w:sz w:val="14"/>
      </w:rPr>
      <w:t>peněžni</w:t>
    </w:r>
    <w:proofErr w:type="spellEnd"/>
    <w:r>
      <w:rPr>
        <w:sz w:val="14"/>
      </w:rPr>
      <w:t xml:space="preserve"> </w:t>
    </w:r>
    <w:r>
      <w:rPr>
        <w:sz w:val="16"/>
      </w:rPr>
      <w:t xml:space="preserve">dar </w:t>
    </w:r>
    <w:r>
      <w:rPr>
        <w:sz w:val="10"/>
      </w:rPr>
      <w:t xml:space="preserve">— </w:t>
    </w:r>
    <w:r>
      <w:rPr>
        <w:sz w:val="14"/>
      </w:rPr>
      <w:t>grantové programy, 7/2018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29" w:right="0" w:firstLine="0"/>
      <w:jc w:val="left"/>
    </w:pPr>
    <w:r>
      <w:rPr>
        <w:sz w:val="14"/>
      </w:rPr>
      <w:t xml:space="preserve">Darovací smlouva </w:t>
    </w:r>
    <w:r>
      <w:rPr>
        <w:sz w:val="10"/>
      </w:rPr>
      <w:t xml:space="preserve">— </w:t>
    </w:r>
    <w:proofErr w:type="spellStart"/>
    <w:r>
      <w:rPr>
        <w:sz w:val="14"/>
      </w:rPr>
      <w:t>peněžni</w:t>
    </w:r>
    <w:proofErr w:type="spellEnd"/>
    <w:r>
      <w:rPr>
        <w:sz w:val="14"/>
      </w:rPr>
      <w:t xml:space="preserve"> </w:t>
    </w:r>
    <w:r>
      <w:rPr>
        <w:sz w:val="16"/>
      </w:rPr>
      <w:t xml:space="preserve">dar </w:t>
    </w:r>
    <w:r>
      <w:rPr>
        <w:sz w:val="10"/>
      </w:rPr>
      <w:t xml:space="preserve">— </w:t>
    </w:r>
    <w:r>
      <w:rPr>
        <w:sz w:val="14"/>
      </w:rPr>
      <w:t>grantové programy, 7/2018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29" w:right="0" w:firstLine="0"/>
      <w:jc w:val="left"/>
    </w:pPr>
    <w:r>
      <w:rPr>
        <w:sz w:val="14"/>
      </w:rPr>
      <w:t xml:space="preserve">Darovací smlouva </w:t>
    </w:r>
    <w:r>
      <w:rPr>
        <w:sz w:val="10"/>
      </w:rPr>
      <w:t xml:space="preserve">— </w:t>
    </w:r>
    <w:proofErr w:type="spellStart"/>
    <w:r>
      <w:rPr>
        <w:sz w:val="14"/>
      </w:rPr>
      <w:t>peněžni</w:t>
    </w:r>
    <w:proofErr w:type="spellEnd"/>
    <w:r>
      <w:rPr>
        <w:sz w:val="14"/>
      </w:rPr>
      <w:t xml:space="preserve"> </w:t>
    </w:r>
    <w:r>
      <w:rPr>
        <w:sz w:val="16"/>
      </w:rPr>
      <w:t xml:space="preserve">dar </w:t>
    </w:r>
    <w:r>
      <w:rPr>
        <w:sz w:val="10"/>
      </w:rPr>
      <w:t xml:space="preserve">— </w:t>
    </w:r>
    <w:r>
      <w:rPr>
        <w:sz w:val="14"/>
      </w:rPr>
      <w:t>grantové programy, 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0A" w:rsidRDefault="0040190A">
      <w:pPr>
        <w:spacing w:after="0" w:line="240" w:lineRule="auto"/>
      </w:pPr>
      <w:r>
        <w:separator/>
      </w:r>
    </w:p>
  </w:footnote>
  <w:footnote w:type="continuationSeparator" w:id="0">
    <w:p w:rsidR="0040190A" w:rsidRDefault="0040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0" w:right="-101" w:firstLine="0"/>
      <w:jc w:val="right"/>
    </w:pPr>
    <w:r>
      <w:rPr>
        <w:sz w:val="56"/>
      </w:rPr>
      <w:t>ŠKODA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0" w:right="-101" w:firstLine="0"/>
      <w:jc w:val="right"/>
    </w:pPr>
    <w:r>
      <w:rPr>
        <w:sz w:val="56"/>
      </w:rPr>
      <w:t>ŠKODA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C8" w:rsidRDefault="0040190A">
    <w:pPr>
      <w:spacing w:after="0" w:line="259" w:lineRule="auto"/>
      <w:ind w:left="0" w:right="-101" w:firstLine="0"/>
      <w:jc w:val="right"/>
    </w:pPr>
    <w:r>
      <w:rPr>
        <w:sz w:val="56"/>
      </w:rPr>
      <w:t>ŠKODA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3DC"/>
    <w:multiLevelType w:val="hybridMultilevel"/>
    <w:tmpl w:val="B860E71E"/>
    <w:lvl w:ilvl="0" w:tplc="0696F5E8">
      <w:start w:val="1"/>
      <w:numFmt w:val="decimal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80DC6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8E584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ADC36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ADDA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32415C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A557A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4B376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0720C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E30CB"/>
    <w:multiLevelType w:val="hybridMultilevel"/>
    <w:tmpl w:val="2E62AF1E"/>
    <w:lvl w:ilvl="0" w:tplc="B13E259E">
      <w:start w:val="2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E3314">
      <w:start w:val="1"/>
      <w:numFmt w:val="lowerLetter"/>
      <w:lvlText w:val="%2)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CEF62">
      <w:start w:val="1"/>
      <w:numFmt w:val="lowerRoman"/>
      <w:lvlText w:val="%3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021F6">
      <w:start w:val="1"/>
      <w:numFmt w:val="decimal"/>
      <w:lvlText w:val="%4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C5AD4">
      <w:start w:val="1"/>
      <w:numFmt w:val="lowerLetter"/>
      <w:lvlText w:val="%5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E348">
      <w:start w:val="1"/>
      <w:numFmt w:val="lowerRoman"/>
      <w:lvlText w:val="%6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3D0A">
      <w:start w:val="1"/>
      <w:numFmt w:val="decimal"/>
      <w:lvlText w:val="%7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A4270">
      <w:start w:val="1"/>
      <w:numFmt w:val="lowerLetter"/>
      <w:lvlText w:val="%8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29174">
      <w:start w:val="1"/>
      <w:numFmt w:val="lowerRoman"/>
      <w:lvlText w:val="%9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DF33B1"/>
    <w:multiLevelType w:val="hybridMultilevel"/>
    <w:tmpl w:val="8BE08584"/>
    <w:lvl w:ilvl="0" w:tplc="C298F0B6">
      <w:start w:val="2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0BC5C">
      <w:start w:val="1"/>
      <w:numFmt w:val="lowerLetter"/>
      <w:lvlText w:val="%2)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44242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EB1C4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01F34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CBDFA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88444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6190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8DD3A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6929EA"/>
    <w:multiLevelType w:val="hybridMultilevel"/>
    <w:tmpl w:val="55C848CE"/>
    <w:lvl w:ilvl="0" w:tplc="7C08C972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FD0C83C">
      <w:start w:val="1"/>
      <w:numFmt w:val="lowerLetter"/>
      <w:lvlText w:val="%2"/>
      <w:lvlJc w:val="left"/>
      <w:pPr>
        <w:ind w:left="5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8861E2">
      <w:start w:val="1"/>
      <w:numFmt w:val="lowerRoman"/>
      <w:lvlText w:val="%3"/>
      <w:lvlJc w:val="left"/>
      <w:pPr>
        <w:ind w:left="5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D25E92">
      <w:start w:val="1"/>
      <w:numFmt w:val="decimal"/>
      <w:lvlText w:val="%4"/>
      <w:lvlJc w:val="left"/>
      <w:pPr>
        <w:ind w:left="6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E2EA3A">
      <w:start w:val="1"/>
      <w:numFmt w:val="lowerLetter"/>
      <w:lvlText w:val="%5"/>
      <w:lvlJc w:val="left"/>
      <w:pPr>
        <w:ind w:left="7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D67DD4">
      <w:start w:val="1"/>
      <w:numFmt w:val="lowerRoman"/>
      <w:lvlText w:val="%6"/>
      <w:lvlJc w:val="left"/>
      <w:pPr>
        <w:ind w:left="8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DA21E2">
      <w:start w:val="1"/>
      <w:numFmt w:val="decimal"/>
      <w:lvlText w:val="%7"/>
      <w:lvlJc w:val="left"/>
      <w:pPr>
        <w:ind w:left="8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56B220">
      <w:start w:val="1"/>
      <w:numFmt w:val="lowerLetter"/>
      <w:lvlText w:val="%8"/>
      <w:lvlJc w:val="left"/>
      <w:pPr>
        <w:ind w:left="9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3CE4D6">
      <w:start w:val="1"/>
      <w:numFmt w:val="lowerRoman"/>
      <w:lvlText w:val="%9"/>
      <w:lvlJc w:val="left"/>
      <w:pPr>
        <w:ind w:left="10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C8"/>
    <w:rsid w:val="0040190A"/>
    <w:rsid w:val="005D0466"/>
    <w:rsid w:val="007241C8"/>
    <w:rsid w:val="00C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89EE"/>
  <w15:docId w15:val="{4216BB7F-8844-4FC3-B44E-77174CA2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" w:line="227" w:lineRule="auto"/>
      <w:ind w:left="1684" w:right="1403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0"/>
      <w:ind w:left="39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KM_C224e_Decko_RK-20201202113847</vt:lpstr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KM_C224e_Decko_RK-20201202113847</dc:title>
  <dc:subject/>
  <dc:creator>User</dc:creator>
  <cp:keywords/>
  <cp:lastModifiedBy>User</cp:lastModifiedBy>
  <cp:revision>2</cp:revision>
  <dcterms:created xsi:type="dcterms:W3CDTF">2020-12-02T10:27:00Z</dcterms:created>
  <dcterms:modified xsi:type="dcterms:W3CDTF">2020-12-02T10:27:00Z</dcterms:modified>
</cp:coreProperties>
</file>