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Pr="00DF7ACC" w:rsidRDefault="004C0583" w:rsidP="004C0583">
      <w:pPr>
        <w:rPr>
          <w:b/>
        </w:rPr>
      </w:pPr>
      <w:r>
        <w:rPr>
          <w:b/>
        </w:rPr>
        <w:t>Příloha č. 1 ke kupní smlouvě č.</w:t>
      </w:r>
      <w:r w:rsidR="002D1C81" w:rsidRPr="002D1C81">
        <w:rPr>
          <w:b/>
        </w:rPr>
        <w:t xml:space="preserve"> PK/2409/2020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40D33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740D33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740D33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40D33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740D33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740D3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40D33" w:rsidRPr="00740D33">
              <w:rPr>
                <w:rFonts w:asciiTheme="minorHAnsi" w:hAnsiTheme="minorHAnsi" w:cstheme="minorHAnsi"/>
                <w:sz w:val="22"/>
                <w:szCs w:val="22"/>
              </w:rPr>
              <w:t>2181</w:t>
            </w:r>
            <w:r w:rsidR="00B0634B" w:rsidRPr="00740D3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740D3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740D3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740D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740D33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32183D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98400E" w:rsidRPr="0098400E">
              <w:rPr>
                <w:rFonts w:asciiTheme="minorHAnsi" w:hAnsiTheme="minorHAnsi" w:cstheme="minorHAnsi"/>
                <w:sz w:val="22"/>
                <w:szCs w:val="22"/>
              </w:rPr>
              <w:t>06.11</w:t>
            </w:r>
            <w:r w:rsidRPr="0098400E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 w:rsidRPr="0098400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Dodávka barokních židlí do sálu a salónku </w:t>
      </w:r>
      <w:proofErr w:type="spellStart"/>
      <w:r w:rsidR="003D27F5" w:rsidRPr="003D27F5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 paláce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D45BDE" w:rsidRPr="00D45BDE">
        <w:rPr>
          <w:rFonts w:asciiTheme="minorHAnsi" w:hAnsiTheme="minorHAnsi" w:cstheme="minorHAnsi"/>
          <w:sz w:val="22"/>
          <w:szCs w:val="22"/>
        </w:rPr>
        <w:t>39112000-0</w:t>
      </w:r>
      <w:r w:rsidR="0094711C" w:rsidRPr="0094711C">
        <w:rPr>
          <w:rFonts w:asciiTheme="minorHAnsi" w:hAnsiTheme="minorHAnsi" w:cstheme="minorHAnsi"/>
          <w:sz w:val="22"/>
          <w:szCs w:val="22"/>
        </w:rPr>
        <w:t xml:space="preserve">– </w:t>
      </w:r>
      <w:r w:rsidR="00D45BDE">
        <w:rPr>
          <w:rFonts w:asciiTheme="minorHAnsi" w:hAnsiTheme="minorHAnsi" w:cstheme="minorHAnsi"/>
          <w:sz w:val="22"/>
          <w:szCs w:val="22"/>
        </w:rPr>
        <w:t>Židle</w:t>
      </w:r>
    </w:p>
    <w:p w:rsidR="00FA5583" w:rsidRDefault="00FA5583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A5583">
        <w:rPr>
          <w:rFonts w:asciiTheme="minorHAnsi" w:hAnsiTheme="minorHAnsi" w:cstheme="minorHAnsi"/>
          <w:sz w:val="22"/>
          <w:szCs w:val="22"/>
        </w:rPr>
        <w:t>Zadávací řízení a postup: Otevřená výzva, oslovení širší skupiny dodavatelů, uveřejnění na Profilu Zadavatele</w:t>
      </w:r>
    </w:p>
    <w:p w:rsidR="00E7276C" w:rsidRDefault="00E7276C" w:rsidP="00F23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 xml:space="preserve">Výzva k zaslání cenové nabídky bude zaslána osloveným firmám </w:t>
      </w:r>
      <w:r w:rsidRPr="00921CFA">
        <w:rPr>
          <w:rFonts w:asciiTheme="minorHAnsi" w:hAnsiTheme="minorHAnsi" w:cstheme="minorHAnsi"/>
          <w:b/>
          <w:sz w:val="22"/>
          <w:szCs w:val="22"/>
        </w:rPr>
        <w:t>pouze elektronicky</w:t>
      </w:r>
      <w:r w:rsidRPr="00921CFA">
        <w:rPr>
          <w:rFonts w:asciiTheme="minorHAnsi" w:hAnsiTheme="minorHAnsi" w:cstheme="minorHAnsi"/>
          <w:sz w:val="22"/>
          <w:szCs w:val="22"/>
        </w:rPr>
        <w:t xml:space="preserve"> formou mailu a zároveň bude uveřejněna na Profilu Zadavatele po celou dobu trvání lhůty pro podání nabídek, kde bude veřejně k dispozici případným dalším účastníkům výběrového řízení.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5F0FB4" w:rsidRPr="005A425C">
        <w:rPr>
          <w:rFonts w:asciiTheme="minorHAnsi" w:hAnsiTheme="minorHAnsi" w:cstheme="minorHAnsi"/>
          <w:b/>
          <w:bCs/>
          <w:sz w:val="22"/>
          <w:szCs w:val="22"/>
        </w:rPr>
        <w:t>140 kusů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zcela nových, nepoužitých barokních židlí</w:t>
      </w:r>
      <w:r w:rsidR="0015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FB4">
        <w:rPr>
          <w:rFonts w:asciiTheme="minorHAnsi" w:hAnsiTheme="minorHAnsi" w:cstheme="minorHAnsi"/>
          <w:bCs/>
          <w:sz w:val="22"/>
          <w:szCs w:val="22"/>
        </w:rPr>
        <w:t>do</w:t>
      </w:r>
      <w:r w:rsidR="000457EC">
        <w:rPr>
          <w:rFonts w:asciiTheme="minorHAnsi" w:hAnsiTheme="minorHAnsi" w:cstheme="minorHAnsi"/>
          <w:bCs/>
          <w:sz w:val="22"/>
          <w:szCs w:val="22"/>
        </w:rPr>
        <w:t xml:space="preserve"> sálu a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salónku </w:t>
      </w:r>
      <w:proofErr w:type="spellStart"/>
      <w:r w:rsidR="005F0FB4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="005F0FB4">
        <w:rPr>
          <w:rFonts w:asciiTheme="minorHAnsi" w:hAnsiTheme="minorHAnsi" w:cstheme="minorHAnsi"/>
          <w:bCs/>
          <w:sz w:val="22"/>
          <w:szCs w:val="22"/>
        </w:rPr>
        <w:t xml:space="preserve"> paláce</w:t>
      </w:r>
      <w:r>
        <w:rPr>
          <w:rFonts w:asciiTheme="minorHAnsi" w:hAnsiTheme="minorHAnsi" w:cstheme="minorHAnsi"/>
          <w:bCs/>
          <w:sz w:val="22"/>
          <w:szCs w:val="22"/>
        </w:rPr>
        <w:t xml:space="preserve"> na adrese „</w:t>
      </w:r>
      <w:r w:rsidR="005F0FB4" w:rsidRPr="005F0FB4">
        <w:rPr>
          <w:rFonts w:asciiTheme="minorHAnsi" w:hAnsiTheme="minorHAnsi" w:cstheme="minorHAnsi"/>
          <w:bCs/>
          <w:sz w:val="22"/>
          <w:szCs w:val="22"/>
        </w:rPr>
        <w:t>Valdštejnská 158/14,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5F0FB4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r w:rsidR="00CF0714">
        <w:rPr>
          <w:rFonts w:asciiTheme="minorHAnsi" w:hAnsiTheme="minorHAnsi" w:cstheme="minorHAnsi"/>
          <w:bCs/>
          <w:sz w:val="22"/>
          <w:szCs w:val="22"/>
        </w:rPr>
        <w:t xml:space="preserve">výzvou k zaslání cenové nabídky, případně </w:t>
      </w:r>
      <w:r w:rsidR="005F0FB4">
        <w:rPr>
          <w:rFonts w:asciiTheme="minorHAnsi" w:hAnsiTheme="minorHAnsi" w:cstheme="minorHAnsi"/>
          <w:bCs/>
          <w:sz w:val="22"/>
          <w:szCs w:val="22"/>
        </w:rPr>
        <w:t>zadávací dokumentací.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CF0714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714">
        <w:rPr>
          <w:rFonts w:asciiTheme="minorHAnsi" w:hAnsiTheme="minorHAnsi" w:cstheme="minorHAnsi"/>
          <w:bCs/>
          <w:sz w:val="22"/>
          <w:szCs w:val="22"/>
        </w:rPr>
        <w:t>V případě zájmu je možno si dohodnout termín prohlídky místa plnění veřejné zakázky. Prohlídka místa plnění nemá vliv na lhůtu pro podávání nabídek stanovenou ve výzvě.</w:t>
      </w:r>
    </w:p>
    <w:p w:rsidR="00E7276C" w:rsidRPr="00275365" w:rsidRDefault="00E7276C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5A425C" w:rsidRDefault="005A425C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425C" w:rsidRPr="005A425C" w:rsidRDefault="005A425C" w:rsidP="00640F2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A42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Majestátní barokní židle </w:t>
      </w:r>
    </w:p>
    <w:p w:rsid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Počet židlí: 140 ks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A3463" w:rsidRP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Druh dřeva: masív, tvrdé dřevo (bříza, dub, mahagon, buk)</w:t>
      </w:r>
    </w:p>
    <w:p w:rsidR="009A3463" w:rsidRP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Barva dřeva:</w:t>
      </w:r>
      <w:r w:rsidR="00C679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9F8" w:rsidRPr="00C679F8">
        <w:rPr>
          <w:rFonts w:asciiTheme="minorHAnsi" w:hAnsiTheme="minorHAnsi" w:cstheme="minorHAnsi"/>
          <w:bCs/>
          <w:sz w:val="22"/>
          <w:szCs w:val="22"/>
        </w:rPr>
        <w:t>Odstín RAL 9010</w:t>
      </w:r>
      <w:r w:rsidR="00C679F8">
        <w:rPr>
          <w:rFonts w:asciiTheme="minorHAnsi" w:hAnsiTheme="minorHAnsi" w:cstheme="minorHAnsi"/>
          <w:bCs/>
          <w:sz w:val="22"/>
          <w:szCs w:val="22"/>
        </w:rPr>
        <w:t>, bílá, hedvábný pololesk</w:t>
      </w:r>
    </w:p>
    <w:p w:rsidR="009A3463" w:rsidRPr="009A3463" w:rsidRDefault="00D1635D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Preferované r</w:t>
      </w:r>
      <w:r w:rsidR="009A3463" w:rsidRPr="009A3463">
        <w:rPr>
          <w:rFonts w:asciiTheme="minorHAnsi" w:hAnsiTheme="minorHAnsi" w:cstheme="minorHAnsi"/>
          <w:bCs/>
          <w:sz w:val="22"/>
          <w:szCs w:val="22"/>
        </w:rPr>
        <w:t>ozměr</w:t>
      </w:r>
      <w:r w:rsidR="009833B9">
        <w:rPr>
          <w:rFonts w:asciiTheme="minorHAnsi" w:hAnsiTheme="minorHAnsi" w:cstheme="minorHAnsi"/>
          <w:bCs/>
          <w:sz w:val="22"/>
          <w:szCs w:val="22"/>
        </w:rPr>
        <w:t>y:  hloubka 52-55 cm, š. 52 - 60</w:t>
      </w:r>
      <w:r w:rsidR="009A3463" w:rsidRPr="009A3463">
        <w:rPr>
          <w:rFonts w:asciiTheme="minorHAnsi" w:hAnsiTheme="minorHAnsi" w:cstheme="minorHAnsi"/>
          <w:bCs/>
          <w:sz w:val="22"/>
          <w:szCs w:val="22"/>
        </w:rPr>
        <w:t xml:space="preserve"> cm, v</w:t>
      </w:r>
      <w:r w:rsidR="009833B9">
        <w:rPr>
          <w:rFonts w:asciiTheme="minorHAnsi" w:hAnsiTheme="minorHAnsi" w:cstheme="minorHAnsi"/>
          <w:bCs/>
          <w:sz w:val="22"/>
          <w:szCs w:val="22"/>
        </w:rPr>
        <w:t>. 96 – 108 cm, v. sedáku 50 - 54</w:t>
      </w:r>
      <w:r w:rsidR="009A3463" w:rsidRPr="009A3463"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:rsid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 xml:space="preserve">Přibližná váha v intervalu: 9 – 15 Kg </w:t>
      </w:r>
    </w:p>
    <w:p w:rsidR="007A06DC" w:rsidRPr="009A3463" w:rsidRDefault="007A06DC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Nosnost: minimálně 120 kg</w:t>
      </w:r>
    </w:p>
    <w:p w:rsid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Čalounění:  sedák PU pěna hustota 22 kg/m3, opěrák PU pěna hustota 16 kg/m3</w:t>
      </w:r>
      <w:r w:rsidR="007A06DC">
        <w:rPr>
          <w:rFonts w:asciiTheme="minorHAnsi" w:hAnsiTheme="minorHAnsi" w:cstheme="minorHAnsi"/>
          <w:bCs/>
          <w:sz w:val="22"/>
          <w:szCs w:val="22"/>
        </w:rPr>
        <w:t xml:space="preserve"> nebo</w:t>
      </w:r>
    </w:p>
    <w:p w:rsidR="007A06DC" w:rsidRDefault="007A06DC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ekvivalentní či vyšší kvality</w:t>
      </w:r>
    </w:p>
    <w:p w:rsidR="009833B9" w:rsidRPr="009A3463" w:rsidRDefault="009833B9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Ocvočkování lemu sedáku a opěradla je možné.</w:t>
      </w:r>
    </w:p>
    <w:p w:rsidR="009A3463" w:rsidRP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Látka potahu: saténová látka, samet, gobelínová látka</w:t>
      </w:r>
    </w:p>
    <w:p w:rsidR="009A3463" w:rsidRPr="009A3463" w:rsidRDefault="00000A9E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Barva potahu:</w:t>
      </w:r>
      <w:r w:rsidR="007A06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33B9">
        <w:rPr>
          <w:rFonts w:asciiTheme="minorHAnsi" w:hAnsiTheme="minorHAnsi" w:cstheme="minorHAnsi"/>
          <w:bCs/>
          <w:sz w:val="22"/>
          <w:szCs w:val="22"/>
        </w:rPr>
        <w:t xml:space="preserve"> u </w:t>
      </w:r>
      <w:r w:rsidR="007A06DC">
        <w:rPr>
          <w:rFonts w:asciiTheme="minorHAnsi" w:hAnsiTheme="minorHAnsi" w:cstheme="minorHAnsi"/>
          <w:bCs/>
          <w:sz w:val="22"/>
          <w:szCs w:val="22"/>
        </w:rPr>
        <w:t>100 ks židlí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43CA">
        <w:rPr>
          <w:rFonts w:asciiTheme="minorHAnsi" w:hAnsiTheme="minorHAnsi" w:cstheme="minorHAnsi"/>
          <w:bCs/>
          <w:sz w:val="22"/>
          <w:szCs w:val="22"/>
        </w:rPr>
        <w:t>potah ve vínově červené</w:t>
      </w:r>
      <w:r w:rsidR="009833B9">
        <w:rPr>
          <w:rFonts w:asciiTheme="minorHAnsi" w:hAnsiTheme="minorHAnsi" w:cstheme="minorHAnsi"/>
          <w:bCs/>
          <w:sz w:val="22"/>
          <w:szCs w:val="22"/>
        </w:rPr>
        <w:t xml:space="preserve"> barvě</w:t>
      </w:r>
      <w:r w:rsidR="009A3463" w:rsidRPr="009A3463">
        <w:rPr>
          <w:rFonts w:asciiTheme="minorHAnsi" w:hAnsiTheme="minorHAnsi" w:cstheme="minorHAnsi"/>
          <w:bCs/>
          <w:sz w:val="22"/>
          <w:szCs w:val="22"/>
        </w:rPr>
        <w:t>,</w:t>
      </w:r>
      <w:r w:rsidR="009833B9">
        <w:rPr>
          <w:rFonts w:asciiTheme="minorHAnsi" w:hAnsiTheme="minorHAnsi" w:cstheme="minorHAnsi"/>
          <w:bCs/>
          <w:sz w:val="22"/>
          <w:szCs w:val="22"/>
        </w:rPr>
        <w:t xml:space="preserve"> u</w:t>
      </w:r>
      <w:r w:rsidR="007A06DC">
        <w:rPr>
          <w:rFonts w:asciiTheme="minorHAnsi" w:hAnsiTheme="minorHAnsi" w:cstheme="minorHAnsi"/>
          <w:bCs/>
          <w:sz w:val="22"/>
          <w:szCs w:val="22"/>
        </w:rPr>
        <w:t xml:space="preserve"> 40 ks židlí</w:t>
      </w:r>
      <w:r w:rsidR="009A3463" w:rsidRPr="009A34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33B9">
        <w:rPr>
          <w:rFonts w:asciiTheme="minorHAnsi" w:hAnsiTheme="minorHAnsi" w:cstheme="minorHAnsi"/>
          <w:bCs/>
          <w:sz w:val="22"/>
          <w:szCs w:val="22"/>
        </w:rPr>
        <w:t>potah v</w:t>
      </w:r>
      <w:r w:rsidR="00CB43CA">
        <w:rPr>
          <w:rFonts w:asciiTheme="minorHAnsi" w:hAnsiTheme="minorHAnsi" w:cstheme="minorHAnsi"/>
          <w:bCs/>
          <w:sz w:val="22"/>
          <w:szCs w:val="22"/>
        </w:rPr>
        <w:t> olivově zelené</w:t>
      </w:r>
      <w:r w:rsidR="009833B9">
        <w:rPr>
          <w:rFonts w:asciiTheme="minorHAnsi" w:hAnsiTheme="minorHAnsi" w:cstheme="minorHAnsi"/>
          <w:bCs/>
          <w:sz w:val="22"/>
          <w:szCs w:val="22"/>
        </w:rPr>
        <w:t xml:space="preserve"> barvě</w:t>
      </w:r>
    </w:p>
    <w:p w:rsid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Jednobarevná látka</w:t>
      </w:r>
      <w:r w:rsidR="00E352D8">
        <w:rPr>
          <w:rFonts w:asciiTheme="minorHAnsi" w:hAnsiTheme="minorHAnsi" w:cstheme="minorHAnsi"/>
          <w:bCs/>
          <w:sz w:val="22"/>
          <w:szCs w:val="22"/>
        </w:rPr>
        <w:t xml:space="preserve"> bez vzorů</w:t>
      </w:r>
      <w:r w:rsidR="009833B9">
        <w:rPr>
          <w:rFonts w:asciiTheme="minorHAnsi" w:hAnsiTheme="minorHAnsi" w:cstheme="minorHAnsi"/>
          <w:bCs/>
          <w:sz w:val="22"/>
          <w:szCs w:val="22"/>
        </w:rPr>
        <w:t xml:space="preserve"> nebo se stylově odpovídajícím vzorem.</w:t>
      </w:r>
    </w:p>
    <w:p w:rsidR="00E352D8" w:rsidRPr="009A3463" w:rsidRDefault="00E352D8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A3463" w:rsidRPr="009A3463" w:rsidRDefault="009A3463" w:rsidP="009A34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463">
        <w:rPr>
          <w:rFonts w:asciiTheme="minorHAnsi" w:hAnsiTheme="minorHAnsi" w:cstheme="minorHAnsi"/>
          <w:bCs/>
          <w:sz w:val="22"/>
          <w:szCs w:val="22"/>
        </w:rPr>
        <w:t>Židle bude bez područek</w:t>
      </w:r>
      <w:r w:rsidR="00D1635D">
        <w:rPr>
          <w:rFonts w:asciiTheme="minorHAnsi" w:hAnsiTheme="minorHAnsi" w:cstheme="minorHAnsi"/>
          <w:bCs/>
          <w:sz w:val="22"/>
          <w:szCs w:val="22"/>
        </w:rPr>
        <w:t>.</w:t>
      </w:r>
    </w:p>
    <w:p w:rsidR="009A3463" w:rsidRPr="00E352D8" w:rsidRDefault="00E352D8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2D8">
        <w:rPr>
          <w:rFonts w:asciiTheme="minorHAnsi" w:hAnsiTheme="minorHAnsi" w:cstheme="minorHAnsi"/>
          <w:bCs/>
          <w:sz w:val="22"/>
          <w:szCs w:val="22"/>
        </w:rPr>
        <w:t>Židle bude ručně vyráběná.</w:t>
      </w:r>
    </w:p>
    <w:p w:rsidR="005A425C" w:rsidRPr="005C2038" w:rsidRDefault="005A425C" w:rsidP="005A42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CF0714" w:rsidRPr="00CF0714" w:rsidRDefault="00127B95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Židle budou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vyroben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ve vysoké kvalitě s precizním provedením detailů nebo dodán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 xml:space="preserve"> od renomovaných </w:t>
      </w:r>
      <w:r w:rsidR="00CF0714">
        <w:rPr>
          <w:rFonts w:asciiTheme="minorHAnsi" w:hAnsiTheme="minorHAnsi" w:cstheme="minorHAnsi"/>
          <w:bCs/>
          <w:sz w:val="22"/>
          <w:szCs w:val="22"/>
        </w:rPr>
        <w:t>tuzemských či zahraničních výrobců</w:t>
      </w:r>
      <w:r w:rsidR="00CF0714" w:rsidRPr="00CF0714">
        <w:rPr>
          <w:rFonts w:asciiTheme="minorHAnsi" w:hAnsiTheme="minorHAnsi" w:cstheme="minorHAnsi"/>
          <w:bCs/>
          <w:sz w:val="22"/>
          <w:szCs w:val="22"/>
        </w:rPr>
        <w:t>.</w:t>
      </w:r>
    </w:p>
    <w:p w:rsid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0714" w:rsidRPr="00CF0714" w:rsidRDefault="00CF0714" w:rsidP="00CF0714">
      <w:pPr>
        <w:jc w:val="both"/>
        <w:rPr>
          <w:rFonts w:asciiTheme="minorHAnsi" w:hAnsiTheme="minorHAnsi" w:cstheme="minorHAnsi"/>
          <w:sz w:val="22"/>
          <w:szCs w:val="22"/>
        </w:rPr>
      </w:pPr>
      <w:r w:rsidRPr="00CF0714">
        <w:rPr>
          <w:rFonts w:asciiTheme="minorHAnsi" w:hAnsiTheme="minorHAnsi" w:cstheme="minorHAnsi"/>
          <w:sz w:val="22"/>
          <w:szCs w:val="22"/>
        </w:rPr>
        <w:t>Součástí předmětu plnění je zajištění dopravy od výrobce do místa plnění veřejné zakázky vč. umístění tj. přemístění z dopravního prostředku do prostoru určeného zadavatelem v místě dodávky.</w:t>
      </w:r>
    </w:p>
    <w:p w:rsidR="00CF0714" w:rsidRP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0714" w:rsidRPr="00CF0714" w:rsidRDefault="00CF0714" w:rsidP="00CF071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714">
        <w:rPr>
          <w:rFonts w:asciiTheme="minorHAnsi" w:hAnsiTheme="minorHAnsi" w:cstheme="minorHAnsi"/>
          <w:bCs/>
          <w:sz w:val="22"/>
          <w:szCs w:val="22"/>
        </w:rPr>
        <w:t xml:space="preserve">Součástí předmětu plnění veřejné zakázky je také </w:t>
      </w:r>
      <w:r>
        <w:rPr>
          <w:rFonts w:asciiTheme="minorHAnsi" w:hAnsiTheme="minorHAnsi" w:cstheme="minorHAnsi"/>
          <w:bCs/>
          <w:sz w:val="22"/>
          <w:szCs w:val="22"/>
        </w:rPr>
        <w:t xml:space="preserve">případná </w:t>
      </w:r>
      <w:r w:rsidRPr="00CF0714">
        <w:rPr>
          <w:rFonts w:asciiTheme="minorHAnsi" w:hAnsiTheme="minorHAnsi" w:cstheme="minorHAnsi"/>
          <w:bCs/>
          <w:sz w:val="22"/>
          <w:szCs w:val="22"/>
        </w:rPr>
        <w:t xml:space="preserve"> montáž, likvidace obalového materiálu a vykládka </w:t>
      </w:r>
      <w:r w:rsidR="005C2038">
        <w:rPr>
          <w:rFonts w:asciiTheme="minorHAnsi" w:hAnsiTheme="minorHAnsi" w:cstheme="minorHAnsi"/>
          <w:bCs/>
          <w:sz w:val="22"/>
          <w:szCs w:val="22"/>
        </w:rPr>
        <w:t>dodávky židlí</w:t>
      </w:r>
      <w:r w:rsidRPr="00CF0714">
        <w:rPr>
          <w:rFonts w:asciiTheme="minorHAnsi" w:hAnsiTheme="minorHAnsi" w:cstheme="minorHAnsi"/>
          <w:bCs/>
          <w:sz w:val="22"/>
          <w:szCs w:val="22"/>
        </w:rPr>
        <w:t xml:space="preserve"> do určených místností, kterou zajistí vybraný dodavatel podle pokynů Zadavatele. </w:t>
      </w:r>
    </w:p>
    <w:p w:rsidR="005F0FB4" w:rsidRPr="004C1972" w:rsidRDefault="005F0FB4" w:rsidP="00E74D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 osobou pro případné dotazy je</w:t>
      </w:r>
      <w:r w:rsidR="00265B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053788">
        <w:rPr>
          <w:rFonts w:asciiTheme="minorHAnsi" w:hAnsiTheme="minorHAnsi" w:cstheme="minorHAnsi"/>
          <w:sz w:val="22"/>
          <w:szCs w:val="22"/>
        </w:rPr>
        <w:t>.</w:t>
      </w:r>
      <w:r w:rsidR="005F05A4" w:rsidRPr="00607022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F23C2B" w:rsidRPr="00F23C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0E1E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DBA">
        <w:rPr>
          <w:rFonts w:asciiTheme="minorHAnsi" w:hAnsiTheme="minorHAnsi" w:cstheme="minorHAnsi"/>
          <w:b/>
          <w:sz w:val="22"/>
          <w:szCs w:val="22"/>
        </w:rPr>
        <w:t>909</w:t>
      </w:r>
      <w:r w:rsidR="009A3463">
        <w:rPr>
          <w:rFonts w:asciiTheme="minorHAnsi" w:hAnsiTheme="minorHAnsi" w:cstheme="minorHAnsi"/>
          <w:b/>
          <w:sz w:val="22"/>
          <w:szCs w:val="22"/>
        </w:rPr>
        <w:t xml:space="preserve"> tis. </w:t>
      </w:r>
      <w:r w:rsidRPr="00044398">
        <w:rPr>
          <w:rFonts w:asciiTheme="minorHAnsi" w:hAnsiTheme="minorHAnsi" w:cstheme="minorHAnsi"/>
          <w:b/>
          <w:sz w:val="22"/>
          <w:szCs w:val="22"/>
        </w:rPr>
        <w:t>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5C2038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A46778" w:rsidRDefault="00A46778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AA2733" w:rsidRPr="0094711C" w:rsidRDefault="00AA2733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80E18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6778" w:rsidRPr="004C1972" w:rsidRDefault="00A4677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</w:t>
      </w:r>
      <w:r w:rsidRPr="00921CFA">
        <w:rPr>
          <w:rFonts w:asciiTheme="minorHAnsi" w:hAnsiTheme="minorHAnsi" w:cstheme="minorHAnsi"/>
          <w:b/>
          <w:bCs/>
          <w:sz w:val="22"/>
          <w:szCs w:val="22"/>
        </w:rPr>
        <w:t>veřejné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zakázky:</w:t>
      </w:r>
    </w:p>
    <w:p w:rsidR="00E7746D" w:rsidRPr="00921CFA" w:rsidRDefault="00CF0714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Předpokládaný termín plnění</w:t>
      </w:r>
      <w:r w:rsidR="00B7327A">
        <w:rPr>
          <w:rFonts w:asciiTheme="minorHAnsi" w:hAnsiTheme="minorHAnsi" w:cstheme="minorHAnsi"/>
          <w:sz w:val="22"/>
          <w:szCs w:val="22"/>
        </w:rPr>
        <w:t xml:space="preserve">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 </w:t>
      </w:r>
      <w:r>
        <w:rPr>
          <w:rFonts w:asciiTheme="minorHAnsi" w:hAnsiTheme="minorHAnsi" w:cstheme="minorHAnsi"/>
          <w:sz w:val="22"/>
          <w:szCs w:val="22"/>
        </w:rPr>
        <w:t>je</w:t>
      </w:r>
      <w:r w:rsidR="004F01D1" w:rsidRPr="00CF0714">
        <w:rPr>
          <w:rFonts w:asciiTheme="minorHAnsi" w:hAnsiTheme="minorHAnsi" w:cstheme="minorHAnsi"/>
          <w:sz w:val="22"/>
          <w:szCs w:val="22"/>
        </w:rPr>
        <w:t xml:space="preserve"> </w:t>
      </w:r>
      <w:r w:rsidR="00FA5583" w:rsidRPr="00CF0714">
        <w:rPr>
          <w:rFonts w:asciiTheme="minorHAnsi" w:hAnsiTheme="minorHAnsi" w:cstheme="minorHAnsi"/>
          <w:b/>
          <w:sz w:val="22"/>
          <w:szCs w:val="22"/>
        </w:rPr>
        <w:t>do 28.</w:t>
      </w:r>
      <w:r w:rsidR="00921CFA" w:rsidRPr="00CF0714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="004F01D1" w:rsidRPr="00CF0714">
        <w:rPr>
          <w:rFonts w:asciiTheme="minorHAnsi" w:hAnsiTheme="minorHAnsi" w:cstheme="minorHAnsi"/>
          <w:b/>
          <w:sz w:val="22"/>
          <w:szCs w:val="22"/>
        </w:rPr>
        <w:t>. 2020</w:t>
      </w:r>
      <w:r w:rsidR="00921CFA" w:rsidRPr="00CF0714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6364EE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Místem plnění veřejné zakázky je</w:t>
      </w:r>
      <w:r w:rsidR="005F0FB4">
        <w:rPr>
          <w:rFonts w:asciiTheme="minorHAnsi" w:hAnsiTheme="minorHAnsi" w:cstheme="minorHAnsi"/>
          <w:sz w:val="22"/>
          <w:szCs w:val="22"/>
        </w:rPr>
        <w:t xml:space="preserve"> sál a salónek v objektu</w:t>
      </w:r>
      <w:r w:rsidRPr="00F23C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0FB4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="005F0FB4">
        <w:rPr>
          <w:rFonts w:asciiTheme="minorHAnsi" w:hAnsiTheme="minorHAnsi" w:cstheme="minorHAnsi"/>
          <w:sz w:val="22"/>
          <w:szCs w:val="22"/>
        </w:rPr>
        <w:t xml:space="preserve"> paláce na adrese</w:t>
      </w:r>
      <w:r w:rsidRPr="00F23C2B">
        <w:rPr>
          <w:rFonts w:asciiTheme="minorHAnsi" w:hAnsiTheme="minorHAnsi" w:cstheme="minorHAnsi"/>
          <w:sz w:val="22"/>
          <w:szCs w:val="22"/>
        </w:rPr>
        <w:t xml:space="preserve">: </w:t>
      </w:r>
      <w:r w:rsidR="005F0FB4" w:rsidRPr="005F0FB4">
        <w:rPr>
          <w:rFonts w:asciiTheme="minorHAnsi" w:hAnsiTheme="minorHAnsi" w:cstheme="minorHAnsi"/>
          <w:sz w:val="22"/>
          <w:szCs w:val="22"/>
        </w:rPr>
        <w:t>Valdštejnská 158/14,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0FB4" w:rsidRPr="004C1972" w:rsidRDefault="005F0FB4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6DC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7A06DC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9A3463" w:rsidRDefault="00FC7A3D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Jedná se</w:t>
      </w:r>
      <w:r w:rsidRPr="00FC7A3D">
        <w:rPr>
          <w:rFonts w:asciiTheme="minorHAnsi" w:hAnsiTheme="minorHAnsi" w:cstheme="minorHAnsi"/>
          <w:sz w:val="22"/>
          <w:szCs w:val="22"/>
        </w:rPr>
        <w:t xml:space="preserve"> o vybavení sálu a salónku v </w:t>
      </w:r>
      <w:proofErr w:type="spellStart"/>
      <w:r w:rsidRPr="00FC7A3D">
        <w:rPr>
          <w:rFonts w:asciiTheme="minorHAnsi" w:hAnsiTheme="minorHAnsi" w:cstheme="minorHAnsi"/>
          <w:sz w:val="22"/>
          <w:szCs w:val="22"/>
        </w:rPr>
        <w:t>Pálffy</w:t>
      </w:r>
      <w:r>
        <w:rPr>
          <w:rFonts w:asciiTheme="minorHAnsi" w:hAnsiTheme="minorHAnsi" w:cstheme="minorHAnsi"/>
          <w:sz w:val="22"/>
          <w:szCs w:val="22"/>
        </w:rPr>
        <w:t>ovském</w:t>
      </w:r>
      <w:proofErr w:type="spellEnd"/>
      <w:r w:rsidRPr="00FC7A3D">
        <w:rPr>
          <w:rFonts w:asciiTheme="minorHAnsi" w:hAnsiTheme="minorHAnsi" w:cstheme="minorHAnsi"/>
          <w:sz w:val="22"/>
          <w:szCs w:val="22"/>
        </w:rPr>
        <w:t xml:space="preserve"> paláci, který prochází</w:t>
      </w:r>
      <w:r>
        <w:rPr>
          <w:rFonts w:asciiTheme="minorHAnsi" w:hAnsiTheme="minorHAnsi" w:cstheme="minorHAnsi"/>
          <w:sz w:val="22"/>
          <w:szCs w:val="22"/>
        </w:rPr>
        <w:t xml:space="preserve"> kompletní</w:t>
      </w:r>
      <w:r w:rsidRPr="00FC7A3D">
        <w:rPr>
          <w:rFonts w:asciiTheme="minorHAnsi" w:hAnsiTheme="minorHAnsi" w:cstheme="minorHAnsi"/>
          <w:sz w:val="22"/>
          <w:szCs w:val="22"/>
        </w:rPr>
        <w:t xml:space="preserve"> rekonstrukcí a původní židle v barokním stylu jsou již</w:t>
      </w:r>
      <w:r>
        <w:rPr>
          <w:rFonts w:asciiTheme="minorHAnsi" w:hAnsiTheme="minorHAnsi" w:cstheme="minorHAnsi"/>
          <w:sz w:val="22"/>
          <w:szCs w:val="22"/>
        </w:rPr>
        <w:t xml:space="preserve"> ve špatném stavu,</w:t>
      </w:r>
      <w:r w:rsidRPr="00FC7A3D">
        <w:rPr>
          <w:rFonts w:asciiTheme="minorHAnsi" w:hAnsiTheme="minorHAnsi" w:cstheme="minorHAnsi"/>
          <w:sz w:val="22"/>
          <w:szCs w:val="22"/>
        </w:rPr>
        <w:t xml:space="preserve"> neopravitelné.</w:t>
      </w:r>
    </w:p>
    <w:p w:rsidR="00FC7A3D" w:rsidRPr="00A5290C" w:rsidRDefault="00FC7A3D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46778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6D1F">
        <w:rPr>
          <w:rFonts w:asciiTheme="minorHAnsi" w:hAnsiTheme="minorHAnsi" w:cstheme="minorHAnsi"/>
          <w:sz w:val="22"/>
          <w:szCs w:val="22"/>
        </w:rPr>
        <w:t>odávku</w:t>
      </w:r>
      <w:r w:rsidR="005A425C">
        <w:rPr>
          <w:rFonts w:asciiTheme="minorHAnsi" w:hAnsiTheme="minorHAnsi" w:cstheme="minorHAnsi"/>
          <w:sz w:val="22"/>
          <w:szCs w:val="22"/>
        </w:rPr>
        <w:t xml:space="preserve"> barokních židlí</w:t>
      </w:r>
      <w:r w:rsidRPr="00AB6D1F">
        <w:rPr>
          <w:rFonts w:asciiTheme="minorHAnsi" w:hAnsiTheme="minorHAnsi" w:cstheme="minorHAnsi"/>
          <w:sz w:val="22"/>
          <w:szCs w:val="22"/>
        </w:rPr>
        <w:t>,</w:t>
      </w:r>
      <w:r w:rsidR="009A3463">
        <w:rPr>
          <w:rFonts w:asciiTheme="minorHAnsi" w:hAnsiTheme="minorHAnsi" w:cstheme="minorHAnsi"/>
          <w:sz w:val="22"/>
          <w:szCs w:val="22"/>
        </w:rPr>
        <w:t xml:space="preserve"> obalový materiál včetně jeho likvidace, případnou montáž,</w:t>
      </w:r>
      <w:r w:rsidR="005A425C">
        <w:rPr>
          <w:rFonts w:asciiTheme="minorHAnsi" w:hAnsiTheme="minorHAnsi" w:cstheme="minorHAnsi"/>
          <w:sz w:val="22"/>
          <w:szCs w:val="22"/>
        </w:rPr>
        <w:t xml:space="preserve"> pokyny pro údržbu,</w:t>
      </w:r>
      <w:r w:rsidRPr="00AB6D1F">
        <w:rPr>
          <w:rFonts w:asciiTheme="minorHAnsi" w:hAnsiTheme="minorHAnsi" w:cstheme="minorHAnsi"/>
          <w:sz w:val="22"/>
          <w:szCs w:val="22"/>
        </w:rPr>
        <w:t xml:space="preserve"> dopravu</w:t>
      </w:r>
      <w:r w:rsidR="005A425C">
        <w:rPr>
          <w:rFonts w:asciiTheme="minorHAnsi" w:hAnsiTheme="minorHAnsi" w:cstheme="minorHAnsi"/>
          <w:sz w:val="22"/>
          <w:szCs w:val="22"/>
        </w:rPr>
        <w:t xml:space="preserve"> včetně vykládky.</w:t>
      </w:r>
      <w:r w:rsidRPr="00AB6D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6778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Zadavatel neposkytuje zálohy ani bankovní záruku.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Záruční doba na předmět veřejné zakázky bude činit minimálně 24 měsíců.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Dodávka může být realizována postupně, maximálně však po dvou částech, tj. ve dvou dodávkách.</w:t>
      </w:r>
    </w:p>
    <w:p w:rsidR="00E352D8" w:rsidRP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Platba bude tedy provedena na základě maximálně dvou faktur. Každá faktura bude vystavena po realizaci jedné části, tj. jedné dodávky.</w:t>
      </w:r>
    </w:p>
    <w:p w:rsidR="00095749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  <w:r w:rsidRPr="00E352D8">
        <w:rPr>
          <w:rFonts w:asciiTheme="minorHAnsi" w:hAnsiTheme="minorHAnsi" w:cstheme="minorHAnsi"/>
          <w:sz w:val="22"/>
          <w:szCs w:val="22"/>
        </w:rPr>
        <w:t>Splatnost da</w:t>
      </w:r>
      <w:r w:rsidR="009F288D">
        <w:rPr>
          <w:rFonts w:asciiTheme="minorHAnsi" w:hAnsiTheme="minorHAnsi" w:cstheme="minorHAnsi"/>
          <w:sz w:val="22"/>
          <w:szCs w:val="22"/>
        </w:rPr>
        <w:t>ňových dokladů, odsouhlasených Z</w:t>
      </w:r>
      <w:r w:rsidRPr="00E352D8">
        <w:rPr>
          <w:rFonts w:asciiTheme="minorHAnsi" w:hAnsiTheme="minorHAnsi" w:cstheme="minorHAnsi"/>
          <w:sz w:val="22"/>
          <w:szCs w:val="22"/>
        </w:rPr>
        <w:t>adavatelem, bude minimálně 14 dní.</w:t>
      </w:r>
    </w:p>
    <w:p w:rsidR="00E352D8" w:rsidRDefault="00E352D8" w:rsidP="00E352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Podrobné obchodní a platební podmínky, neuvedené ve výzvě či zadávací dokumentaci, budou vymezeny až v kupní smlouvě, která bude uzavřena nejpozději do 14 kalendářních dnů ode dne vyhlášení výsledku výběrového řízení.</w:t>
      </w:r>
    </w:p>
    <w:p w:rsidR="00095749" w:rsidRDefault="00095749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D4E" w:rsidRPr="00BD0F31" w:rsidRDefault="0094711C" w:rsidP="00BD0F3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F0FB4">
        <w:rPr>
          <w:rFonts w:asciiTheme="minorHAnsi" w:hAnsiTheme="minorHAnsi" w:cstheme="minorHAnsi"/>
          <w:b/>
          <w:i/>
          <w:sz w:val="22"/>
          <w:szCs w:val="22"/>
        </w:rPr>
        <w:t xml:space="preserve">provozní 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akci „</w:t>
      </w:r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 xml:space="preserve">Obnova nábytku Na Rejdišti a </w:t>
      </w:r>
      <w:proofErr w:type="spellStart"/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>Pálffy</w:t>
      </w:r>
      <w:proofErr w:type="spellEnd"/>
      <w:r w:rsidR="005F0FB4" w:rsidRPr="005F0FB4">
        <w:rPr>
          <w:rFonts w:asciiTheme="minorHAnsi" w:hAnsiTheme="minorHAnsi" w:cstheme="minorHAnsi"/>
          <w:b/>
          <w:i/>
          <w:sz w:val="22"/>
          <w:szCs w:val="22"/>
        </w:rPr>
        <w:t xml:space="preserve"> palác</w:t>
      </w:r>
      <w:r w:rsidRPr="00250948">
        <w:rPr>
          <w:rFonts w:asciiTheme="minorHAnsi" w:hAnsiTheme="minorHAnsi" w:cstheme="minorHAnsi"/>
          <w:b/>
          <w:i/>
          <w:sz w:val="22"/>
          <w:szCs w:val="22"/>
        </w:rPr>
        <w:t>“.</w:t>
      </w:r>
      <w:r w:rsidRPr="00EE3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9A3463" w:rsidRPr="004C1972" w:rsidRDefault="009A3463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682101" w:rsidRPr="00BD0F31" w:rsidRDefault="004314F0" w:rsidP="00682101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lastRenderedPageBreak/>
        <w:t>Zadavatel si však může i v tomto případě kdykoliv v průběhu zadávacího řízení vyžádat předložení originálů nebo úředně ověřených kopií dokladů o kvalifikaci.</w:t>
      </w:r>
    </w:p>
    <w:p w:rsidR="00682101" w:rsidRPr="00250948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2101" w:rsidRPr="004C1972" w:rsidRDefault="00682101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68210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677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A46778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</w:t>
      </w:r>
      <w:r w:rsidR="0095567C">
        <w:rPr>
          <w:rFonts w:asciiTheme="minorHAnsi" w:hAnsiTheme="minorHAnsi" w:cstheme="minorHAnsi"/>
          <w:sz w:val="22"/>
          <w:szCs w:val="22"/>
        </w:rPr>
        <w:t>, design nabízených výrobků</w:t>
      </w:r>
      <w:r w:rsidR="009E6295">
        <w:rPr>
          <w:rFonts w:asciiTheme="minorHAnsi" w:hAnsiTheme="minorHAnsi" w:cstheme="minorHAnsi"/>
          <w:sz w:val="22"/>
          <w:szCs w:val="22"/>
        </w:rPr>
        <w:t>, barevné a materiálové provedení potahu</w:t>
      </w:r>
      <w:r w:rsidRPr="005E681A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termín dodání.</w:t>
      </w:r>
      <w:r w:rsidRPr="0004643C">
        <w:rPr>
          <w:rFonts w:asciiTheme="minorHAnsi" w:hAnsiTheme="minorHAnsi" w:cstheme="minorHAnsi"/>
          <w:sz w:val="22"/>
          <w:szCs w:val="22"/>
        </w:rPr>
        <w:t xml:space="preserve"> Jasná a srozumitelná specifikace kritérií musí být nedílnou součástí předložené cenové nabídky.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>a/ Celková výše nabídkové ceny</w:t>
      </w:r>
      <w:r w:rsidRPr="0004643C">
        <w:rPr>
          <w:rFonts w:asciiTheme="minorHAnsi" w:hAnsiTheme="minorHAnsi" w:cstheme="minorHAnsi"/>
          <w:sz w:val="22"/>
          <w:szCs w:val="22"/>
        </w:rPr>
        <w:t xml:space="preserve"> </w:t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Pr="0004643C">
        <w:rPr>
          <w:rFonts w:asciiTheme="minorHAnsi" w:hAnsiTheme="minorHAnsi" w:cstheme="minorHAnsi"/>
          <w:sz w:val="22"/>
          <w:szCs w:val="22"/>
        </w:rPr>
        <w:tab/>
      </w:r>
      <w:r w:rsidR="00AA2733">
        <w:rPr>
          <w:rFonts w:asciiTheme="minorHAnsi" w:hAnsiTheme="minorHAnsi" w:cstheme="minorHAnsi"/>
          <w:b/>
          <w:sz w:val="22"/>
          <w:szCs w:val="22"/>
        </w:rPr>
        <w:t>váha 40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bu</w:t>
      </w:r>
      <w:r w:rsidRPr="00F3436E">
        <w:rPr>
          <w:rFonts w:asciiTheme="minorHAnsi" w:hAnsiTheme="minorHAnsi" w:cstheme="minorHAnsi"/>
          <w:sz w:val="22"/>
          <w:szCs w:val="22"/>
        </w:rPr>
        <w:t xml:space="preserve">de </w:t>
      </w:r>
      <w:r w:rsidR="00983DBA" w:rsidRPr="00F3436E">
        <w:rPr>
          <w:rFonts w:asciiTheme="minorHAnsi" w:hAnsiTheme="minorHAnsi" w:cstheme="minorHAnsi"/>
          <w:sz w:val="22"/>
          <w:szCs w:val="22"/>
        </w:rPr>
        <w:t>do 909</w:t>
      </w:r>
      <w:r w:rsidRPr="00F3436E">
        <w:rPr>
          <w:rFonts w:asciiTheme="minorHAnsi" w:hAnsiTheme="minorHAnsi" w:cstheme="minorHAnsi"/>
          <w:sz w:val="22"/>
          <w:szCs w:val="22"/>
        </w:rPr>
        <w:t xml:space="preserve"> 000,- Kč + DPH.</w:t>
      </w:r>
    </w:p>
    <w:p w:rsidR="009064A3" w:rsidRPr="0004643C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04643C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5">
        <w:rPr>
          <w:rFonts w:asciiTheme="minorHAnsi" w:hAnsiTheme="minorHAnsi" w:cstheme="minorHAnsi"/>
          <w:b/>
          <w:sz w:val="22"/>
          <w:szCs w:val="22"/>
        </w:rPr>
        <w:t xml:space="preserve">b/ </w:t>
      </w:r>
      <w:r w:rsidR="0095567C">
        <w:rPr>
          <w:rFonts w:asciiTheme="minorHAnsi" w:hAnsiTheme="minorHAnsi" w:cstheme="minorHAnsi"/>
          <w:b/>
          <w:sz w:val="22"/>
          <w:szCs w:val="22"/>
        </w:rPr>
        <w:t xml:space="preserve">Design výrobku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A2733">
        <w:rPr>
          <w:rFonts w:asciiTheme="minorHAnsi" w:hAnsiTheme="minorHAnsi" w:cstheme="minorHAnsi"/>
          <w:b/>
          <w:sz w:val="22"/>
          <w:szCs w:val="22"/>
        </w:rPr>
        <w:t>váha 25</w:t>
      </w:r>
      <w:r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5567C" w:rsidRDefault="0095567C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 výrobku zahrnuje vzhled židle, který bude posuzován podle předložených</w:t>
      </w:r>
      <w:r w:rsidR="00A46778">
        <w:rPr>
          <w:rFonts w:asciiTheme="minorHAnsi" w:hAnsiTheme="minorHAnsi" w:cstheme="minorHAnsi"/>
          <w:sz w:val="22"/>
          <w:szCs w:val="22"/>
        </w:rPr>
        <w:t xml:space="preserve"> fotografií (obrázků) uchazečem a v rámci tohoto kritéria bude také přihlíženo k předložené podrobné technické a jiná specifikaci</w:t>
      </w:r>
      <w:r w:rsidR="00A46778" w:rsidRPr="00A46778">
        <w:rPr>
          <w:rFonts w:asciiTheme="minorHAnsi" w:hAnsiTheme="minorHAnsi" w:cstheme="minorHAnsi"/>
          <w:sz w:val="22"/>
          <w:szCs w:val="22"/>
        </w:rPr>
        <w:t xml:space="preserve"> </w:t>
      </w:r>
      <w:r w:rsidR="00A46778">
        <w:rPr>
          <w:rFonts w:asciiTheme="minorHAnsi" w:hAnsiTheme="minorHAnsi" w:cstheme="minorHAnsi"/>
          <w:sz w:val="22"/>
          <w:szCs w:val="22"/>
        </w:rPr>
        <w:t>nabízených barokních židlí.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hodnocení subjektivního (nečíselného)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Tříčlenná odborná a výběrová komise určená Zadavatelem vybere nejdříve</w:t>
      </w:r>
      <w:r w:rsidR="0095567C">
        <w:rPr>
          <w:rFonts w:asciiTheme="minorHAnsi" w:hAnsiTheme="minorHAnsi" w:cstheme="minorHAnsi"/>
          <w:sz w:val="22"/>
          <w:szCs w:val="22"/>
        </w:rPr>
        <w:t xml:space="preserve"> z</w:t>
      </w:r>
      <w:r w:rsidR="009E6295">
        <w:rPr>
          <w:rFonts w:asciiTheme="minorHAnsi" w:hAnsiTheme="minorHAnsi" w:cstheme="minorHAnsi"/>
          <w:sz w:val="22"/>
          <w:szCs w:val="22"/>
        </w:rPr>
        <w:t>e</w:t>
      </w:r>
      <w:r w:rsidR="0095567C">
        <w:rPr>
          <w:rFonts w:asciiTheme="minorHAnsi" w:hAnsiTheme="minorHAnsi" w:cstheme="minorHAnsi"/>
          <w:sz w:val="22"/>
          <w:szCs w:val="22"/>
        </w:rPr>
        <w:t xml:space="preserve"> dvou předložených fotografií tu nejlepší za účelem dalšího hodnocení. </w:t>
      </w:r>
      <w:r w:rsidR="009E6295">
        <w:rPr>
          <w:rFonts w:asciiTheme="minorHAnsi" w:hAnsiTheme="minorHAnsi" w:cstheme="minorHAnsi"/>
          <w:sz w:val="22"/>
          <w:szCs w:val="22"/>
        </w:rPr>
        <w:t>Takto zvolená fotografie</w:t>
      </w:r>
      <w:r w:rsidR="00A46778">
        <w:rPr>
          <w:rFonts w:asciiTheme="minorHAnsi" w:hAnsiTheme="minorHAnsi" w:cstheme="minorHAnsi"/>
          <w:sz w:val="22"/>
          <w:szCs w:val="22"/>
        </w:rPr>
        <w:t xml:space="preserve"> s přihlédnutím k technické a jiné specifikaci židle zachycené na fotografii</w:t>
      </w:r>
      <w:r>
        <w:rPr>
          <w:rFonts w:asciiTheme="minorHAnsi" w:hAnsiTheme="minorHAnsi" w:cstheme="minorHAnsi"/>
          <w:sz w:val="22"/>
          <w:szCs w:val="22"/>
        </w:rPr>
        <w:t xml:space="preserve"> bude následně ohodnocen</w:t>
      </w:r>
      <w:r w:rsidR="009E629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určitým počtem bodů, který odrazí pořadí jednotlivých nabídek v rámci hodnocení tohoto kritéria.  Každé nabídce v rámci tohoto kr</w:t>
      </w:r>
      <w:r w:rsidR="00C54930">
        <w:rPr>
          <w:rFonts w:asciiTheme="minorHAnsi" w:hAnsiTheme="minorHAnsi" w:cstheme="minorHAnsi"/>
          <w:sz w:val="22"/>
          <w:szCs w:val="22"/>
        </w:rPr>
        <w:t>itéria může být přiděleno až 60</w:t>
      </w:r>
      <w:r>
        <w:rPr>
          <w:rFonts w:asciiTheme="minorHAnsi" w:hAnsiTheme="minorHAnsi" w:cstheme="minorHAnsi"/>
          <w:sz w:val="22"/>
          <w:szCs w:val="22"/>
        </w:rPr>
        <w:t xml:space="preserve"> bodů.</w:t>
      </w:r>
    </w:p>
    <w:p w:rsidR="00D3275E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Pr="0043130B">
        <w:rPr>
          <w:rFonts w:asciiTheme="minorHAnsi" w:hAnsiTheme="minorHAnsi" w:cstheme="minorHAnsi"/>
          <w:sz w:val="22"/>
          <w:szCs w:val="22"/>
        </w:rPr>
        <w:t>přepočítáním bodů dle následujícího vzorce s přepočtem váhy: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6778">
        <w:rPr>
          <w:rFonts w:asciiTheme="minorHAnsi" w:hAnsiTheme="minorHAnsi" w:cstheme="minorHAnsi"/>
          <w:sz w:val="22"/>
          <w:szCs w:val="22"/>
        </w:rPr>
        <w:t xml:space="preserve">       </w:t>
      </w:r>
      <w:r w:rsidR="00A46778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Dosažený počet bodů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>
        <w:rPr>
          <w:rFonts w:asciiTheme="minorHAnsi" w:hAnsiTheme="minorHAnsi" w:cstheme="minorHAnsi"/>
          <w:sz w:val="22"/>
          <w:szCs w:val="22"/>
        </w:rPr>
        <w:t xml:space="preserve">---------------- 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váha v </w:t>
      </w:r>
      <w:r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9E6295">
        <w:rPr>
          <w:rFonts w:asciiTheme="minorHAnsi" w:hAnsiTheme="minorHAnsi" w:cstheme="minorHAnsi"/>
          <w:sz w:val="22"/>
          <w:szCs w:val="22"/>
        </w:rPr>
        <w:t>(0,2</w:t>
      </w:r>
      <w:r w:rsidR="00AA2733">
        <w:rPr>
          <w:rFonts w:asciiTheme="minorHAnsi" w:hAnsiTheme="minorHAnsi" w:cstheme="minorHAnsi"/>
          <w:sz w:val="22"/>
          <w:szCs w:val="22"/>
        </w:rPr>
        <w:t>5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9064A3" w:rsidRPr="0043130B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Nejvyšší dosažený počet bodů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2038" w:rsidRDefault="005C2038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567C" w:rsidRDefault="005E3BBF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95567C" w:rsidRPr="00A54885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95567C">
        <w:rPr>
          <w:rFonts w:asciiTheme="minorHAnsi" w:hAnsiTheme="minorHAnsi" w:cstheme="minorHAnsi"/>
          <w:b/>
          <w:sz w:val="22"/>
          <w:szCs w:val="22"/>
        </w:rPr>
        <w:t xml:space="preserve">Barevné a materiálové provedení potahu                                           </w:t>
      </w:r>
      <w:r w:rsidR="00F47D78">
        <w:rPr>
          <w:rFonts w:asciiTheme="minorHAnsi" w:hAnsiTheme="minorHAnsi" w:cstheme="minorHAnsi"/>
          <w:sz w:val="22"/>
          <w:szCs w:val="22"/>
        </w:rPr>
        <w:t xml:space="preserve">       </w:t>
      </w:r>
      <w:r w:rsidR="00AA2733">
        <w:rPr>
          <w:rFonts w:asciiTheme="minorHAnsi" w:hAnsiTheme="minorHAnsi" w:cstheme="minorHAnsi"/>
          <w:b/>
          <w:sz w:val="22"/>
          <w:szCs w:val="22"/>
        </w:rPr>
        <w:t>váha 15</w:t>
      </w:r>
      <w:r w:rsidR="0095567C" w:rsidRPr="00A54885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95567C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Bude posuzován</w:t>
      </w:r>
      <w:r w:rsidR="004D7D7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na zák</w:t>
      </w:r>
      <w:r w:rsidR="004D7D75">
        <w:rPr>
          <w:rFonts w:asciiTheme="minorHAnsi" w:hAnsiTheme="minorHAnsi" w:cstheme="minorHAnsi"/>
          <w:sz w:val="22"/>
          <w:szCs w:val="22"/>
        </w:rPr>
        <w:t>ladě předložených vzorků potahu v cenové nabídce.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hodnocení subjektivního (nečíselného) kritéria</w:t>
      </w:r>
      <w:r w:rsidRPr="0043130B">
        <w:rPr>
          <w:rFonts w:asciiTheme="minorHAnsi" w:hAnsiTheme="minorHAnsi" w:cstheme="minorHAnsi"/>
          <w:sz w:val="22"/>
          <w:szCs w:val="22"/>
        </w:rPr>
        <w:t xml:space="preserve"> bude použit níže uvedený postup:</w:t>
      </w:r>
    </w:p>
    <w:p w:rsidR="00AA2733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Tříčlenná odborná a výběrová komise určená Zadavatelem vybere z</w:t>
      </w:r>
      <w:r w:rsidR="009E6295">
        <w:rPr>
          <w:rFonts w:asciiTheme="minorHAnsi" w:hAnsiTheme="minorHAnsi" w:cstheme="minorHAnsi"/>
          <w:sz w:val="22"/>
          <w:szCs w:val="22"/>
        </w:rPr>
        <w:t> maximálního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6295">
        <w:rPr>
          <w:rFonts w:asciiTheme="minorHAnsi" w:hAnsiTheme="minorHAnsi" w:cstheme="minorHAnsi"/>
          <w:sz w:val="22"/>
          <w:szCs w:val="22"/>
        </w:rPr>
        <w:t>poč</w:t>
      </w:r>
      <w:r>
        <w:rPr>
          <w:rFonts w:asciiTheme="minorHAnsi" w:hAnsiTheme="minorHAnsi" w:cstheme="minorHAnsi"/>
          <w:sz w:val="22"/>
          <w:szCs w:val="22"/>
        </w:rPr>
        <w:t xml:space="preserve">tu </w:t>
      </w:r>
      <w:r w:rsidR="00E85491">
        <w:rPr>
          <w:rFonts w:asciiTheme="minorHAnsi" w:hAnsiTheme="minorHAnsi" w:cstheme="minorHAnsi"/>
          <w:sz w:val="22"/>
          <w:szCs w:val="22"/>
        </w:rPr>
        <w:t>čtyř</w:t>
      </w:r>
      <w:r>
        <w:rPr>
          <w:rFonts w:asciiTheme="minorHAnsi" w:hAnsiTheme="minorHAnsi" w:cstheme="minorHAnsi"/>
          <w:sz w:val="22"/>
          <w:szCs w:val="22"/>
        </w:rPr>
        <w:t xml:space="preserve"> předložených vzorků </w:t>
      </w:r>
      <w:r w:rsidR="00E85491">
        <w:rPr>
          <w:rFonts w:asciiTheme="minorHAnsi" w:hAnsiTheme="minorHAnsi" w:cstheme="minorHAnsi"/>
          <w:sz w:val="22"/>
          <w:szCs w:val="22"/>
        </w:rPr>
        <w:t>dva</w:t>
      </w:r>
      <w:r>
        <w:rPr>
          <w:rFonts w:asciiTheme="minorHAnsi" w:hAnsiTheme="minorHAnsi" w:cstheme="minorHAnsi"/>
          <w:sz w:val="22"/>
          <w:szCs w:val="22"/>
        </w:rPr>
        <w:t xml:space="preserve"> nejlepší</w:t>
      </w:r>
      <w:r w:rsidR="004D7D75">
        <w:rPr>
          <w:rFonts w:asciiTheme="minorHAnsi" w:hAnsiTheme="minorHAnsi" w:cstheme="minorHAnsi"/>
          <w:sz w:val="22"/>
          <w:szCs w:val="22"/>
        </w:rPr>
        <w:t>, jeden</w:t>
      </w:r>
      <w:r w:rsidR="00E85491">
        <w:rPr>
          <w:rFonts w:asciiTheme="minorHAnsi" w:hAnsiTheme="minorHAnsi" w:cstheme="minorHAnsi"/>
          <w:sz w:val="22"/>
          <w:szCs w:val="22"/>
        </w:rPr>
        <w:t xml:space="preserve"> pro každou barevnou (vínovou a olivovou) alternativu</w:t>
      </w:r>
      <w:r>
        <w:rPr>
          <w:rFonts w:asciiTheme="minorHAnsi" w:hAnsiTheme="minorHAnsi" w:cstheme="minorHAnsi"/>
          <w:sz w:val="22"/>
          <w:szCs w:val="22"/>
        </w:rPr>
        <w:t xml:space="preserve"> za účelem dalšího hodnocení.</w:t>
      </w:r>
    </w:p>
    <w:p w:rsidR="0095567C" w:rsidRDefault="004D7D75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Takto vybrané vzorky budou</w:t>
      </w:r>
      <w:r w:rsidR="0095567C">
        <w:rPr>
          <w:rFonts w:asciiTheme="minorHAnsi" w:hAnsiTheme="minorHAnsi" w:cstheme="minorHAnsi"/>
          <w:sz w:val="22"/>
          <w:szCs w:val="22"/>
        </w:rPr>
        <w:t xml:space="preserve"> následně ohodnocen</w:t>
      </w:r>
      <w:r>
        <w:rPr>
          <w:rFonts w:asciiTheme="minorHAnsi" w:hAnsiTheme="minorHAnsi" w:cstheme="minorHAnsi"/>
          <w:sz w:val="22"/>
          <w:szCs w:val="22"/>
        </w:rPr>
        <w:t>y</w:t>
      </w:r>
      <w:r w:rsidR="0095567C">
        <w:rPr>
          <w:rFonts w:asciiTheme="minorHAnsi" w:hAnsiTheme="minorHAnsi" w:cstheme="minorHAnsi"/>
          <w:sz w:val="22"/>
          <w:szCs w:val="22"/>
        </w:rPr>
        <w:t xml:space="preserve"> určitým počtem bodů, který odrazí pořadí jednotlivých nabídek v rámci hodnocení tohoto kritéria.  Každé nabídce v rámci tohoto kr</w:t>
      </w:r>
      <w:r w:rsidR="00C54930">
        <w:rPr>
          <w:rFonts w:asciiTheme="minorHAnsi" w:hAnsiTheme="minorHAnsi" w:cstheme="minorHAnsi"/>
          <w:sz w:val="22"/>
          <w:szCs w:val="22"/>
        </w:rPr>
        <w:t>itéria může být přiděleno až 60</w:t>
      </w:r>
      <w:r w:rsidR="0095567C">
        <w:rPr>
          <w:rFonts w:asciiTheme="minorHAnsi" w:hAnsiTheme="minorHAnsi" w:cstheme="minorHAnsi"/>
          <w:sz w:val="22"/>
          <w:szCs w:val="22"/>
        </w:rPr>
        <w:t xml:space="preserve"> bodů.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Výsledné hodnoty u každého uchazeče v rámci hodnocení tohoto kritéria bude dosaženo </w:t>
      </w:r>
      <w:r w:rsidRPr="0043130B">
        <w:rPr>
          <w:rFonts w:asciiTheme="minorHAnsi" w:hAnsiTheme="minorHAnsi" w:cstheme="minorHAnsi"/>
          <w:sz w:val="22"/>
          <w:szCs w:val="22"/>
        </w:rPr>
        <w:t>přepočítáním bodů dle následujícího vzorce s přepočtem váhy: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   </w:t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Dosažený počet bodů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>Výsledek = 100 x --------------------------------</w:t>
      </w:r>
      <w:r>
        <w:rPr>
          <w:rFonts w:asciiTheme="minorHAnsi" w:hAnsiTheme="minorHAnsi" w:cstheme="minorHAnsi"/>
          <w:sz w:val="22"/>
          <w:szCs w:val="22"/>
        </w:rPr>
        <w:t xml:space="preserve">----------------  </w:t>
      </w:r>
      <w:proofErr w:type="spellStart"/>
      <w:r>
        <w:rPr>
          <w:rFonts w:asciiTheme="minorHAnsi" w:hAnsiTheme="minorHAnsi" w:cstheme="minorHAnsi"/>
          <w:sz w:val="22"/>
          <w:szCs w:val="22"/>
        </w:rPr>
        <w:t>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váha v </w:t>
      </w:r>
      <w:r w:rsidRPr="0025478A">
        <w:rPr>
          <w:rFonts w:asciiTheme="minorHAnsi" w:hAnsiTheme="minorHAnsi" w:cstheme="minorHAnsi"/>
          <w:sz w:val="22"/>
          <w:szCs w:val="22"/>
        </w:rPr>
        <w:t xml:space="preserve">% </w:t>
      </w:r>
      <w:r w:rsidR="009E6295">
        <w:rPr>
          <w:rFonts w:asciiTheme="minorHAnsi" w:hAnsiTheme="minorHAnsi" w:cstheme="minorHAnsi"/>
          <w:sz w:val="22"/>
          <w:szCs w:val="22"/>
        </w:rPr>
        <w:t>(0,1</w:t>
      </w:r>
      <w:r w:rsidR="00074F93">
        <w:rPr>
          <w:rFonts w:asciiTheme="minorHAnsi" w:hAnsiTheme="minorHAnsi" w:cstheme="minorHAnsi"/>
          <w:sz w:val="22"/>
          <w:szCs w:val="22"/>
        </w:rPr>
        <w:t>5</w:t>
      </w:r>
      <w:r w:rsidRPr="0025478A">
        <w:rPr>
          <w:rFonts w:asciiTheme="minorHAnsi" w:hAnsiTheme="minorHAnsi" w:cstheme="minorHAnsi"/>
          <w:sz w:val="22"/>
          <w:szCs w:val="22"/>
        </w:rPr>
        <w:t>)</w:t>
      </w:r>
    </w:p>
    <w:p w:rsidR="0095567C" w:rsidRPr="0043130B" w:rsidRDefault="0095567C" w:rsidP="0095567C">
      <w:pPr>
        <w:jc w:val="both"/>
        <w:rPr>
          <w:rFonts w:asciiTheme="minorHAnsi" w:hAnsiTheme="minorHAnsi" w:cstheme="minorHAnsi"/>
          <w:sz w:val="22"/>
          <w:szCs w:val="22"/>
        </w:rPr>
      </w:pPr>
      <w:r w:rsidRPr="0043130B">
        <w:rPr>
          <w:rFonts w:asciiTheme="minorHAnsi" w:hAnsiTheme="minorHAnsi" w:cstheme="minorHAnsi"/>
          <w:sz w:val="22"/>
          <w:szCs w:val="22"/>
        </w:rPr>
        <w:t xml:space="preserve">    </w:t>
      </w:r>
      <w:r w:rsidRPr="0043130B">
        <w:rPr>
          <w:rFonts w:asciiTheme="minorHAnsi" w:hAnsiTheme="minorHAnsi" w:cstheme="minorHAnsi"/>
          <w:sz w:val="22"/>
          <w:szCs w:val="22"/>
        </w:rPr>
        <w:tab/>
      </w:r>
      <w:r w:rsidRPr="0043130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43130B">
        <w:rPr>
          <w:rFonts w:asciiTheme="minorHAnsi" w:hAnsiTheme="minorHAnsi" w:cstheme="minorHAnsi"/>
          <w:sz w:val="22"/>
          <w:szCs w:val="22"/>
        </w:rPr>
        <w:tab/>
        <w:t>Nejvyšší dosažený počet bodů</w:t>
      </w:r>
    </w:p>
    <w:p w:rsidR="0095567C" w:rsidRDefault="0095567C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567C" w:rsidRPr="0004643C" w:rsidRDefault="0095567C" w:rsidP="009064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4A3" w:rsidRDefault="00F35A60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9064A3" w:rsidRPr="00A54885">
        <w:rPr>
          <w:rFonts w:asciiTheme="minorHAnsi" w:hAnsiTheme="minorHAnsi" w:cstheme="minorHAnsi"/>
          <w:b/>
          <w:sz w:val="22"/>
          <w:szCs w:val="22"/>
        </w:rPr>
        <w:t>/ Termín dodání</w:t>
      </w:r>
      <w:r w:rsidR="009064A3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064A3" w:rsidRPr="0004643C">
        <w:rPr>
          <w:rFonts w:asciiTheme="minorHAnsi" w:hAnsiTheme="minorHAnsi" w:cstheme="minorHAnsi"/>
          <w:sz w:val="22"/>
          <w:szCs w:val="22"/>
        </w:rPr>
        <w:tab/>
      </w:r>
      <w:r w:rsidR="009064A3" w:rsidRPr="0004643C">
        <w:rPr>
          <w:rFonts w:asciiTheme="minorHAnsi" w:hAnsiTheme="minorHAnsi" w:cstheme="minorHAnsi"/>
          <w:sz w:val="22"/>
          <w:szCs w:val="22"/>
        </w:rPr>
        <w:tab/>
      </w:r>
      <w:r w:rsidR="009064A3" w:rsidRPr="0004643C">
        <w:rPr>
          <w:rFonts w:asciiTheme="minorHAnsi" w:hAnsiTheme="minorHAnsi" w:cstheme="minorHAnsi"/>
          <w:sz w:val="22"/>
          <w:szCs w:val="22"/>
        </w:rPr>
        <w:tab/>
      </w:r>
      <w:r w:rsidR="009064A3" w:rsidRPr="0004643C">
        <w:rPr>
          <w:rFonts w:asciiTheme="minorHAnsi" w:hAnsiTheme="minorHAnsi" w:cstheme="minorHAnsi"/>
          <w:sz w:val="22"/>
          <w:szCs w:val="22"/>
        </w:rPr>
        <w:tab/>
      </w:r>
      <w:r w:rsidR="009064A3" w:rsidRPr="0004643C">
        <w:rPr>
          <w:rFonts w:asciiTheme="minorHAnsi" w:hAnsiTheme="minorHAnsi" w:cstheme="minorHAnsi"/>
          <w:sz w:val="22"/>
          <w:szCs w:val="22"/>
        </w:rPr>
        <w:tab/>
      </w:r>
      <w:r w:rsidR="009064A3">
        <w:rPr>
          <w:rFonts w:asciiTheme="minorHAnsi" w:hAnsiTheme="minorHAnsi" w:cstheme="minorHAnsi"/>
          <w:sz w:val="22"/>
          <w:szCs w:val="22"/>
        </w:rPr>
        <w:t xml:space="preserve"> </w:t>
      </w:r>
      <w:r w:rsidR="009E6295">
        <w:rPr>
          <w:rFonts w:asciiTheme="minorHAnsi" w:hAnsiTheme="minorHAnsi" w:cstheme="minorHAnsi"/>
          <w:b/>
          <w:sz w:val="22"/>
          <w:szCs w:val="22"/>
        </w:rPr>
        <w:t>váha 2</w:t>
      </w:r>
      <w:r w:rsidR="009064A3" w:rsidRPr="00A54885">
        <w:rPr>
          <w:rFonts w:asciiTheme="minorHAnsi" w:hAnsiTheme="minorHAnsi" w:cstheme="minorHAnsi"/>
          <w:b/>
          <w:sz w:val="22"/>
          <w:szCs w:val="22"/>
        </w:rPr>
        <w:t>0 %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dodání bude v předložené cenové nabídce stanoven datem konkrétního dne, měsíce a roku.</w:t>
      </w:r>
    </w:p>
    <w:p w:rsidR="009064A3" w:rsidRDefault="009064A3" w:rsidP="009064A3">
      <w:pPr>
        <w:jc w:val="both"/>
        <w:rPr>
          <w:rFonts w:asciiTheme="minorHAnsi" w:hAnsiTheme="minorHAnsi" w:cstheme="minorHAnsi"/>
          <w:sz w:val="22"/>
          <w:szCs w:val="22"/>
        </w:rPr>
      </w:pPr>
      <w:r w:rsidRPr="0025478A">
        <w:rPr>
          <w:rFonts w:asciiTheme="minorHAnsi" w:hAnsiTheme="minorHAnsi" w:cstheme="minorHAnsi"/>
          <w:sz w:val="22"/>
          <w:szCs w:val="22"/>
        </w:rPr>
        <w:t>Zadavatel preferuje termín dodán</w:t>
      </w:r>
      <w:r w:rsidR="0095567C">
        <w:rPr>
          <w:rFonts w:asciiTheme="minorHAnsi" w:hAnsiTheme="minorHAnsi" w:cstheme="minorHAnsi"/>
          <w:sz w:val="22"/>
          <w:szCs w:val="22"/>
        </w:rPr>
        <w:t>í předmětu veřejné zakázky do 28. 12. 2020</w:t>
      </w:r>
      <w:r w:rsidRPr="0025478A">
        <w:rPr>
          <w:rFonts w:asciiTheme="minorHAnsi" w:hAnsiTheme="minorHAnsi" w:cstheme="minorHAnsi"/>
          <w:sz w:val="22"/>
          <w:szCs w:val="22"/>
        </w:rPr>
        <w:t>, ale je si vědom kratší lhůty pro realizaci předmětu veřejné zakázky, a proto bude při hodnocení termínu dodání postupo</w:t>
      </w:r>
      <w:r w:rsidR="0095567C">
        <w:rPr>
          <w:rFonts w:asciiTheme="minorHAnsi" w:hAnsiTheme="minorHAnsi" w:cstheme="minorHAnsi"/>
          <w:sz w:val="22"/>
          <w:szCs w:val="22"/>
        </w:rPr>
        <w:t>vat následovně. Termín dodání 28. 12. 2020</w:t>
      </w:r>
      <w:r w:rsidRPr="0025478A">
        <w:rPr>
          <w:rFonts w:asciiTheme="minorHAnsi" w:hAnsiTheme="minorHAnsi" w:cstheme="minorHAnsi"/>
          <w:sz w:val="22"/>
          <w:szCs w:val="22"/>
        </w:rPr>
        <w:t xml:space="preserve"> a nižší b</w:t>
      </w:r>
      <w:r w:rsidR="009E6295">
        <w:rPr>
          <w:rFonts w:asciiTheme="minorHAnsi" w:hAnsiTheme="minorHAnsi" w:cstheme="minorHAnsi"/>
          <w:sz w:val="22"/>
          <w:szCs w:val="22"/>
        </w:rPr>
        <w:t>ude hodnocen automaticky vahou 2</w:t>
      </w:r>
      <w:r w:rsidRPr="0025478A">
        <w:rPr>
          <w:rFonts w:asciiTheme="minorHAnsi" w:hAnsiTheme="minorHAnsi" w:cstheme="minorHAnsi"/>
          <w:sz w:val="22"/>
          <w:szCs w:val="22"/>
        </w:rPr>
        <w:t>0 %.  Počet přidělených procen</w:t>
      </w:r>
      <w:r w:rsidR="0095567C">
        <w:rPr>
          <w:rFonts w:asciiTheme="minorHAnsi" w:hAnsiTheme="minorHAnsi" w:cstheme="minorHAnsi"/>
          <w:sz w:val="22"/>
          <w:szCs w:val="22"/>
        </w:rPr>
        <w:t>tních bodů u termínu dodání od 29. 12</w:t>
      </w:r>
      <w:r w:rsidRPr="0025478A">
        <w:rPr>
          <w:rFonts w:asciiTheme="minorHAnsi" w:hAnsiTheme="minorHAnsi" w:cstheme="minorHAnsi"/>
          <w:sz w:val="22"/>
          <w:szCs w:val="22"/>
        </w:rPr>
        <w:t>. 2020 a vyššího se bude</w:t>
      </w:r>
      <w:r w:rsidR="00A46778">
        <w:rPr>
          <w:rFonts w:asciiTheme="minorHAnsi" w:hAnsiTheme="minorHAnsi" w:cstheme="minorHAnsi"/>
          <w:sz w:val="22"/>
          <w:szCs w:val="22"/>
        </w:rPr>
        <w:t xml:space="preserve"> poměrně</w:t>
      </w:r>
      <w:r w:rsidRPr="0025478A">
        <w:rPr>
          <w:rFonts w:asciiTheme="minorHAnsi" w:hAnsiTheme="minorHAnsi" w:cstheme="minorHAnsi"/>
          <w:sz w:val="22"/>
          <w:szCs w:val="22"/>
        </w:rPr>
        <w:t xml:space="preserve"> snižovat podle jeho vzdálenosti od preferovaného termínu dodání předmětu veřejné zakázky.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E4F">
        <w:rPr>
          <w:rFonts w:asciiTheme="minorHAnsi" w:hAnsiTheme="minorHAnsi" w:cstheme="minorHAnsi"/>
          <w:b/>
          <w:sz w:val="22"/>
          <w:szCs w:val="22"/>
        </w:rPr>
        <w:t>Zadavatel</w:t>
      </w:r>
      <w:r w:rsidR="00127B95">
        <w:rPr>
          <w:rFonts w:asciiTheme="minorHAnsi" w:hAnsiTheme="minorHAnsi" w:cstheme="minorHAnsi"/>
          <w:b/>
          <w:sz w:val="22"/>
          <w:szCs w:val="22"/>
        </w:rPr>
        <w:t xml:space="preserve"> vysloveně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3463">
        <w:rPr>
          <w:rFonts w:asciiTheme="minorHAnsi" w:hAnsiTheme="minorHAnsi" w:cstheme="minorHAnsi"/>
          <w:b/>
          <w:sz w:val="22"/>
          <w:szCs w:val="22"/>
        </w:rPr>
        <w:t>vyžaduje připravit</w:t>
      </w:r>
      <w:r w:rsidRPr="00541E4F">
        <w:rPr>
          <w:rFonts w:asciiTheme="minorHAnsi" w:hAnsiTheme="minorHAnsi" w:cstheme="minorHAnsi"/>
          <w:b/>
          <w:sz w:val="22"/>
          <w:szCs w:val="22"/>
        </w:rPr>
        <w:t xml:space="preserve"> podobu nabídky v níže uvedeném členění: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</w:t>
      </w:r>
      <w:r>
        <w:rPr>
          <w:rFonts w:asciiTheme="minorHAnsi" w:hAnsiTheme="minorHAnsi" w:cstheme="minorHAnsi"/>
          <w:sz w:val="22"/>
          <w:szCs w:val="22"/>
        </w:rPr>
        <w:t>mětnou veřejnou zakázku (</w:t>
      </w:r>
      <w:r w:rsidRPr="00541E4F">
        <w:rPr>
          <w:rFonts w:asciiTheme="minorHAnsi" w:hAnsiTheme="minorHAnsi" w:cstheme="minorHAnsi"/>
          <w:sz w:val="22"/>
          <w:szCs w:val="22"/>
        </w:rPr>
        <w:t>viz příloha č. 1 této výzvy),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</w:t>
      </w:r>
      <w:r>
        <w:rPr>
          <w:rFonts w:asciiTheme="minorHAnsi" w:hAnsiTheme="minorHAnsi" w:cstheme="minorHAnsi"/>
          <w:sz w:val="22"/>
          <w:szCs w:val="22"/>
        </w:rPr>
        <w:t xml:space="preserve">případných </w:t>
      </w:r>
      <w:r w:rsidRPr="00541E4F">
        <w:rPr>
          <w:rFonts w:asciiTheme="minorHAnsi" w:hAnsiTheme="minorHAnsi" w:cstheme="minorHAnsi"/>
          <w:sz w:val="22"/>
          <w:szCs w:val="22"/>
        </w:rPr>
        <w:t>poddodavatelích</w:t>
      </w:r>
      <w:r>
        <w:rPr>
          <w:rFonts w:asciiTheme="minorHAnsi" w:hAnsiTheme="minorHAnsi" w:cstheme="minorHAnsi"/>
          <w:sz w:val="22"/>
          <w:szCs w:val="22"/>
        </w:rPr>
        <w:t>, pokud existují,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e) </w:t>
      </w:r>
      <w:r>
        <w:rPr>
          <w:rFonts w:asciiTheme="minorHAnsi" w:hAnsiTheme="minorHAnsi" w:cstheme="minorHAnsi"/>
          <w:sz w:val="22"/>
          <w:szCs w:val="22"/>
        </w:rPr>
        <w:t>prokázání</w:t>
      </w:r>
      <w:r w:rsidRPr="00541E4F">
        <w:rPr>
          <w:rFonts w:asciiTheme="minorHAnsi" w:hAnsiTheme="minorHAnsi" w:cstheme="minorHAnsi"/>
          <w:sz w:val="22"/>
          <w:szCs w:val="22"/>
        </w:rPr>
        <w:t xml:space="preserve"> splnění základní způsobilosti (i za poddodavatele)</w:t>
      </w:r>
      <w:r>
        <w:rPr>
          <w:rFonts w:asciiTheme="minorHAnsi" w:hAnsiTheme="minorHAnsi" w:cstheme="minorHAnsi"/>
          <w:sz w:val="22"/>
          <w:szCs w:val="22"/>
        </w:rPr>
        <w:t xml:space="preserve">, vzor je uveden v 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</w:t>
      </w:r>
      <w:r w:rsidRPr="00541E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9A3463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 podrobná technická a jiná speci</w:t>
      </w:r>
      <w:r w:rsidR="009A3463">
        <w:rPr>
          <w:rFonts w:asciiTheme="minorHAnsi" w:hAnsiTheme="minorHAnsi" w:cstheme="minorHAnsi"/>
          <w:sz w:val="22"/>
          <w:szCs w:val="22"/>
        </w:rPr>
        <w:t>fikace předmětu veřejné zakázky</w:t>
      </w:r>
      <w:r w:rsidR="00BE154C">
        <w:rPr>
          <w:rFonts w:asciiTheme="minorHAnsi" w:hAnsiTheme="minorHAnsi" w:cstheme="minorHAnsi"/>
          <w:sz w:val="22"/>
          <w:szCs w:val="22"/>
        </w:rPr>
        <w:t xml:space="preserve"> (např. rozměry, materiál sedáku, druh dřeva, váha, nosnost, název výrobce apod.),</w:t>
      </w:r>
    </w:p>
    <w:p w:rsidR="00BE154C" w:rsidRDefault="009A346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h) vizualizace předmětu veřejné zakázky, dvě</w:t>
      </w:r>
      <w:r w:rsidR="00C577C6">
        <w:rPr>
          <w:rFonts w:asciiTheme="minorHAnsi" w:hAnsiTheme="minorHAnsi" w:cstheme="minorHAnsi"/>
          <w:sz w:val="22"/>
          <w:szCs w:val="22"/>
        </w:rPr>
        <w:t xml:space="preserve"> dostatečně </w:t>
      </w:r>
      <w:r w:rsidR="002746EA">
        <w:rPr>
          <w:rFonts w:asciiTheme="minorHAnsi" w:hAnsiTheme="minorHAnsi" w:cstheme="minorHAnsi"/>
          <w:sz w:val="22"/>
          <w:szCs w:val="22"/>
        </w:rPr>
        <w:t>kvalitní</w:t>
      </w:r>
      <w:r w:rsidR="00C577C6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barevné fotografie</w:t>
      </w:r>
      <w:r w:rsidR="00F47D78">
        <w:rPr>
          <w:rFonts w:asciiTheme="minorHAnsi" w:hAnsiTheme="minorHAnsi" w:cstheme="minorHAnsi"/>
          <w:sz w:val="22"/>
          <w:szCs w:val="22"/>
        </w:rPr>
        <w:t xml:space="preserve"> pouze jednoho</w:t>
      </w:r>
      <w:r>
        <w:rPr>
          <w:rFonts w:asciiTheme="minorHAnsi" w:hAnsiTheme="minorHAnsi" w:cstheme="minorHAnsi"/>
          <w:sz w:val="22"/>
          <w:szCs w:val="22"/>
        </w:rPr>
        <w:t xml:space="preserve"> výrobku</w:t>
      </w:r>
      <w:r w:rsidR="00C577C6">
        <w:rPr>
          <w:rFonts w:asciiTheme="minorHAnsi" w:hAnsiTheme="minorHAnsi" w:cstheme="minorHAnsi"/>
          <w:sz w:val="22"/>
          <w:szCs w:val="22"/>
        </w:rPr>
        <w:t xml:space="preserve"> formátu</w:t>
      </w:r>
      <w:r w:rsidR="00F47D78">
        <w:rPr>
          <w:rFonts w:asciiTheme="minorHAnsi" w:hAnsiTheme="minorHAnsi" w:cstheme="minorHAnsi"/>
          <w:sz w:val="22"/>
          <w:szCs w:val="22"/>
        </w:rPr>
        <w:t xml:space="preserve"> </w:t>
      </w:r>
      <w:r w:rsidR="00BE154C">
        <w:rPr>
          <w:rFonts w:asciiTheme="minorHAnsi" w:hAnsiTheme="minorHAnsi" w:cstheme="minorHAnsi"/>
          <w:sz w:val="22"/>
          <w:szCs w:val="22"/>
        </w:rPr>
        <w:t>minimálně A5,</w:t>
      </w:r>
    </w:p>
    <w:p w:rsidR="001D0AF2" w:rsidRDefault="007A06D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ch) maximálně čtyři</w:t>
      </w:r>
      <w:r w:rsidR="00C577C6">
        <w:rPr>
          <w:rFonts w:asciiTheme="minorHAnsi" w:hAnsiTheme="minorHAnsi" w:cstheme="minorHAnsi"/>
          <w:sz w:val="22"/>
          <w:szCs w:val="22"/>
        </w:rPr>
        <w:t xml:space="preserve"> vzork</w:t>
      </w:r>
      <w:r>
        <w:rPr>
          <w:rFonts w:asciiTheme="minorHAnsi" w:hAnsiTheme="minorHAnsi" w:cstheme="minorHAnsi"/>
          <w:sz w:val="22"/>
          <w:szCs w:val="22"/>
        </w:rPr>
        <w:t>y potahové látky ve velikosti</w:t>
      </w:r>
      <w:r w:rsidR="00BE154C">
        <w:rPr>
          <w:rFonts w:asciiTheme="minorHAnsi" w:hAnsiTheme="minorHAnsi" w:cstheme="minorHAnsi"/>
          <w:sz w:val="22"/>
          <w:szCs w:val="22"/>
        </w:rPr>
        <w:t xml:space="preserve"> minimálně</w:t>
      </w:r>
      <w:r>
        <w:rPr>
          <w:rFonts w:asciiTheme="minorHAnsi" w:hAnsiTheme="minorHAnsi" w:cstheme="minorHAnsi"/>
          <w:sz w:val="22"/>
          <w:szCs w:val="22"/>
        </w:rPr>
        <w:t xml:space="preserve"> 20</w:t>
      </w:r>
      <w:r w:rsidR="00E854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 w:rsidR="00E854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 </w:t>
      </w:r>
      <w:r w:rsidR="00C577C6" w:rsidRPr="007A06DC">
        <w:rPr>
          <w:rFonts w:asciiTheme="minorHAnsi" w:hAnsiTheme="minorHAnsi" w:cstheme="minorHAnsi"/>
          <w:sz w:val="22"/>
          <w:szCs w:val="22"/>
        </w:rPr>
        <w:t>cm</w:t>
      </w:r>
      <w:r w:rsidR="00E85491">
        <w:rPr>
          <w:rFonts w:asciiTheme="minorHAnsi" w:hAnsiTheme="minorHAnsi" w:cstheme="minorHAnsi"/>
          <w:sz w:val="22"/>
          <w:szCs w:val="22"/>
        </w:rPr>
        <w:t xml:space="preserve"> pro každý vzorek</w:t>
      </w:r>
      <w:r>
        <w:rPr>
          <w:rFonts w:asciiTheme="minorHAnsi" w:hAnsiTheme="minorHAnsi" w:cstheme="minorHAnsi"/>
          <w:sz w:val="22"/>
          <w:szCs w:val="22"/>
        </w:rPr>
        <w:t>, obě barevné varianty</w:t>
      </w:r>
      <w:r w:rsidR="00BE154C">
        <w:rPr>
          <w:rFonts w:asciiTheme="minorHAnsi" w:hAnsiTheme="minorHAnsi" w:cstheme="minorHAnsi"/>
          <w:sz w:val="22"/>
          <w:szCs w:val="22"/>
        </w:rPr>
        <w:t xml:space="preserve"> (vínová a olivová)</w:t>
      </w:r>
      <w:r>
        <w:rPr>
          <w:rFonts w:asciiTheme="minorHAnsi" w:hAnsiTheme="minorHAnsi" w:cstheme="minorHAnsi"/>
          <w:sz w:val="22"/>
          <w:szCs w:val="22"/>
        </w:rPr>
        <w:t xml:space="preserve"> musí být zastoupeny.</w:t>
      </w:r>
      <w:r w:rsidR="009A3463">
        <w:rPr>
          <w:rFonts w:asciiTheme="minorHAnsi" w:hAnsiTheme="minorHAnsi" w:cstheme="minorHAnsi"/>
          <w:sz w:val="22"/>
          <w:szCs w:val="22"/>
        </w:rPr>
        <w:t xml:space="preserve"> </w:t>
      </w:r>
      <w:r w:rsidR="00BE154C">
        <w:rPr>
          <w:rFonts w:asciiTheme="minorHAnsi" w:hAnsiTheme="minorHAnsi" w:cstheme="minorHAnsi"/>
          <w:sz w:val="22"/>
          <w:szCs w:val="22"/>
        </w:rPr>
        <w:t>Výsledné vybrané vzorky potahu výběrovou komisí</w:t>
      </w:r>
      <w:r w:rsidR="00E85491">
        <w:rPr>
          <w:rFonts w:asciiTheme="minorHAnsi" w:hAnsiTheme="minorHAnsi" w:cstheme="minorHAnsi"/>
          <w:sz w:val="22"/>
          <w:szCs w:val="22"/>
        </w:rPr>
        <w:t xml:space="preserve"> k dalšímu hodnocení</w:t>
      </w:r>
      <w:r w:rsidR="00BE154C">
        <w:rPr>
          <w:rFonts w:asciiTheme="minorHAnsi" w:hAnsiTheme="minorHAnsi" w:cstheme="minorHAnsi"/>
          <w:sz w:val="22"/>
          <w:szCs w:val="22"/>
        </w:rPr>
        <w:t xml:space="preserve"> nebudou mít vliv na výši nabízené ceny v předložené cenové nabídce.</w:t>
      </w:r>
    </w:p>
    <w:p w:rsidR="00BE154C" w:rsidRDefault="00BE154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970CF3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9536BD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0,1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0D3B39" w:rsidRDefault="000D3B39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D3B39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 výběrového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3F486C" w:rsidRPr="004C1972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řízení, nedojde k podpisu kupní smlouvy do 14 kalendářních dnů ode dne vyhlášení výsledku výběrového řízení nebo Zadavatel či dodavatel odstoupí od uzavřené smlouvy, si Zadavatel vyhrazuje právo oslovit 2. uchazeče v pořadí.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641C4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7A06DC" w:rsidRDefault="007A06D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16A" w:rsidRDefault="0068316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16A" w:rsidRDefault="0068316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9536BD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</w:t>
      </w:r>
      <w:r w:rsidR="0007738C">
        <w:rPr>
          <w:rFonts w:asciiTheme="minorHAnsi" w:hAnsiTheme="minorHAnsi" w:cstheme="minorHAnsi"/>
          <w:sz w:val="22"/>
          <w:szCs w:val="22"/>
        </w:rPr>
        <w:t xml:space="preserve"> konečného</w:t>
      </w:r>
      <w:r w:rsidRPr="00087A1E">
        <w:rPr>
          <w:rFonts w:asciiTheme="minorHAnsi" w:hAnsiTheme="minorHAnsi" w:cstheme="minorHAnsi"/>
          <w:sz w:val="22"/>
          <w:szCs w:val="22"/>
        </w:rPr>
        <w:t xml:space="preserve"> termí</w:t>
      </w:r>
      <w:r>
        <w:rPr>
          <w:rFonts w:asciiTheme="minorHAnsi" w:hAnsiTheme="minorHAnsi" w:cstheme="minorHAnsi"/>
          <w:sz w:val="22"/>
          <w:szCs w:val="22"/>
        </w:rPr>
        <w:t xml:space="preserve">nu plnění veřejné zakázky až </w:t>
      </w:r>
      <w:r w:rsidRPr="0007738C">
        <w:rPr>
          <w:rFonts w:asciiTheme="minorHAnsi" w:hAnsiTheme="minorHAnsi" w:cstheme="minorHAnsi"/>
          <w:sz w:val="22"/>
          <w:szCs w:val="22"/>
        </w:rPr>
        <w:t>o 3 měsíce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BD0F31" w:rsidRDefault="00BD0F31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Pr="00250948" w:rsidRDefault="00682101" w:rsidP="00682101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>pokud bude osloven 2. uchazeč v pořadí v důsledku skutečnosti, že vybraný dodavatel nedodrží podmínky zadávacího řízení, nedojde do 14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C2FA6">
        <w:rPr>
          <w:rFonts w:asciiTheme="minorHAnsi" w:hAnsiTheme="minorHAnsi" w:cstheme="minorHAnsi"/>
          <w:sz w:val="22"/>
          <w:szCs w:val="22"/>
        </w:rPr>
        <w:t>sti zboží v České republice/EU,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>v případě prodlení po</w:t>
      </w:r>
      <w:r w:rsidR="00A9401C">
        <w:rPr>
          <w:rFonts w:asciiTheme="minorHAnsi" w:hAnsiTheme="minorHAnsi" w:cstheme="minorHAnsi"/>
          <w:sz w:val="22"/>
          <w:szCs w:val="22"/>
        </w:rPr>
        <w:t>dpisu smlouvy o dílo ze strany Z</w:t>
      </w:r>
      <w:r w:rsidRPr="005F57DD">
        <w:rPr>
          <w:rFonts w:asciiTheme="minorHAnsi" w:hAnsiTheme="minorHAnsi" w:cstheme="minorHAnsi"/>
          <w:sz w:val="22"/>
          <w:szCs w:val="22"/>
        </w:rPr>
        <w:t>adavatele či prodlení schválení a zaslání dotačních prostředků na veřejnou zakázku zřizovatelem, tj. MHMP.</w:t>
      </w:r>
    </w:p>
    <w:p w:rsidR="005F57DD" w:rsidRPr="001668FA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0C2FA6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A9401C">
        <w:rPr>
          <w:rFonts w:asciiTheme="minorHAnsi" w:hAnsiTheme="minorHAnsi" w:cstheme="minorHAnsi"/>
          <w:b/>
          <w:bCs/>
          <w:sz w:val="22"/>
          <w:szCs w:val="22"/>
        </w:rPr>
        <w:t>v listinné podobě</w:t>
      </w:r>
      <w:r w:rsidR="0068316A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adavatele do budovy Pražské konzervatoře, Na Rejdišti 1, Praha 1 </w:t>
      </w:r>
      <w:r w:rsidRPr="0068316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4B7469" w:rsidRPr="0068316A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="00EE3397"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C110D" w:rsidRPr="0068316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68316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316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617616" w:rsidRPr="0068316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1C110D"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 do 10</w:t>
      </w:r>
      <w:r w:rsidRPr="0068316A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68316A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2509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0948">
        <w:rPr>
          <w:rFonts w:asciiTheme="minorHAnsi" w:hAnsiTheme="minorHAnsi" w:cstheme="minorHAnsi"/>
          <w:bCs/>
          <w:sz w:val="22"/>
          <w:szCs w:val="22"/>
        </w:rPr>
        <w:t>a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A657E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D53EDC">
        <w:rPr>
          <w:rFonts w:asciiTheme="minorHAnsi" w:hAnsiTheme="minorHAnsi" w:cstheme="minorHAnsi"/>
          <w:bCs/>
          <w:sz w:val="22"/>
          <w:szCs w:val="22"/>
        </w:rPr>
        <w:t> </w:t>
      </w:r>
      <w:r w:rsidRPr="004C1972">
        <w:rPr>
          <w:rFonts w:asciiTheme="minorHAnsi" w:hAnsiTheme="minorHAnsi" w:cstheme="minorHAnsi"/>
          <w:bCs/>
          <w:sz w:val="22"/>
          <w:szCs w:val="22"/>
        </w:rPr>
        <w:t>českém</w:t>
      </w:r>
      <w:r w:rsidR="00D53E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3EDC" w:rsidRPr="001C110D">
        <w:rPr>
          <w:rFonts w:asciiTheme="minorHAnsi" w:hAnsiTheme="minorHAnsi" w:cstheme="minorHAnsi"/>
          <w:bCs/>
          <w:sz w:val="22"/>
          <w:szCs w:val="22"/>
        </w:rPr>
        <w:t>nebo slovenském</w:t>
      </w:r>
      <w:r w:rsidRPr="001C110D">
        <w:rPr>
          <w:rFonts w:asciiTheme="minorHAnsi" w:hAnsiTheme="minorHAnsi" w:cstheme="minorHAnsi"/>
          <w:bCs/>
          <w:sz w:val="22"/>
          <w:szCs w:val="22"/>
        </w:rPr>
        <w:t xml:space="preserve"> jazyce.</w:t>
      </w:r>
    </w:p>
    <w:p w:rsidR="0068316A" w:rsidRPr="004C1972" w:rsidRDefault="0068316A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17616">
        <w:rPr>
          <w:rFonts w:asciiTheme="minorHAnsi" w:hAnsiTheme="minorHAnsi" w:cstheme="minorHAnsi"/>
          <w:b/>
          <w:sz w:val="22"/>
          <w:szCs w:val="22"/>
        </w:rPr>
        <w:t>„</w:t>
      </w:r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Dodávka barokních židlí do sálu a salónku </w:t>
      </w:r>
      <w:proofErr w:type="spellStart"/>
      <w:r w:rsidR="003D27F5" w:rsidRPr="003D27F5">
        <w:rPr>
          <w:rFonts w:asciiTheme="minorHAnsi" w:hAnsiTheme="minorHAnsi" w:cstheme="minorHAnsi"/>
          <w:b/>
          <w:sz w:val="22"/>
          <w:szCs w:val="22"/>
        </w:rPr>
        <w:t>Pálffyovského</w:t>
      </w:r>
      <w:proofErr w:type="spellEnd"/>
      <w:r w:rsidR="003D27F5" w:rsidRPr="003D27F5">
        <w:rPr>
          <w:rFonts w:asciiTheme="minorHAnsi" w:hAnsiTheme="minorHAnsi" w:cstheme="minorHAnsi"/>
          <w:b/>
          <w:sz w:val="22"/>
          <w:szCs w:val="22"/>
        </w:rPr>
        <w:t xml:space="preserve"> paláce</w:t>
      </w:r>
      <w:r w:rsidR="00617616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2A657E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948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250948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A2487B">
        <w:rPr>
          <w:rFonts w:asciiTheme="minorHAnsi" w:hAnsiTheme="minorHAnsi" w:cstheme="minorHAnsi"/>
          <w:sz w:val="22"/>
          <w:szCs w:val="22"/>
        </w:rPr>
        <w:t xml:space="preserve"> řízení odstoupit, činí </w:t>
      </w:r>
      <w:r w:rsidR="00A2487B" w:rsidRPr="00250948">
        <w:rPr>
          <w:rFonts w:asciiTheme="minorHAnsi" w:hAnsiTheme="minorHAnsi" w:cstheme="minorHAnsi"/>
          <w:sz w:val="22"/>
          <w:szCs w:val="22"/>
        </w:rPr>
        <w:t>9</w:t>
      </w:r>
      <w:r w:rsidRPr="00250948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A1170F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1170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9B0E1E">
        <w:rPr>
          <w:rFonts w:asciiTheme="minorHAnsi" w:hAnsiTheme="minorHAnsi" w:cstheme="minorHAnsi"/>
          <w:b/>
          <w:sz w:val="22"/>
          <w:szCs w:val="22"/>
        </w:rPr>
        <w:t>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316A" w:rsidRDefault="0068316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16A" w:rsidRDefault="0068316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16A" w:rsidRDefault="0068316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16A" w:rsidRPr="009064A3" w:rsidRDefault="0068316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68316A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1C110D" w:rsidRPr="0068316A">
        <w:rPr>
          <w:rFonts w:asciiTheme="minorHAnsi" w:hAnsiTheme="minorHAnsi" w:cstheme="minorHAnsi"/>
          <w:bCs/>
          <w:sz w:val="22"/>
          <w:szCs w:val="22"/>
        </w:rPr>
        <w:t>18.</w:t>
      </w:r>
      <w:r w:rsidR="003948CA" w:rsidRPr="006831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110D" w:rsidRPr="0068316A">
        <w:rPr>
          <w:rFonts w:asciiTheme="minorHAnsi" w:hAnsiTheme="minorHAnsi" w:cstheme="minorHAnsi"/>
          <w:bCs/>
          <w:sz w:val="22"/>
          <w:szCs w:val="22"/>
        </w:rPr>
        <w:t>11</w:t>
      </w:r>
      <w:r w:rsidR="006607D2" w:rsidRPr="0068316A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6831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68316A">
        <w:rPr>
          <w:rFonts w:asciiTheme="minorHAnsi" w:hAnsiTheme="minorHAnsi" w:cstheme="minorHAnsi"/>
          <w:bCs/>
          <w:sz w:val="22"/>
          <w:szCs w:val="22"/>
        </w:rPr>
        <w:t>2020</w:t>
      </w:r>
      <w:r w:rsidRPr="006831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110D" w:rsidRPr="0068316A">
        <w:rPr>
          <w:rFonts w:asciiTheme="minorHAnsi" w:hAnsiTheme="minorHAnsi" w:cstheme="minorHAnsi"/>
          <w:bCs/>
          <w:sz w:val="22"/>
          <w:szCs w:val="22"/>
        </w:rPr>
        <w:t>v 11</w:t>
      </w:r>
      <w:r w:rsidR="00FC78B2" w:rsidRPr="0068316A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68316A">
        <w:rPr>
          <w:rFonts w:asciiTheme="minorHAnsi" w:hAnsiTheme="minorHAnsi" w:cstheme="minorHAnsi"/>
          <w:bCs/>
          <w:sz w:val="22"/>
          <w:szCs w:val="22"/>
        </w:rPr>
        <w:t>0</w:t>
      </w:r>
      <w:r w:rsidRPr="0068316A">
        <w:rPr>
          <w:rFonts w:asciiTheme="minorHAnsi" w:hAnsiTheme="minorHAnsi" w:cstheme="minorHAnsi"/>
          <w:bCs/>
          <w:sz w:val="22"/>
          <w:szCs w:val="22"/>
        </w:rPr>
        <w:t xml:space="preserve"> hod. v budově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DE4344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1C110D" w:rsidRPr="0068316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51F76"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C110D" w:rsidRPr="0068316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68316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6831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68316A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68316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8316A" w:rsidRPr="0068316A" w:rsidRDefault="0068316A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0C2FA6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595D" w:rsidRDefault="0005595D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9B0E1E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xxxxxxxxxxxxxxxxxxxxx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F9" w:rsidRDefault="006D78F9">
      <w:r>
        <w:separator/>
      </w:r>
    </w:p>
  </w:endnote>
  <w:endnote w:type="continuationSeparator" w:id="0">
    <w:p w:rsidR="006D78F9" w:rsidRDefault="006D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F9" w:rsidRDefault="006D78F9">
      <w:r>
        <w:separator/>
      </w:r>
    </w:p>
  </w:footnote>
  <w:footnote w:type="continuationSeparator" w:id="0">
    <w:p w:rsidR="006D78F9" w:rsidRDefault="006D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0A9E"/>
    <w:rsid w:val="00001592"/>
    <w:rsid w:val="00001BCD"/>
    <w:rsid w:val="0000235F"/>
    <w:rsid w:val="00004D68"/>
    <w:rsid w:val="00007A49"/>
    <w:rsid w:val="00011DAA"/>
    <w:rsid w:val="00012C6C"/>
    <w:rsid w:val="000144B4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2711F"/>
    <w:rsid w:val="000310D9"/>
    <w:rsid w:val="000325A6"/>
    <w:rsid w:val="000349CA"/>
    <w:rsid w:val="00040BE0"/>
    <w:rsid w:val="00043CBC"/>
    <w:rsid w:val="00043E95"/>
    <w:rsid w:val="00044398"/>
    <w:rsid w:val="000457EC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4F93"/>
    <w:rsid w:val="00076C3B"/>
    <w:rsid w:val="0007738C"/>
    <w:rsid w:val="0008299E"/>
    <w:rsid w:val="00082BFD"/>
    <w:rsid w:val="00082C50"/>
    <w:rsid w:val="000832F7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2FA6"/>
    <w:rsid w:val="000C31E4"/>
    <w:rsid w:val="000C46C2"/>
    <w:rsid w:val="000C4EC0"/>
    <w:rsid w:val="000C6405"/>
    <w:rsid w:val="000D17BA"/>
    <w:rsid w:val="000D19F9"/>
    <w:rsid w:val="000D3B3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27B95"/>
    <w:rsid w:val="00130CEA"/>
    <w:rsid w:val="001312DD"/>
    <w:rsid w:val="0013131E"/>
    <w:rsid w:val="00134841"/>
    <w:rsid w:val="001361F9"/>
    <w:rsid w:val="001422C7"/>
    <w:rsid w:val="00142BEC"/>
    <w:rsid w:val="00144208"/>
    <w:rsid w:val="00144FF0"/>
    <w:rsid w:val="00146902"/>
    <w:rsid w:val="00150096"/>
    <w:rsid w:val="0015037E"/>
    <w:rsid w:val="001515BB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4541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10D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6D4E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4626E"/>
    <w:rsid w:val="002506E7"/>
    <w:rsid w:val="00250948"/>
    <w:rsid w:val="0025325F"/>
    <w:rsid w:val="00255E2E"/>
    <w:rsid w:val="002575B3"/>
    <w:rsid w:val="0026034C"/>
    <w:rsid w:val="00261388"/>
    <w:rsid w:val="002616DE"/>
    <w:rsid w:val="00263968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46EA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0A7"/>
    <w:rsid w:val="002C75F8"/>
    <w:rsid w:val="002D1C81"/>
    <w:rsid w:val="002D293B"/>
    <w:rsid w:val="002D2B08"/>
    <w:rsid w:val="002D5CA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183D"/>
    <w:rsid w:val="003232D9"/>
    <w:rsid w:val="00327175"/>
    <w:rsid w:val="003337FA"/>
    <w:rsid w:val="00333A58"/>
    <w:rsid w:val="00336317"/>
    <w:rsid w:val="00336602"/>
    <w:rsid w:val="00337723"/>
    <w:rsid w:val="003379A8"/>
    <w:rsid w:val="00340966"/>
    <w:rsid w:val="00341C30"/>
    <w:rsid w:val="00343708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7A6E"/>
    <w:rsid w:val="003C7E6D"/>
    <w:rsid w:val="003D00FE"/>
    <w:rsid w:val="003D27F5"/>
    <w:rsid w:val="003D3379"/>
    <w:rsid w:val="003D3538"/>
    <w:rsid w:val="003D37CD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3D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583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D7D75"/>
    <w:rsid w:val="004E1CAC"/>
    <w:rsid w:val="004E710A"/>
    <w:rsid w:val="004F010A"/>
    <w:rsid w:val="004F01D1"/>
    <w:rsid w:val="004F1A10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5C"/>
    <w:rsid w:val="005A427A"/>
    <w:rsid w:val="005A4BAA"/>
    <w:rsid w:val="005A712A"/>
    <w:rsid w:val="005B1738"/>
    <w:rsid w:val="005B70C5"/>
    <w:rsid w:val="005B7D4C"/>
    <w:rsid w:val="005C1EFF"/>
    <w:rsid w:val="005C2038"/>
    <w:rsid w:val="005C2AC0"/>
    <w:rsid w:val="005C58D8"/>
    <w:rsid w:val="005D3521"/>
    <w:rsid w:val="005E2546"/>
    <w:rsid w:val="005E32D2"/>
    <w:rsid w:val="005E343B"/>
    <w:rsid w:val="005E3BBF"/>
    <w:rsid w:val="005E3F0F"/>
    <w:rsid w:val="005E4959"/>
    <w:rsid w:val="005E5E69"/>
    <w:rsid w:val="005E6C28"/>
    <w:rsid w:val="005E6E61"/>
    <w:rsid w:val="005F05A4"/>
    <w:rsid w:val="005F0FB4"/>
    <w:rsid w:val="005F1625"/>
    <w:rsid w:val="005F1E7C"/>
    <w:rsid w:val="005F27A1"/>
    <w:rsid w:val="005F46D3"/>
    <w:rsid w:val="005F57DD"/>
    <w:rsid w:val="005F587B"/>
    <w:rsid w:val="005F6234"/>
    <w:rsid w:val="005F71AF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54D"/>
    <w:rsid w:val="00631E2A"/>
    <w:rsid w:val="00635760"/>
    <w:rsid w:val="006364EE"/>
    <w:rsid w:val="00636524"/>
    <w:rsid w:val="0064085D"/>
    <w:rsid w:val="00640F2D"/>
    <w:rsid w:val="00646EEF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67614"/>
    <w:rsid w:val="006711E6"/>
    <w:rsid w:val="00682101"/>
    <w:rsid w:val="00682612"/>
    <w:rsid w:val="006826D5"/>
    <w:rsid w:val="0068316A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4CA"/>
    <w:rsid w:val="006C5BBB"/>
    <w:rsid w:val="006C609F"/>
    <w:rsid w:val="006C6416"/>
    <w:rsid w:val="006D2C5D"/>
    <w:rsid w:val="006D78F9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0D33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F1"/>
    <w:rsid w:val="00795426"/>
    <w:rsid w:val="00797710"/>
    <w:rsid w:val="007A06DC"/>
    <w:rsid w:val="007A08F2"/>
    <w:rsid w:val="007A1EA1"/>
    <w:rsid w:val="007A1ECA"/>
    <w:rsid w:val="007A1FB4"/>
    <w:rsid w:val="007A440D"/>
    <w:rsid w:val="007A50AC"/>
    <w:rsid w:val="007A520B"/>
    <w:rsid w:val="007A5CDB"/>
    <w:rsid w:val="007B17E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877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84834"/>
    <w:rsid w:val="00890282"/>
    <w:rsid w:val="0089260D"/>
    <w:rsid w:val="00897081"/>
    <w:rsid w:val="008A144F"/>
    <w:rsid w:val="008A653C"/>
    <w:rsid w:val="008A677F"/>
    <w:rsid w:val="008A6EB9"/>
    <w:rsid w:val="008B0559"/>
    <w:rsid w:val="008B2070"/>
    <w:rsid w:val="008B36B5"/>
    <w:rsid w:val="008B5D63"/>
    <w:rsid w:val="008B6352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900D5E"/>
    <w:rsid w:val="009019BB"/>
    <w:rsid w:val="00901FA7"/>
    <w:rsid w:val="00902AA6"/>
    <w:rsid w:val="00903099"/>
    <w:rsid w:val="00904319"/>
    <w:rsid w:val="00904479"/>
    <w:rsid w:val="00904901"/>
    <w:rsid w:val="009064A3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1CFA"/>
    <w:rsid w:val="00924F00"/>
    <w:rsid w:val="00926B67"/>
    <w:rsid w:val="00930D4E"/>
    <w:rsid w:val="00931108"/>
    <w:rsid w:val="009323B9"/>
    <w:rsid w:val="009333EF"/>
    <w:rsid w:val="009350EA"/>
    <w:rsid w:val="00936236"/>
    <w:rsid w:val="0093691C"/>
    <w:rsid w:val="009370CC"/>
    <w:rsid w:val="00941D36"/>
    <w:rsid w:val="00943611"/>
    <w:rsid w:val="0094372F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567C"/>
    <w:rsid w:val="009565AF"/>
    <w:rsid w:val="00960D6A"/>
    <w:rsid w:val="00961049"/>
    <w:rsid w:val="009611E6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3B9"/>
    <w:rsid w:val="00983DBA"/>
    <w:rsid w:val="00983FF9"/>
    <w:rsid w:val="0098400E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63"/>
    <w:rsid w:val="009A34C2"/>
    <w:rsid w:val="009A3CB7"/>
    <w:rsid w:val="009A4CC2"/>
    <w:rsid w:val="009A6136"/>
    <w:rsid w:val="009A78FD"/>
    <w:rsid w:val="009B0E1E"/>
    <w:rsid w:val="009B26C3"/>
    <w:rsid w:val="009B465C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E6295"/>
    <w:rsid w:val="009F03C9"/>
    <w:rsid w:val="009F123C"/>
    <w:rsid w:val="009F18BE"/>
    <w:rsid w:val="009F21BC"/>
    <w:rsid w:val="009F288D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31FB"/>
    <w:rsid w:val="00A1489D"/>
    <w:rsid w:val="00A1606E"/>
    <w:rsid w:val="00A1620F"/>
    <w:rsid w:val="00A1644B"/>
    <w:rsid w:val="00A16660"/>
    <w:rsid w:val="00A20D04"/>
    <w:rsid w:val="00A22E11"/>
    <w:rsid w:val="00A23334"/>
    <w:rsid w:val="00A2487B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6778"/>
    <w:rsid w:val="00A5015A"/>
    <w:rsid w:val="00A50C2D"/>
    <w:rsid w:val="00A51D90"/>
    <w:rsid w:val="00A5290C"/>
    <w:rsid w:val="00A54885"/>
    <w:rsid w:val="00A579A4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401C"/>
    <w:rsid w:val="00A9647C"/>
    <w:rsid w:val="00A97A73"/>
    <w:rsid w:val="00AA0FD3"/>
    <w:rsid w:val="00AA13CB"/>
    <w:rsid w:val="00AA2733"/>
    <w:rsid w:val="00AA2AD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783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3916"/>
    <w:rsid w:val="00B561BB"/>
    <w:rsid w:val="00B57EB2"/>
    <w:rsid w:val="00B60AA6"/>
    <w:rsid w:val="00B624A5"/>
    <w:rsid w:val="00B63EA4"/>
    <w:rsid w:val="00B65E3D"/>
    <w:rsid w:val="00B716FC"/>
    <w:rsid w:val="00B7327A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0F31"/>
    <w:rsid w:val="00BD1933"/>
    <w:rsid w:val="00BD2377"/>
    <w:rsid w:val="00BD35CB"/>
    <w:rsid w:val="00BD3858"/>
    <w:rsid w:val="00BD43B3"/>
    <w:rsid w:val="00BD4407"/>
    <w:rsid w:val="00BD4485"/>
    <w:rsid w:val="00BE154C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930"/>
    <w:rsid w:val="00C54AED"/>
    <w:rsid w:val="00C56B15"/>
    <w:rsid w:val="00C577C6"/>
    <w:rsid w:val="00C6068D"/>
    <w:rsid w:val="00C6073E"/>
    <w:rsid w:val="00C63422"/>
    <w:rsid w:val="00C679F8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B43C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714"/>
    <w:rsid w:val="00CF0A26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10EF1"/>
    <w:rsid w:val="00D14723"/>
    <w:rsid w:val="00D1635D"/>
    <w:rsid w:val="00D208C1"/>
    <w:rsid w:val="00D21743"/>
    <w:rsid w:val="00D22D2A"/>
    <w:rsid w:val="00D24CB3"/>
    <w:rsid w:val="00D2563A"/>
    <w:rsid w:val="00D258A0"/>
    <w:rsid w:val="00D259AB"/>
    <w:rsid w:val="00D31336"/>
    <w:rsid w:val="00D31E05"/>
    <w:rsid w:val="00D3275E"/>
    <w:rsid w:val="00D364E7"/>
    <w:rsid w:val="00D3765B"/>
    <w:rsid w:val="00D40EC9"/>
    <w:rsid w:val="00D451AF"/>
    <w:rsid w:val="00D45BDE"/>
    <w:rsid w:val="00D4778A"/>
    <w:rsid w:val="00D50080"/>
    <w:rsid w:val="00D51611"/>
    <w:rsid w:val="00D52886"/>
    <w:rsid w:val="00D53EDC"/>
    <w:rsid w:val="00D55031"/>
    <w:rsid w:val="00D553B7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260"/>
    <w:rsid w:val="00D86A02"/>
    <w:rsid w:val="00D95EFD"/>
    <w:rsid w:val="00D95F3A"/>
    <w:rsid w:val="00D960C8"/>
    <w:rsid w:val="00D96A19"/>
    <w:rsid w:val="00DA155F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344"/>
    <w:rsid w:val="00DE45CA"/>
    <w:rsid w:val="00DE6E63"/>
    <w:rsid w:val="00DE709C"/>
    <w:rsid w:val="00DF03E9"/>
    <w:rsid w:val="00DF041E"/>
    <w:rsid w:val="00DF1218"/>
    <w:rsid w:val="00DF4D46"/>
    <w:rsid w:val="00DF56F0"/>
    <w:rsid w:val="00DF7ACC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52D8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276C"/>
    <w:rsid w:val="00E731BB"/>
    <w:rsid w:val="00E74D47"/>
    <w:rsid w:val="00E7746D"/>
    <w:rsid w:val="00E77F07"/>
    <w:rsid w:val="00E81BB7"/>
    <w:rsid w:val="00E82FB0"/>
    <w:rsid w:val="00E833A0"/>
    <w:rsid w:val="00E833E3"/>
    <w:rsid w:val="00E83F59"/>
    <w:rsid w:val="00E85491"/>
    <w:rsid w:val="00E85B00"/>
    <w:rsid w:val="00E903F1"/>
    <w:rsid w:val="00E90BEE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3397"/>
    <w:rsid w:val="00EE7F4C"/>
    <w:rsid w:val="00EF3BCB"/>
    <w:rsid w:val="00EF4735"/>
    <w:rsid w:val="00EF5166"/>
    <w:rsid w:val="00EF5408"/>
    <w:rsid w:val="00F00011"/>
    <w:rsid w:val="00F006F2"/>
    <w:rsid w:val="00F069BB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23"/>
    <w:rsid w:val="00F3203A"/>
    <w:rsid w:val="00F3253D"/>
    <w:rsid w:val="00F33F4E"/>
    <w:rsid w:val="00F3436E"/>
    <w:rsid w:val="00F344AC"/>
    <w:rsid w:val="00F34A02"/>
    <w:rsid w:val="00F34CAF"/>
    <w:rsid w:val="00F35A60"/>
    <w:rsid w:val="00F3623D"/>
    <w:rsid w:val="00F400D1"/>
    <w:rsid w:val="00F41D8D"/>
    <w:rsid w:val="00F45D3E"/>
    <w:rsid w:val="00F45FD7"/>
    <w:rsid w:val="00F46F28"/>
    <w:rsid w:val="00F471D3"/>
    <w:rsid w:val="00F47D78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333E"/>
    <w:rsid w:val="00FA484D"/>
    <w:rsid w:val="00FA4C47"/>
    <w:rsid w:val="00FA5583"/>
    <w:rsid w:val="00FA77E5"/>
    <w:rsid w:val="00FB0BF3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C7A3D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C7E7C"/>
  <w15:docId w15:val="{6EF11309-4111-46F5-B504-1916EFD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3118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21478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Lenka Křivánková</cp:lastModifiedBy>
  <cp:revision>3</cp:revision>
  <cp:lastPrinted>2020-11-06T15:49:00Z</cp:lastPrinted>
  <dcterms:created xsi:type="dcterms:W3CDTF">2020-12-02T10:47:00Z</dcterms:created>
  <dcterms:modified xsi:type="dcterms:W3CDTF">2020-12-02T11:15:00Z</dcterms:modified>
</cp:coreProperties>
</file>