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96A61">
        <w:rPr>
          <w:rFonts w:ascii="Calibri" w:hAnsi="Calibri"/>
          <w:sz w:val="22"/>
          <w:szCs w:val="22"/>
          <w:highlight w:val="black"/>
        </w:rPr>
        <w:t>111263671/0300 – Československá obchodní banka, a.s.</w:t>
      </w:r>
    </w:p>
    <w:p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:rsidR="00CD22B3" w:rsidRPr="0000727D" w:rsidRDefault="00D26D4C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D26D4C">
        <w:rPr>
          <w:rFonts w:ascii="Calibri" w:hAnsi="Calibri"/>
          <w:b/>
          <w:sz w:val="22"/>
          <w:szCs w:val="22"/>
        </w:rPr>
        <w:t>Dům sociální péče Kralovice, příspěvková organizace</w:t>
      </w:r>
    </w:p>
    <w:p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3A1BC7" w:rsidRPr="003A1BC7">
        <w:rPr>
          <w:rFonts w:ascii="Calibri" w:hAnsi="Calibri"/>
          <w:sz w:val="22"/>
          <w:szCs w:val="22"/>
        </w:rPr>
        <w:t>331 41</w:t>
      </w:r>
      <w:r w:rsidR="003A1BC7">
        <w:rPr>
          <w:rFonts w:ascii="Calibri" w:hAnsi="Calibri"/>
          <w:sz w:val="22"/>
          <w:szCs w:val="22"/>
        </w:rPr>
        <w:t xml:space="preserve"> </w:t>
      </w:r>
      <w:r w:rsidR="003A1BC7" w:rsidRPr="003A1BC7">
        <w:rPr>
          <w:rFonts w:ascii="Calibri" w:hAnsi="Calibri"/>
          <w:sz w:val="22"/>
          <w:szCs w:val="22"/>
        </w:rPr>
        <w:t>Kralovice</w:t>
      </w:r>
      <w:r w:rsidR="003A1BC7">
        <w:rPr>
          <w:rFonts w:ascii="Calibri" w:hAnsi="Calibri"/>
          <w:sz w:val="22"/>
          <w:szCs w:val="22"/>
        </w:rPr>
        <w:t xml:space="preserve">, </w:t>
      </w:r>
      <w:r w:rsidR="003A1BC7" w:rsidRPr="003A1BC7">
        <w:rPr>
          <w:rFonts w:ascii="Calibri" w:hAnsi="Calibri"/>
          <w:sz w:val="22"/>
          <w:szCs w:val="22"/>
        </w:rPr>
        <w:t>Plzeňská tř. 345</w:t>
      </w:r>
    </w:p>
    <w:p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hyperlink r:id="rId8" w:history="1">
        <w:r w:rsidR="003A1BC7" w:rsidRPr="003A1BC7">
          <w:rPr>
            <w:rFonts w:ascii="Calibri" w:hAnsi="Calibri"/>
            <w:sz w:val="22"/>
            <w:szCs w:val="22"/>
          </w:rPr>
          <w:t>Ing. Rudolf Salfický</w:t>
        </w:r>
      </w:hyperlink>
      <w:r w:rsidR="003A1BC7">
        <w:rPr>
          <w:rFonts w:ascii="Calibri" w:hAnsi="Calibri"/>
          <w:sz w:val="22"/>
          <w:szCs w:val="22"/>
        </w:rPr>
        <w:t>, ředitel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3A1BC7" w:rsidRPr="003A1BC7">
        <w:rPr>
          <w:rFonts w:ascii="Calibri" w:hAnsi="Calibri"/>
          <w:sz w:val="22"/>
          <w:szCs w:val="22"/>
        </w:rPr>
        <w:t>49748190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3A1BC7">
        <w:rPr>
          <w:rFonts w:ascii="Calibri" w:hAnsi="Calibri"/>
          <w:sz w:val="22"/>
          <w:szCs w:val="22"/>
        </w:rPr>
        <w:t>CZ</w:t>
      </w:r>
      <w:r w:rsidR="003A1BC7" w:rsidRPr="003A1BC7">
        <w:rPr>
          <w:rFonts w:ascii="Calibri" w:hAnsi="Calibri"/>
          <w:sz w:val="22"/>
          <w:szCs w:val="22"/>
        </w:rPr>
        <w:t>49748190</w:t>
      </w:r>
    </w:p>
    <w:p w:rsidR="00CD22B3" w:rsidRPr="00096A61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3A1BC7" w:rsidRPr="00096A61">
        <w:rPr>
          <w:rFonts w:ascii="Calibri" w:hAnsi="Calibri"/>
          <w:sz w:val="22"/>
          <w:szCs w:val="22"/>
          <w:highlight w:val="black"/>
        </w:rPr>
        <w:t>14232371/0100 – Komerční banka, a.s.</w:t>
      </w:r>
    </w:p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:rsidR="00CD22B3" w:rsidRPr="0000727D" w:rsidRDefault="00CD22B3" w:rsidP="002E6F11">
      <w:pPr>
        <w:pStyle w:val="Zkladntextodsazen3"/>
        <w:ind w:left="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poskytnutí oprávnění k výkonu práva užití k softwarovým modulům a funkcím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Sb.,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podmínek, uvedených v čl. 3 této smlouvy.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legislativní změny nebo zvýšení funkcionality, nejméně však 2x ročně 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(KPČ):</w:t>
      </w:r>
    </w:p>
    <w:p w:rsidR="00CD22B3" w:rsidRPr="0000727D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termínu do 48 hod, vyjma dnů pracovního klidu, od jeho písemného oznámení objednatelem zhotoviteli </w:t>
      </w:r>
    </w:p>
    <w:p w:rsidR="00CD22B3" w:rsidRPr="00944A51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944A51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>
        <w:rPr>
          <w:rFonts w:ascii="Calibri" w:hAnsi="Calibri"/>
          <w:sz w:val="22"/>
          <w:szCs w:val="22"/>
        </w:rPr>
        <w:t xml:space="preserve">do </w:t>
      </w:r>
      <w:r w:rsidRPr="00944A51">
        <w:rPr>
          <w:rFonts w:ascii="Calibri" w:hAnsi="Calibri"/>
          <w:sz w:val="22"/>
          <w:szCs w:val="22"/>
        </w:rPr>
        <w:t xml:space="preserve">16 hod prostřednictvím pracoviště Hot Line, kontaktní údaje jsou uvedeny na </w:t>
      </w:r>
      <w:hyperlink r:id="rId9" w:history="1">
        <w:r w:rsidR="00944A51" w:rsidRPr="00DF69ED">
          <w:rPr>
            <w:rFonts w:ascii="Calibri" w:hAnsi="Calibri"/>
            <w:sz w:val="22"/>
            <w:szCs w:val="22"/>
          </w:rPr>
          <w:t>http://www.helios.eu/produkty/helios-fenix/</w:t>
        </w:r>
      </w:hyperlink>
      <w:r w:rsidRPr="00944A51">
        <w:rPr>
          <w:rFonts w:ascii="Calibri" w:hAnsi="Calibri"/>
          <w:sz w:val="22"/>
          <w:szCs w:val="22"/>
        </w:rPr>
        <w:t xml:space="preserve"> (v případě změny odkazu na</w:t>
      </w:r>
      <w:r w:rsidR="009B56DD">
        <w:rPr>
          <w:rFonts w:ascii="Calibri" w:hAnsi="Calibri"/>
          <w:sz w:val="22"/>
          <w:szCs w:val="22"/>
        </w:rPr>
        <w:t> </w:t>
      </w:r>
      <w:r w:rsidRPr="00944A51">
        <w:rPr>
          <w:rFonts w:ascii="Calibri" w:hAnsi="Calibri"/>
          <w:sz w:val="22"/>
          <w:szCs w:val="22"/>
        </w:rPr>
        <w:t>kontaktní údaje Hot Line, bude objednatel informován zhotovitelem)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seznámení uživatelů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novinkami verze upgrade formou osobních konzultací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instalace upgrade, pokud je objednatelem vyžádána</w:t>
      </w:r>
    </w:p>
    <w:p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Legislativní podpora:</w:t>
      </w:r>
    </w:p>
    <w:p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lastRenderedPageBreak/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zák. č. 121/2000 Sb. autorského zákona v platném znění.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funkce, tzv. dokup,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 o další moduly a funkce, které Zhotovitel poskytne Objednateli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práce,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 stanovenou cenu, je další implementace poskytována v hodinových cenách dle ceníku, uvedeného v příloze č. 3 této smlouvy.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upgrade, uvedená v příloze č. 2,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0727D">
        <w:rPr>
          <w:rFonts w:ascii="Calibri" w:hAnsi="Calibri" w:cs="Times New Roman"/>
          <w:color w:val="auto"/>
          <w:sz w:val="22"/>
          <w:szCs w:val="22"/>
        </w:rPr>
        <w:lastRenderedPageBreak/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>
        <w:rPr>
          <w:rFonts w:ascii="Calibri" w:hAnsi="Calibri" w:cs="Times New Roman"/>
          <w:color w:val="auto"/>
          <w:sz w:val="22"/>
          <w:szCs w:val="22"/>
        </w:rPr>
        <w:t> </w:t>
      </w:r>
      <w:r w:rsidRPr="0000727D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 2 a je stanovena hodinovou sazbou dle ceníku, uvedeného v příloze č. 3 této smlouvy. V případě uzavření smlouvy v průběhu běžného servisního roku bude objednateli fakturována alikvotní cena za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ceníku, uvedeného v příloze č. 3 této smlouvy.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Dopravné na místo plnění smlouvy je stanoveno sazbou dle ceníku, uvedeného v příloze č. 3 této smlouvy. Dojde-li v průběhu daného servisního roku ke zvýšení ceny pohonných hmot o více než 5 %, je zhotovitel oprávněn upravit cenu za dopravné o průměrnou cenu obecného navýšení.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1., 2.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3., 4.:</w:t>
      </w:r>
    </w:p>
    <w:p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Proběhne 1 x ročně, v prvním měsíci servisního roku, s výjimkou první fakturace dle následujícího bodu b) a </w:t>
      </w:r>
      <w:r w:rsidR="00D601A5">
        <w:rPr>
          <w:rFonts w:ascii="Calibri" w:hAnsi="Calibri"/>
          <w:sz w:val="22"/>
          <w:szCs w:val="22"/>
        </w:rPr>
        <w:t xml:space="preserve">u případných </w:t>
      </w:r>
      <w:r w:rsidRPr="0000727D">
        <w:rPr>
          <w:rFonts w:ascii="Calibri" w:hAnsi="Calibri"/>
          <w:sz w:val="22"/>
          <w:szCs w:val="22"/>
        </w:rPr>
        <w:t>dokupů dle následujícího bodu c)</w:t>
      </w:r>
    </w:p>
    <w:p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>V roce 20</w:t>
      </w:r>
      <w:r w:rsidR="00CC4785" w:rsidRPr="00DD59E6">
        <w:rPr>
          <w:rFonts w:ascii="Calibri" w:hAnsi="Calibri"/>
          <w:sz w:val="22"/>
          <w:szCs w:val="22"/>
        </w:rPr>
        <w:t>2</w:t>
      </w:r>
      <w:r w:rsidR="003A1BC7">
        <w:rPr>
          <w:rFonts w:ascii="Calibri" w:hAnsi="Calibri"/>
          <w:sz w:val="22"/>
          <w:szCs w:val="22"/>
        </w:rPr>
        <w:t>0</w:t>
      </w:r>
      <w:r w:rsidRPr="0000727D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funkce, tzv. dokup, se adekvátně navýší i celková cena za služby provozní podpory dle přílohy č. 2 této smlouvy. Cenový rozdíl mezi novou a původní cenou, odpovídající období ode dne převzetí rozšíření do konce příslušného servisního roku, bude Objednateli fakturován v průběhu servisního roku na základě potvrzeného Předávacího protokolu nebo Pracovního listu.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5., 6. proběhne vždy po provedení příslušných prací, potvrzených Pracovním listem.</w:t>
      </w:r>
    </w:p>
    <w:p w:rsidR="00CD22B3" w:rsidRPr="0000727D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Objednatel se zavazuje uhradit cenu na základě faktur zaslaných zhotovitelem s lhůtou splatnosti 14</w:t>
      </w:r>
      <w:r w:rsidR="00263579">
        <w:rPr>
          <w:rFonts w:ascii="Calibri" w:hAnsi="Calibri"/>
          <w:b w:val="0"/>
          <w:sz w:val="22"/>
          <w:szCs w:val="22"/>
        </w:rPr>
        <w:t> </w:t>
      </w:r>
      <w:r w:rsidRPr="0000727D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 rozhodný den uhrazení se pokládá den, kdy je předmětná částka připsána na účet zhotovitele.</w:t>
      </w:r>
    </w:p>
    <w:p w:rsidR="00CD22B3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 1 této smlouvy, s výjimkou těch modulů a funkcí, které byly objednateli již poskytnuty před podpisem této smlouvy, do 14 dnů od podpisu smlouvy a provést implementační práce dle harmonogramu implementace, který tvoří přílohu č. 1 této smlouvy, pokud nebylo s objednatelem dohodnuto jinak. Ukončení implementace bude potvrzené podpisem na Předávacím protokolu nebo na Pracovním listu.</w:t>
      </w:r>
    </w:p>
    <w:p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>Konzultační a poradenská činnost bude poskytována ve lhůtách, uvedených v čl. 3, odst. 3.</w:t>
      </w:r>
    </w:p>
    <w:p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7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:rsidR="00CD22B3" w:rsidRPr="0000727D" w:rsidRDefault="00CD22B3" w:rsidP="00970469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dostavit se do 48 hod, vyjma svátků a dnů pracovního klidu, od oznámení závady nebo potřeby servisního zásahu zhotoviteli objednatelem ke zjištění závady a zahájení jejího odstranění. Oznámení závady doručí objednatel zhotoviteli na pracoviště Hot Line, kontaktní údaje jsou uvedeny na </w:t>
      </w:r>
      <w:r w:rsidR="00970469" w:rsidRPr="00970469">
        <w:rPr>
          <w:rFonts w:ascii="Calibri" w:hAnsi="Calibri"/>
          <w:sz w:val="22"/>
          <w:szCs w:val="22"/>
        </w:rPr>
        <w:t>http://www.helios.eu/produkty/helios-fenix/</w:t>
      </w:r>
      <w:r w:rsidRPr="0000727D">
        <w:rPr>
          <w:rFonts w:ascii="Calibri" w:hAnsi="Calibri"/>
          <w:sz w:val="22"/>
          <w:szCs w:val="22"/>
        </w:rPr>
        <w:t xml:space="preserve"> (v případě změny odkazu na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kontaktní údaje Hot Line, bude objednatel informován zhotovitelem)</w:t>
      </w:r>
    </w:p>
    <w:p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:rsidR="002E6F11" w:rsidRPr="002E6F11" w:rsidRDefault="002E6F11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 a neposkytnout je třetí osobě a užívat je v souladu s podmínkami stanovenými touto smlouvou.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>Objednatel je povinen poskytnout součinnost zhotoviteli. Součinností se rozumí poskytnutí zdrojů a informací v oblasti personální, technické a organizační, při analýze, implementaci, školení a převodu dat.</w:t>
      </w:r>
    </w:p>
    <w:p w:rsidR="00CD22B3" w:rsidRPr="0000727D" w:rsidRDefault="00CD22B3" w:rsidP="00C81279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9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:rsidR="00CD22B3" w:rsidRPr="0000727D" w:rsidRDefault="00CD22B3" w:rsidP="00CD22B3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po dobu 2 let od okamžiku </w:t>
      </w:r>
      <w:bookmarkStart w:id="1" w:name="OLE_LINK5"/>
      <w:bookmarkStart w:id="2" w:name="OLE_LINK6"/>
      <w:r w:rsidRPr="0000727D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1"/>
      <w:bookmarkEnd w:id="2"/>
      <w:r w:rsidRPr="0000727D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zákonů.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6 měsíců na každý upgrade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do provozu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:rsidR="00CD22B3" w:rsidRPr="0000727D" w:rsidRDefault="00CD22B3" w:rsidP="00C81279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3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 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nedodržení lhůty pro zásah k zahájení odstranění vady nebo nestandardního chování definované v čl. 3 odst. 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:rsidR="002E6F11" w:rsidRPr="0000727D" w:rsidRDefault="002E6F11" w:rsidP="00C81279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Tuto smlouvu může kterákoli ze smluvních stran vypovědět v jednoměsíční výpovědní lhůtě, která počíná běžet prvního dne následujícího měsíce po doručení písemné výpovědi druhé straně, v případě podstatného porušení povinností sjednaných v této smlouvě. Za podstatné porušení povinností se považuje:</w:t>
      </w:r>
    </w:p>
    <w:p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:rsidR="00CD22B3" w:rsidRPr="0000727D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>Tuto smlouvu může kterákoliv ze smluvních stran vypovědět z jakéhokoliv jiného důvodu nebo bez udání důvodu. Výpovědní lhůta v tomto případě činí 1 rok a počíná běžet prvního dne měsíce následujícího po měsíci, ve kterém písemná výpověď byla doručena druhé smluvní straně.</w:t>
      </w:r>
    </w:p>
    <w:p w:rsidR="00CD22B3" w:rsidRPr="0000727D" w:rsidRDefault="00CD22B3" w:rsidP="00C81279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zák. č. 106/1999 Sb. o svobodném přístupu k informacím ve znění pozdějších předpisů.</w:t>
      </w:r>
    </w:p>
    <w:p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3" w:name="_Hlk22048912"/>
      <w:bookmarkStart w:id="4" w:name="_Hlk22052791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Sb.,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4"/>
      <w:r w:rsidR="00652D1B" w:rsidRPr="00DD59E6">
        <w:rPr>
          <w:rFonts w:ascii="Calibri" w:hAnsi="Calibri"/>
          <w:sz w:val="22"/>
          <w:szCs w:val="22"/>
        </w:rPr>
        <w:t>.</w:t>
      </w:r>
      <w:bookmarkEnd w:id="3"/>
    </w:p>
    <w:p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:rsidR="00CD22B3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  <w:bookmarkStart w:id="5" w:name="_Hlk532819437"/>
    </w:p>
    <w:p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6" w:name="_Hlk22052858"/>
      <w:r w:rsidRPr="00767DF4">
        <w:rPr>
          <w:rFonts w:ascii="Calibri" w:hAnsi="Calibri"/>
          <w:sz w:val="24"/>
          <w:szCs w:val="24"/>
        </w:rPr>
        <w:t>Článek 13</w:t>
      </w:r>
    </w:p>
    <w:p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:rsidR="005F0504" w:rsidRPr="00767DF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3024"/>
        <w:gridCol w:w="3024"/>
      </w:tblGrid>
      <w:tr w:rsidR="00813C37" w:rsidRPr="00767DF4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767DF4" w:rsidTr="009806D0">
        <w:trPr>
          <w:trHeight w:hRule="exact" w:val="397"/>
        </w:trPr>
        <w:tc>
          <w:tcPr>
            <w:tcW w:w="3024" w:type="dxa"/>
            <w:vAlign w:val="center"/>
          </w:tcPr>
          <w:p w:rsidR="00813C37" w:rsidRPr="003A1BC7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3A1BC7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:rsidR="00813C37" w:rsidRPr="003A1BC7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3A1BC7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:rsidR="00813C37" w:rsidRPr="00767DF4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3A1BC7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767DF4">
        <w:rPr>
          <w:rFonts w:ascii="Calibri" w:hAnsi="Calibri" w:cs="Calibri"/>
          <w:i/>
          <w:szCs w:val="22"/>
        </w:rPr>
        <w:t>(Pokud je tabulka ponechána prázdná, nejsou ke dni podpisu smlouvy známi žádní Dílčí zpracovatelé.)</w:t>
      </w:r>
    </w:p>
    <w:p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 xml:space="preserve">Smlouva o zpracování osobních údajů a Sdílení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elem, v souladu se </w:t>
      </w:r>
      <w:bookmarkStart w:id="7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 xml:space="preserve">110/2019 Sb.,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232674" w:rsidRPr="00DD59E6">
        <w:rPr>
          <w:rFonts w:ascii="Calibri" w:hAnsi="Calibri" w:cs="Calibri"/>
          <w:sz w:val="22"/>
          <w:szCs w:val="22"/>
        </w:rPr>
        <w:t>,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7"/>
      <w:r w:rsidRPr="00DD59E6">
        <w:rPr>
          <w:rFonts w:ascii="Calibri" w:hAnsi="Calibri"/>
          <w:sz w:val="22"/>
          <w:szCs w:val="22"/>
        </w:rPr>
        <w:t>, a 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údajů).</w:t>
      </w:r>
    </w:p>
    <w:bookmarkEnd w:id="5"/>
    <w:p w:rsidR="005F0504" w:rsidRPr="0000727D" w:rsidRDefault="005F0504" w:rsidP="00B30695">
      <w:pPr>
        <w:jc w:val="center"/>
        <w:rPr>
          <w:rFonts w:ascii="Calibri" w:hAnsi="Calibri"/>
          <w:sz w:val="22"/>
          <w:szCs w:val="22"/>
        </w:rPr>
      </w:pPr>
    </w:p>
    <w:bookmarkEnd w:id="6"/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lastRenderedPageBreak/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 referenční projekty.</w:t>
      </w:r>
    </w:p>
    <w:p w:rsidR="00CD22B3" w:rsidRPr="0000727D" w:rsidRDefault="00CD22B3" w:rsidP="00B30695">
      <w:pPr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8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8"/>
    <w:p w:rsidR="00642D02" w:rsidRPr="003A1BC7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3A1BC7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Sb., o registru smluv. Uveřejnění této smlouvy ve smyslu předchozí věty provede objednatel.</w:t>
      </w:r>
    </w:p>
    <w:p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Sb., občanským zákoníkem v platném znění, zákonem č. 121/2000 Sb., autorským zákonem v platném znění a zákonem č. 365/2000 Sb., o informačních systémech veřejné správy v platném znění.</w:t>
      </w:r>
    </w:p>
    <w:p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Smlouva se vyhotovuje ve dvou vyhotoveních s platností originálu, z nichž každá strana obdrží po jednom vyhotovení.</w:t>
      </w:r>
    </w:p>
    <w:p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Veškeré změny a dodatky této smlouvy musí být učiněny pouze na základě dohody obou smluvních stran formou písemných, číslovaných dodatků k této smlouvě. Tyto dodatky se stávají nedílnou součástí této smlouvy.</w:t>
      </w:r>
    </w:p>
    <w:p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vážně, na základě projevené vůle obou smluvních stran, souhlasí s jejím obsahem a že tato smlouva nebyla ujednána za jednostranně nevýhodných podmínek.</w:t>
      </w:r>
    </w:p>
    <w:p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:rsidR="00CD22B3" w:rsidRPr="0000727D" w:rsidRDefault="00CD22B3" w:rsidP="00CD22B3">
      <w:pPr>
        <w:pStyle w:val="Seznam"/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</w:p>
    <w:p w:rsidR="00FE70B5" w:rsidRPr="00FA4861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FA4861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:rsidR="00EB02FE" w:rsidRPr="00EB02FE" w:rsidRDefault="00EB02FE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EB02FE">
        <w:rPr>
          <w:rFonts w:ascii="Calibri" w:hAnsi="Calibri"/>
          <w:sz w:val="22"/>
          <w:szCs w:val="22"/>
        </w:rPr>
        <w:t>Příloha č. 1 –</w:t>
      </w:r>
      <w:r w:rsidRPr="00EB02FE">
        <w:rPr>
          <w:rFonts w:ascii="Calibri" w:hAnsi="Calibri"/>
          <w:sz w:val="22"/>
          <w:szCs w:val="22"/>
        </w:rPr>
        <w:tab/>
        <w:t xml:space="preserve">Specifikace poskytnutých softwarových modulů a funkcí HELIOS Fenix </w:t>
      </w:r>
      <w:r w:rsidRPr="00EB02FE">
        <w:rPr>
          <w:rFonts w:ascii="Calibri" w:hAnsi="Calibri"/>
          <w:sz w:val="22"/>
        </w:rPr>
        <w:t>a harmonogram</w:t>
      </w:r>
    </w:p>
    <w:p w:rsidR="00EB02FE" w:rsidRPr="00EB02FE" w:rsidRDefault="00EB02FE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EB02FE">
        <w:rPr>
          <w:rFonts w:ascii="Calibri" w:hAnsi="Calibri"/>
          <w:sz w:val="22"/>
        </w:rPr>
        <w:tab/>
      </w:r>
      <w:r w:rsidRPr="00EB02FE">
        <w:rPr>
          <w:rFonts w:ascii="Calibri" w:hAnsi="Calibri"/>
          <w:sz w:val="22"/>
          <w:szCs w:val="22"/>
        </w:rPr>
        <w:tab/>
      </w:r>
      <w:r w:rsidRPr="00EB02FE">
        <w:rPr>
          <w:rFonts w:ascii="Calibri" w:hAnsi="Calibri"/>
          <w:sz w:val="22"/>
        </w:rPr>
        <w:t>implementace</w:t>
      </w:r>
    </w:p>
    <w:p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  <w:t>Obecný ceník prací</w:t>
      </w:r>
    </w:p>
    <w:p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:rsidR="00AD340F" w:rsidRDefault="00AD340F">
      <w:r>
        <w:br w:type="page"/>
      </w: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6"/>
        <w:gridCol w:w="4876"/>
      </w:tblGrid>
      <w:tr w:rsidR="007B02A8" w:rsidRPr="00FA4861" w:rsidTr="0000727D">
        <w:tc>
          <w:tcPr>
            <w:tcW w:w="4876" w:type="dxa"/>
          </w:tcPr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3A1BC7" w:rsidRPr="00FA4861" w:rsidRDefault="003A1BC7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3A1BC7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3A1BC7">
              <w:rPr>
                <w:rFonts w:ascii="Calibri" w:hAnsi="Calibri" w:cs="Arial"/>
                <w:sz w:val="22"/>
                <w:szCs w:val="22"/>
              </w:rPr>
              <w:t>Kralovicích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3A1BC7" w:rsidRPr="003A1BC7">
              <w:rPr>
                <w:rFonts w:ascii="Calibri" w:hAnsi="Calibri"/>
                <w:sz w:val="22"/>
                <w:szCs w:val="22"/>
              </w:rPr>
              <w:t>Dům sociální péče Kralovice, příspěvkov</w:t>
            </w:r>
            <w:r w:rsidR="003A1BC7">
              <w:rPr>
                <w:rFonts w:ascii="Calibri" w:hAnsi="Calibri"/>
                <w:sz w:val="22"/>
                <w:szCs w:val="22"/>
              </w:rPr>
              <w:t>ou</w:t>
            </w:r>
            <w:r w:rsidR="003A1BC7" w:rsidRPr="003A1BC7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3A1BC7">
              <w:rPr>
                <w:rFonts w:ascii="Calibri" w:hAnsi="Calibri"/>
                <w:sz w:val="22"/>
                <w:szCs w:val="22"/>
              </w:rPr>
              <w:t>i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:rsidR="003A1BC7" w:rsidRDefault="003A1BC7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Pr="003A1BC7">
                <w:rPr>
                  <w:rFonts w:ascii="Calibri" w:hAnsi="Calibri"/>
                  <w:sz w:val="22"/>
                  <w:szCs w:val="22"/>
                </w:rPr>
                <w:t>Ing. Rudolf Salfický</w:t>
              </w:r>
            </w:hyperlink>
          </w:p>
          <w:p w:rsidR="007B02A8" w:rsidRPr="00FA4861" w:rsidRDefault="003A1BC7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</w:tbl>
    <w:p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8993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1560"/>
        <w:gridCol w:w="850"/>
        <w:gridCol w:w="1518"/>
      </w:tblGrid>
      <w:tr w:rsidR="00B63545" w:rsidRPr="0000727D" w:rsidTr="00ED7FA5">
        <w:trPr>
          <w:cantSplit/>
          <w:jc w:val="center"/>
        </w:trPr>
        <w:tc>
          <w:tcPr>
            <w:tcW w:w="5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3545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63545" w:rsidRPr="0000727D" w:rsidRDefault="00B63545" w:rsidP="00B6354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dle platného ceníku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Sleva</w:t>
            </w:r>
          </w:p>
          <w:p w:rsidR="00B63545" w:rsidRPr="0000727D" w:rsidRDefault="00B63545" w:rsidP="00B6354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%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26060" w:rsidRPr="0000727D" w:rsidTr="00E57D7A">
        <w:trPr>
          <w:cantSplit/>
          <w:jc w:val="center"/>
        </w:trPr>
        <w:tc>
          <w:tcPr>
            <w:tcW w:w="5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0" w:rsidRPr="001615FC" w:rsidRDefault="003A1BC7" w:rsidP="002E3145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0" w:rsidRPr="001615FC" w:rsidRDefault="003A1BC7" w:rsidP="002E3145">
            <w:pPr>
              <w:spacing w:before="60" w:after="60"/>
              <w:ind w:left="30" w:right="141" w:hanging="2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60" w:rsidRPr="001615FC" w:rsidRDefault="003A1BC7" w:rsidP="002E3145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060" w:rsidRPr="0000727D" w:rsidRDefault="003A1BC7" w:rsidP="002E3145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9 000</w:t>
            </w:r>
          </w:p>
        </w:tc>
      </w:tr>
      <w:tr w:rsidR="0000727D" w:rsidRPr="0000727D" w:rsidTr="00E57D7A">
        <w:trPr>
          <w:cantSplit/>
          <w:jc w:val="center"/>
        </w:trPr>
        <w:tc>
          <w:tcPr>
            <w:tcW w:w="5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1615FC" w:rsidRDefault="003A1BC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1615FC" w:rsidRDefault="003A1BC7" w:rsidP="0000727D">
            <w:pPr>
              <w:spacing w:before="60" w:after="60"/>
              <w:ind w:left="30" w:right="141" w:hanging="2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1615FC" w:rsidRDefault="003A1BC7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B3" w:rsidRPr="0000727D" w:rsidRDefault="003A1BC7" w:rsidP="0000727D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9 000</w:t>
            </w:r>
          </w:p>
        </w:tc>
      </w:tr>
      <w:tr w:rsidR="00CD22B3" w:rsidRPr="0000727D" w:rsidTr="00ED7FA5">
        <w:trPr>
          <w:cantSplit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2B3" w:rsidRPr="0000727D" w:rsidRDefault="003A1BC7" w:rsidP="0000727D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18 000,00</w:t>
            </w:r>
          </w:p>
        </w:tc>
      </w:tr>
      <w:tr w:rsidR="00CD22B3" w:rsidRPr="0000727D" w:rsidTr="00ED7FA5">
        <w:trPr>
          <w:cantSplit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2B3" w:rsidRPr="0000727D" w:rsidRDefault="003A1BC7" w:rsidP="0000727D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21 780,00</w:t>
            </w:r>
          </w:p>
        </w:tc>
      </w:tr>
    </w:tbl>
    <w:p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3A1BC7" w:rsidRDefault="003A1BC7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3A1BC7" w:rsidRDefault="003A1BC7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3A1BC7" w:rsidRDefault="003A1BC7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3A1BC7" w:rsidRPr="0000727D" w:rsidRDefault="003A1BC7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tbl>
      <w:tblPr>
        <w:tblW w:w="8996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8"/>
        <w:gridCol w:w="1238"/>
        <w:gridCol w:w="1510"/>
      </w:tblGrid>
      <w:tr w:rsidR="003A1BC7" w:rsidRPr="0000727D" w:rsidTr="00E64444">
        <w:trPr>
          <w:cantSplit/>
          <w:trHeight w:val="749"/>
          <w:jc w:val="center"/>
        </w:trPr>
        <w:tc>
          <w:tcPr>
            <w:tcW w:w="624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A1BC7" w:rsidRPr="0000727D" w:rsidRDefault="003A1BC7" w:rsidP="00B63545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9" w:name="_Hlk501466096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:rsidR="003A1BC7" w:rsidRPr="0000727D" w:rsidRDefault="003A1BC7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3A1BC7" w:rsidRPr="0000727D" w:rsidRDefault="003A1BC7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Termín ukončení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3A1BC7" w:rsidRPr="0000727D" w:rsidRDefault="003A1BC7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3A1BC7" w:rsidRPr="0000727D" w:rsidTr="00E64444">
        <w:trPr>
          <w:cantSplit/>
          <w:jc w:val="center"/>
        </w:trPr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BC7" w:rsidRPr="001615FC" w:rsidRDefault="003A1BC7" w:rsidP="003A1BC7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uživatele, školení</w:t>
            </w:r>
            <w:r>
              <w:rPr>
                <w:rFonts w:ascii="Calibri" w:hAnsi="Calibri"/>
                <w:sz w:val="22"/>
                <w:szCs w:val="22"/>
              </w:rPr>
              <w:t xml:space="preserve"> – Majetek 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1BC7" w:rsidRPr="001615FC" w:rsidRDefault="003A1BC7" w:rsidP="00BF28AF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30.9.2020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1BC7" w:rsidRPr="0000727D" w:rsidRDefault="003A1BC7" w:rsidP="003E4C70">
            <w:pPr>
              <w:spacing w:before="60" w:after="60"/>
              <w:ind w:left="62" w:right="205"/>
              <w:jc w:val="right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4 950</w:t>
            </w:r>
          </w:p>
        </w:tc>
      </w:tr>
      <w:tr w:rsidR="003A1BC7" w:rsidRPr="0000727D" w:rsidTr="00E64444">
        <w:trPr>
          <w:cantSplit/>
          <w:jc w:val="center"/>
        </w:trPr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BC7" w:rsidRPr="001615FC" w:rsidRDefault="003A1BC7" w:rsidP="003A1BC7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uživatele, školení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3A1BC7">
              <w:rPr>
                <w:rFonts w:ascii="Calibri" w:hAnsi="Calibri"/>
                <w:sz w:val="22"/>
                <w:szCs w:val="22"/>
              </w:rPr>
              <w:t>Podpora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1BC7">
              <w:rPr>
                <w:rFonts w:ascii="Calibri" w:hAnsi="Calibri"/>
                <w:sz w:val="22"/>
                <w:szCs w:val="22"/>
              </w:rPr>
              <w:t>čárového kódu Majetku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1BC7" w:rsidRPr="001615FC" w:rsidRDefault="003A1BC7" w:rsidP="00E6444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30.9.2020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1BC7" w:rsidRPr="0000727D" w:rsidRDefault="003A1BC7" w:rsidP="00E64444">
            <w:pPr>
              <w:spacing w:before="60" w:after="60"/>
              <w:ind w:left="62" w:right="205"/>
              <w:jc w:val="right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4 950</w:t>
            </w:r>
          </w:p>
        </w:tc>
      </w:tr>
      <w:tr w:rsidR="00CD22B3" w:rsidRPr="0000727D" w:rsidTr="00ED7FA5">
        <w:trPr>
          <w:cantSplit/>
          <w:jc w:val="center"/>
        </w:trPr>
        <w:tc>
          <w:tcPr>
            <w:tcW w:w="7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B3" w:rsidRPr="0000727D" w:rsidRDefault="003A1BC7" w:rsidP="0000727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9 900,00</w:t>
            </w:r>
          </w:p>
        </w:tc>
      </w:tr>
      <w:tr w:rsidR="00CD22B3" w:rsidRPr="0000727D" w:rsidTr="00ED7FA5">
        <w:trPr>
          <w:cantSplit/>
          <w:jc w:val="center"/>
        </w:trPr>
        <w:tc>
          <w:tcPr>
            <w:tcW w:w="7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2B3" w:rsidRPr="0000727D" w:rsidRDefault="003A1BC7" w:rsidP="0000727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11 979,00</w:t>
            </w:r>
          </w:p>
        </w:tc>
      </w:tr>
    </w:tbl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9"/>
    <w:p w:rsidR="00CD22B3" w:rsidRPr="003A1BC7" w:rsidRDefault="00CD22B3" w:rsidP="00CD22B3">
      <w:pPr>
        <w:rPr>
          <w:rFonts w:ascii="Calibri" w:hAnsi="Calibri"/>
          <w:sz w:val="22"/>
          <w:szCs w:val="22"/>
        </w:rPr>
      </w:pPr>
      <w:r w:rsidRPr="003A1BC7">
        <w:rPr>
          <w:rFonts w:ascii="Calibri" w:hAnsi="Calibri"/>
          <w:sz w:val="22"/>
          <w:szCs w:val="22"/>
        </w:rPr>
        <w:t>Implementace byla zhotovitelem provedena na základě Pracovního listu potvrzeném objednatelem.</w:t>
      </w: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9"/>
        <w:gridCol w:w="1843"/>
      </w:tblGrid>
      <w:tr w:rsidR="00CD22B3" w:rsidRPr="0000727D" w:rsidTr="00E26060">
        <w:trPr>
          <w:cantSplit/>
        </w:trPr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Název modulů a funkcí 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Stávající (S)</w:t>
            </w:r>
          </w:p>
          <w:p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Nové (N)</w:t>
            </w:r>
          </w:p>
        </w:tc>
      </w:tr>
      <w:tr w:rsidR="00194695" w:rsidRPr="0000727D" w:rsidTr="00E57D7A">
        <w:trPr>
          <w:cantSplit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95" w:rsidRPr="0000727D" w:rsidRDefault="00194695" w:rsidP="00194695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695" w:rsidRPr="0000727D" w:rsidRDefault="00194695" w:rsidP="001946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194695" w:rsidRPr="0000727D" w:rsidTr="00E57D7A">
        <w:trPr>
          <w:cantSplit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95" w:rsidRPr="0000727D" w:rsidRDefault="00194695" w:rsidP="00194695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A1BC7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695" w:rsidRPr="0000727D" w:rsidRDefault="00194695" w:rsidP="001946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</w:tbl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:rsidR="003C7071" w:rsidRDefault="003C7071" w:rsidP="00CD22B3">
      <w:pPr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4"/>
        <w:gridCol w:w="4356"/>
      </w:tblGrid>
      <w:tr w:rsidR="00CD22B3" w:rsidRPr="0000727D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AD340F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D340F">
              <w:rPr>
                <w:rFonts w:ascii="Calibri" w:hAnsi="Calibri"/>
                <w:sz w:val="22"/>
                <w:szCs w:val="22"/>
              </w:rPr>
              <w:t>Konzultační a poradenská činnost (KPČ)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194695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AD340F">
              <w:rPr>
                <w:rFonts w:ascii="Calibri" w:hAnsi="Calibri"/>
                <w:sz w:val="22"/>
                <w:szCs w:val="22"/>
              </w:rPr>
              <w:t>2</w:t>
            </w:r>
            <w:r w:rsidR="00CD22B3" w:rsidRPr="00AD340F">
              <w:rPr>
                <w:rFonts w:ascii="Calibri" w:hAnsi="Calibri"/>
                <w:sz w:val="22"/>
                <w:szCs w:val="22"/>
              </w:rPr>
              <w:t xml:space="preserve"> hodin</w:t>
            </w:r>
            <w:r w:rsidRPr="00AD340F"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Stanovení ceny za dodávku upgrade a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konzultační a poradenské činnosti od </w:t>
      </w:r>
      <w:r w:rsidR="00194695">
        <w:rPr>
          <w:rFonts w:ascii="Calibri" w:hAnsi="Calibri"/>
          <w:b/>
          <w:sz w:val="22"/>
          <w:szCs w:val="22"/>
        </w:rPr>
        <w:t>1.10.</w:t>
      </w:r>
      <w:r w:rsidRPr="0000727D">
        <w:rPr>
          <w:rFonts w:ascii="Calibri" w:hAnsi="Calibri"/>
          <w:b/>
          <w:sz w:val="22"/>
          <w:szCs w:val="22"/>
        </w:rPr>
        <w:t>20</w:t>
      </w:r>
      <w:r w:rsidR="00303565">
        <w:rPr>
          <w:rFonts w:ascii="Calibri" w:hAnsi="Calibri"/>
          <w:b/>
          <w:sz w:val="22"/>
          <w:szCs w:val="22"/>
        </w:rPr>
        <w:t>2</w:t>
      </w:r>
      <w:r w:rsidR="00194695">
        <w:rPr>
          <w:rFonts w:ascii="Calibri" w:hAnsi="Calibri"/>
          <w:b/>
          <w:sz w:val="22"/>
          <w:szCs w:val="22"/>
        </w:rPr>
        <w:t>0</w:t>
      </w:r>
      <w:r w:rsidRPr="0000727D">
        <w:rPr>
          <w:rFonts w:ascii="Calibri" w:hAnsi="Calibri"/>
          <w:b/>
          <w:sz w:val="22"/>
          <w:szCs w:val="22"/>
        </w:rPr>
        <w:t>* do 31.12.20</w:t>
      </w:r>
      <w:r w:rsidR="00303565">
        <w:rPr>
          <w:rFonts w:ascii="Calibri" w:hAnsi="Calibri"/>
          <w:b/>
          <w:sz w:val="22"/>
          <w:szCs w:val="22"/>
        </w:rPr>
        <w:t>2</w:t>
      </w:r>
      <w:r w:rsidR="00194695">
        <w:rPr>
          <w:rFonts w:ascii="Calibri" w:hAnsi="Calibri"/>
          <w:b/>
          <w:sz w:val="22"/>
          <w:szCs w:val="22"/>
        </w:rPr>
        <w:t>0</w:t>
      </w:r>
    </w:p>
    <w:p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99"/>
        <w:gridCol w:w="1728"/>
      </w:tblGrid>
      <w:tr w:rsidR="00B63545" w:rsidRPr="0000727D" w:rsidTr="00B63545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10" w:name="_Hlk501466152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D22B3" w:rsidRPr="0000727D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11" w:name="OLE_LINK3"/>
            <w:bookmarkStart w:id="12" w:name="OLE_LINK4"/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B3" w:rsidRPr="0000727D" w:rsidRDefault="00194695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1 500</w:t>
            </w:r>
          </w:p>
        </w:tc>
      </w:tr>
      <w:bookmarkEnd w:id="11"/>
      <w:bookmarkEnd w:id="12"/>
      <w:tr w:rsidR="00CD22B3" w:rsidRPr="0000727D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2B3" w:rsidRPr="0000727D" w:rsidRDefault="00194695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1 500,00</w:t>
            </w:r>
          </w:p>
        </w:tc>
      </w:tr>
      <w:tr w:rsidR="00CD22B3" w:rsidRPr="0000727D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2B3" w:rsidRPr="0000727D" w:rsidRDefault="00194695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1 815,00</w:t>
            </w:r>
          </w:p>
        </w:tc>
      </w:tr>
    </w:tbl>
    <w:bookmarkEnd w:id="10"/>
    <w:p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uvedeném na Pracovním listu nebo Předávacím protokolu potvrzeném objednatelem.</w:t>
      </w:r>
    </w:p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:rsidR="001615FC" w:rsidRPr="0000727D" w:rsidRDefault="001615FC" w:rsidP="00CD22B3">
      <w:pPr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Stanovení ceny za dodávku upgrade a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konzultační a poradenské činnosti 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94695">
        <w:rPr>
          <w:rFonts w:ascii="Calibri" w:hAnsi="Calibri"/>
          <w:b/>
          <w:sz w:val="22"/>
          <w:szCs w:val="22"/>
        </w:rPr>
        <w:t>1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p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99"/>
        <w:gridCol w:w="1728"/>
      </w:tblGrid>
      <w:tr w:rsidR="00B63545" w:rsidRPr="0000727D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13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D22B3" w:rsidRPr="0000727D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B3" w:rsidRPr="0000727D" w:rsidRDefault="00194695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6 000</w:t>
            </w:r>
          </w:p>
        </w:tc>
      </w:tr>
      <w:tr w:rsidR="0000727D" w:rsidRPr="0000727D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AD340F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D340F">
              <w:rPr>
                <w:rFonts w:ascii="Calibri" w:hAnsi="Calibri"/>
                <w:sz w:val="22"/>
                <w:szCs w:val="22"/>
              </w:rPr>
              <w:t>Konzultační a poradenská činnost (KPČ)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B3" w:rsidRPr="0000727D" w:rsidRDefault="00194695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AD340F">
              <w:rPr>
                <w:rFonts w:ascii="Calibri" w:hAnsi="Calibri"/>
                <w:sz w:val="22"/>
                <w:szCs w:val="22"/>
              </w:rPr>
              <w:t>2 700</w:t>
            </w:r>
          </w:p>
        </w:tc>
      </w:tr>
      <w:tr w:rsidR="00CD22B3" w:rsidRPr="0000727D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2B3" w:rsidRPr="0000727D" w:rsidRDefault="00194695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8 700,00</w:t>
            </w:r>
          </w:p>
        </w:tc>
      </w:tr>
      <w:tr w:rsidR="00CD22B3" w:rsidRPr="0000727D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2B3" w:rsidRPr="0000727D" w:rsidRDefault="00194695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10 527,00</w:t>
            </w:r>
          </w:p>
        </w:tc>
      </w:tr>
      <w:bookmarkEnd w:id="13"/>
    </w:tbl>
    <w:p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:rsidR="00B54905" w:rsidRDefault="00B54905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Obecný ceník prací</w:t>
      </w:r>
    </w:p>
    <w:p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35"/>
        <w:gridCol w:w="1682"/>
        <w:gridCol w:w="1683"/>
      </w:tblGrid>
      <w:tr w:rsidR="00B54905" w:rsidTr="00194695">
        <w:trPr>
          <w:cantSplit/>
          <w:jc w:val="center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54905" w:rsidRDefault="00B54905" w:rsidP="00D515E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B54905" w:rsidRDefault="00B54905" w:rsidP="00D515E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B54905" w:rsidRDefault="00B54905" w:rsidP="00D515E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B54905" w:rsidRDefault="00B54905" w:rsidP="00D515E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B54905" w:rsidRDefault="00B54905" w:rsidP="00D515E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54905" w:rsidTr="00194695">
        <w:trPr>
          <w:cantSplit/>
          <w:jc w:val="center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05" w:rsidRDefault="00B54905" w:rsidP="00D515E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činnost, včetně vzdálené správy (KPČ) 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05" w:rsidRDefault="00B54905" w:rsidP="00D515E6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1 650 / hod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4905" w:rsidRDefault="00B54905" w:rsidP="00D515E6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1 996,50 / hod</w:t>
            </w:r>
          </w:p>
        </w:tc>
      </w:tr>
      <w:tr w:rsidR="00B54905" w:rsidTr="00194695">
        <w:trPr>
          <w:cantSplit/>
          <w:jc w:val="center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05" w:rsidRPr="00194695" w:rsidRDefault="00B54905" w:rsidP="00D515E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94695">
              <w:rPr>
                <w:rFonts w:ascii="Calibri" w:hAnsi="Calibri"/>
                <w:sz w:val="22"/>
                <w:szCs w:val="22"/>
              </w:rPr>
              <w:t>Konzultační a poradenská činnost, včetně vzdálené správy (KPČ) **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05" w:rsidRPr="00194695" w:rsidRDefault="00B54905" w:rsidP="00D515E6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 w:rsidRPr="00194695">
              <w:rPr>
                <w:rFonts w:ascii="Calibri" w:hAnsi="Calibri"/>
                <w:sz w:val="22"/>
                <w:szCs w:val="22"/>
              </w:rPr>
              <w:t>1 350 / hod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4905" w:rsidRDefault="00B54905" w:rsidP="00D515E6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 w:rsidRPr="00194695">
              <w:rPr>
                <w:rFonts w:ascii="Calibri" w:hAnsi="Calibri"/>
                <w:sz w:val="22"/>
                <w:szCs w:val="22"/>
              </w:rPr>
              <w:t>1 633,50 / hod</w:t>
            </w:r>
          </w:p>
        </w:tc>
      </w:tr>
      <w:tr w:rsidR="00B54905" w:rsidTr="00194695">
        <w:trPr>
          <w:cantSplit/>
          <w:trHeight w:val="641"/>
          <w:jc w:val="center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05" w:rsidRDefault="00B54905" w:rsidP="00D515E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05" w:rsidRDefault="00B54905" w:rsidP="00D515E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11,50 / km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4905" w:rsidRDefault="00B54905" w:rsidP="00D515E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13,92 / km</w:t>
            </w:r>
          </w:p>
        </w:tc>
      </w:tr>
    </w:tbl>
    <w:p w:rsidR="00B54905" w:rsidRDefault="00B54905" w:rsidP="00B54905">
      <w:pPr>
        <w:rPr>
          <w:rFonts w:ascii="Calibri" w:hAnsi="Calibri"/>
          <w:sz w:val="22"/>
          <w:szCs w:val="22"/>
        </w:rPr>
      </w:pPr>
    </w:p>
    <w:p w:rsidR="00B54905" w:rsidRDefault="00B54905" w:rsidP="00B549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* Standardní cena</w:t>
      </w:r>
    </w:p>
    <w:p w:rsidR="007020FD" w:rsidRPr="0000727D" w:rsidRDefault="00B54905" w:rsidP="00B54905">
      <w:pPr>
        <w:rPr>
          <w:rStyle w:val="Odkaznavysvtlivky"/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</w:rPr>
        <w:t>** Zvýhodněná cena v případě uzavření smlouvy platí pouze na rozsah předplacených hodin.</w:t>
      </w:r>
    </w:p>
    <w:sectPr w:rsidR="007020FD" w:rsidRPr="0000727D" w:rsidSect="00DE6EAA">
      <w:headerReference w:type="default" r:id="rId11"/>
      <w:footerReference w:type="default" r:id="rId12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38" w:rsidRDefault="00706E38" w:rsidP="00277F02">
      <w:r>
        <w:separator/>
      </w:r>
    </w:p>
  </w:endnote>
  <w:endnote w:type="continuationSeparator" w:id="0">
    <w:p w:rsidR="00706E38" w:rsidRDefault="00706E38" w:rsidP="0027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A2" w:rsidRPr="00A67FA2" w:rsidRDefault="00A67FA2" w:rsidP="00A67FA2">
    <w:pPr>
      <w:pStyle w:val="Zpat"/>
    </w:pPr>
  </w:p>
  <w:tbl>
    <w:tblPr>
      <w:tblW w:w="9778" w:type="dxa"/>
      <w:tblLayout w:type="fixed"/>
      <w:tblCellMar>
        <w:left w:w="0" w:type="dxa"/>
        <w:right w:w="0" w:type="dxa"/>
      </w:tblCellMar>
      <w:tblLook w:val="04A0"/>
    </w:tblPr>
    <w:tblGrid>
      <w:gridCol w:w="3832"/>
      <w:gridCol w:w="1449"/>
      <w:gridCol w:w="4497"/>
    </w:tblGrid>
    <w:tr w:rsidR="00A07FF3" w:rsidRPr="00FA4861" w:rsidTr="006D1A83">
      <w:trPr>
        <w:trHeight w:val="185"/>
      </w:trPr>
      <w:tc>
        <w:tcPr>
          <w:tcW w:w="3832" w:type="dxa"/>
        </w:tcPr>
        <w:p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Reference: S071/0</w:t>
          </w:r>
          <w:r w:rsidR="00E44DAA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1449" w:type="dxa"/>
        </w:tcPr>
        <w:p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096A61">
            <w:rPr>
              <w:rFonts w:ascii="Calibri" w:hAnsi="Calibri"/>
              <w:noProof/>
              <w:sz w:val="16"/>
              <w:szCs w:val="16"/>
            </w:rPr>
            <w:t>12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fldSimple w:instr=" NUMPAGES  \* MERGEFORMAT ">
            <w:r w:rsidR="00096A61">
              <w:rPr>
                <w:rFonts w:ascii="Calibri" w:hAnsi="Calibri"/>
                <w:noProof/>
                <w:sz w:val="16"/>
                <w:szCs w:val="16"/>
              </w:rPr>
              <w:t>12</w:t>
            </w:r>
          </w:fldSimple>
        </w:p>
      </w:tc>
      <w:tc>
        <w:tcPr>
          <w:tcW w:w="4497" w:type="dxa"/>
        </w:tcPr>
        <w:p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:rsidR="00BD5F26" w:rsidRPr="00A67FA2" w:rsidRDefault="00BD5F26" w:rsidP="00A67F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38" w:rsidRDefault="00706E38" w:rsidP="00277F02">
      <w:r>
        <w:separator/>
      </w:r>
    </w:p>
  </w:footnote>
  <w:footnote w:type="continuationSeparator" w:id="0">
    <w:p w:rsidR="00706E38" w:rsidRDefault="00706E38" w:rsidP="0027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26" w:rsidRPr="00B84D10" w:rsidRDefault="008F4AC1" w:rsidP="00B84D10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9.8pt;margin-top:20.3pt;width:341.45pt;height:49.5pt;z-index:251657216" stroked="f">
          <v:textbox style="mso-next-textbox:#_x0000_s2062" inset="0,0,0,0">
            <w:txbxContent>
              <w:p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podpoře,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3A1BC7" w:rsidRPr="003A1BC7">
                  <w:rPr>
                    <w:rFonts w:ascii="Calibri" w:hAnsi="Calibri"/>
                    <w:i/>
                    <w:sz w:val="20"/>
                  </w:rPr>
                  <w:t>F-20-00487</w:t>
                </w:r>
              </w:p>
              <w:p w:rsidR="00E971A3" w:rsidRDefault="00E971A3"/>
            </w:txbxContent>
          </v:textbox>
        </v:shape>
      </w:pict>
    </w:r>
    <w:r w:rsidR="00096A6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1905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6086F"/>
    <w:multiLevelType w:val="hybridMultilevel"/>
    <w:tmpl w:val="3D7E70EA"/>
    <w:lvl w:ilvl="0" w:tplc="2E0C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5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8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24"/>
  </w:num>
  <w:num w:numId="20">
    <w:abstractNumId w:val="15"/>
  </w:num>
  <w:num w:numId="21">
    <w:abstractNumId w:val="11"/>
  </w:num>
  <w:num w:numId="22">
    <w:abstractNumId w:val="26"/>
  </w:num>
  <w:num w:numId="23">
    <w:abstractNumId w:val="18"/>
  </w:num>
  <w:num w:numId="24">
    <w:abstractNumId w:val="17"/>
  </w:num>
  <w:num w:numId="25">
    <w:abstractNumId w:val="33"/>
  </w:num>
  <w:num w:numId="26">
    <w:abstractNumId w:val="23"/>
  </w:num>
  <w:num w:numId="27">
    <w:abstractNumId w:val="13"/>
  </w:num>
  <w:num w:numId="28">
    <w:abstractNumId w:val="29"/>
  </w:num>
  <w:num w:numId="29">
    <w:abstractNumId w:val="32"/>
  </w:num>
  <w:num w:numId="30">
    <w:abstractNumId w:val="21"/>
  </w:num>
  <w:num w:numId="31">
    <w:abstractNumId w:val="14"/>
  </w:num>
  <w:num w:numId="32">
    <w:abstractNumId w:val="12"/>
  </w:num>
  <w:num w:numId="33">
    <w:abstractNumId w:val="30"/>
  </w:num>
  <w:num w:numId="34">
    <w:abstractNumId w:val="27"/>
  </w:num>
  <w:num w:numId="35">
    <w:abstractNumId w:val="16"/>
  </w:num>
  <w:num w:numId="36">
    <w:abstractNumId w:val="25"/>
  </w:num>
  <w:num w:numId="37">
    <w:abstractNumId w:val="10"/>
  </w:num>
  <w:num w:numId="38">
    <w:abstractNumId w:val="31"/>
  </w:num>
  <w:num w:numId="39">
    <w:abstractNumId w:val="7"/>
  </w:num>
  <w:num w:numId="40">
    <w:abstractNumId w:val="7"/>
  </w:num>
  <w:num w:numId="41">
    <w:abstractNumId w:val="20"/>
  </w:num>
  <w:num w:numId="42">
    <w:abstractNumId w:val="19"/>
  </w:num>
  <w:num w:numId="43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D8A"/>
    <w:rsid w:val="0000258C"/>
    <w:rsid w:val="00003ADF"/>
    <w:rsid w:val="00004D14"/>
    <w:rsid w:val="00006109"/>
    <w:rsid w:val="0000727D"/>
    <w:rsid w:val="00007674"/>
    <w:rsid w:val="0001121E"/>
    <w:rsid w:val="000200CC"/>
    <w:rsid w:val="00023DA0"/>
    <w:rsid w:val="00025560"/>
    <w:rsid w:val="00025CF1"/>
    <w:rsid w:val="000263BE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3B55"/>
    <w:rsid w:val="000574F9"/>
    <w:rsid w:val="00057736"/>
    <w:rsid w:val="00072AD0"/>
    <w:rsid w:val="00072F9E"/>
    <w:rsid w:val="00076B32"/>
    <w:rsid w:val="00080933"/>
    <w:rsid w:val="000966E8"/>
    <w:rsid w:val="00096A61"/>
    <w:rsid w:val="000A02C3"/>
    <w:rsid w:val="000A6044"/>
    <w:rsid w:val="000B6EA3"/>
    <w:rsid w:val="000C2C68"/>
    <w:rsid w:val="000C7E7B"/>
    <w:rsid w:val="000D49FC"/>
    <w:rsid w:val="000F335A"/>
    <w:rsid w:val="000F358D"/>
    <w:rsid w:val="000F5976"/>
    <w:rsid w:val="0010297C"/>
    <w:rsid w:val="00114983"/>
    <w:rsid w:val="00122944"/>
    <w:rsid w:val="0012332B"/>
    <w:rsid w:val="00125735"/>
    <w:rsid w:val="00125F60"/>
    <w:rsid w:val="00132543"/>
    <w:rsid w:val="00133A3F"/>
    <w:rsid w:val="0013415D"/>
    <w:rsid w:val="001403C4"/>
    <w:rsid w:val="00140A69"/>
    <w:rsid w:val="001422FF"/>
    <w:rsid w:val="00142763"/>
    <w:rsid w:val="00142F4B"/>
    <w:rsid w:val="00153009"/>
    <w:rsid w:val="001615FC"/>
    <w:rsid w:val="00163BB6"/>
    <w:rsid w:val="0016579D"/>
    <w:rsid w:val="0016662E"/>
    <w:rsid w:val="0016684E"/>
    <w:rsid w:val="0016749A"/>
    <w:rsid w:val="00175112"/>
    <w:rsid w:val="00185935"/>
    <w:rsid w:val="001924D6"/>
    <w:rsid w:val="00194695"/>
    <w:rsid w:val="00196A94"/>
    <w:rsid w:val="001A57EF"/>
    <w:rsid w:val="001A6DB0"/>
    <w:rsid w:val="001B09A4"/>
    <w:rsid w:val="001B61B5"/>
    <w:rsid w:val="001C034C"/>
    <w:rsid w:val="001C1E92"/>
    <w:rsid w:val="001C3B8D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116E6"/>
    <w:rsid w:val="00214ED0"/>
    <w:rsid w:val="00216D8A"/>
    <w:rsid w:val="002237C6"/>
    <w:rsid w:val="00231259"/>
    <w:rsid w:val="00232674"/>
    <w:rsid w:val="00242D9C"/>
    <w:rsid w:val="00244839"/>
    <w:rsid w:val="00247F1F"/>
    <w:rsid w:val="00250E87"/>
    <w:rsid w:val="0025152A"/>
    <w:rsid w:val="0025187E"/>
    <w:rsid w:val="00263579"/>
    <w:rsid w:val="00266A21"/>
    <w:rsid w:val="00271CC1"/>
    <w:rsid w:val="0027345D"/>
    <w:rsid w:val="0027777A"/>
    <w:rsid w:val="00277F02"/>
    <w:rsid w:val="00282CAC"/>
    <w:rsid w:val="002A7FDB"/>
    <w:rsid w:val="002B0884"/>
    <w:rsid w:val="002B2905"/>
    <w:rsid w:val="002B4493"/>
    <w:rsid w:val="002B6870"/>
    <w:rsid w:val="002C08B7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F0F05"/>
    <w:rsid w:val="002F663C"/>
    <w:rsid w:val="00303565"/>
    <w:rsid w:val="003053DF"/>
    <w:rsid w:val="00314098"/>
    <w:rsid w:val="00314261"/>
    <w:rsid w:val="00320499"/>
    <w:rsid w:val="00321CDD"/>
    <w:rsid w:val="00322CB7"/>
    <w:rsid w:val="003233A3"/>
    <w:rsid w:val="00325416"/>
    <w:rsid w:val="0033328E"/>
    <w:rsid w:val="00342D00"/>
    <w:rsid w:val="00343819"/>
    <w:rsid w:val="003442D8"/>
    <w:rsid w:val="00344E16"/>
    <w:rsid w:val="00347692"/>
    <w:rsid w:val="00347BA4"/>
    <w:rsid w:val="00357D6B"/>
    <w:rsid w:val="0036362D"/>
    <w:rsid w:val="003649F6"/>
    <w:rsid w:val="003653A8"/>
    <w:rsid w:val="003730F3"/>
    <w:rsid w:val="003758EA"/>
    <w:rsid w:val="00386B28"/>
    <w:rsid w:val="003A1BC7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30129"/>
    <w:rsid w:val="004352C9"/>
    <w:rsid w:val="00436CA9"/>
    <w:rsid w:val="004530C3"/>
    <w:rsid w:val="0045347C"/>
    <w:rsid w:val="00461AB5"/>
    <w:rsid w:val="00461F26"/>
    <w:rsid w:val="004701B8"/>
    <w:rsid w:val="004715F9"/>
    <w:rsid w:val="00476176"/>
    <w:rsid w:val="00480C21"/>
    <w:rsid w:val="004A29E2"/>
    <w:rsid w:val="004A3296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F0C21"/>
    <w:rsid w:val="004F7730"/>
    <w:rsid w:val="00500F21"/>
    <w:rsid w:val="00502E6B"/>
    <w:rsid w:val="005040FC"/>
    <w:rsid w:val="005069F6"/>
    <w:rsid w:val="00511493"/>
    <w:rsid w:val="00511A6A"/>
    <w:rsid w:val="00524968"/>
    <w:rsid w:val="00524F42"/>
    <w:rsid w:val="0052514A"/>
    <w:rsid w:val="00526658"/>
    <w:rsid w:val="005472F1"/>
    <w:rsid w:val="0055178D"/>
    <w:rsid w:val="005563C7"/>
    <w:rsid w:val="00557EBD"/>
    <w:rsid w:val="0056534D"/>
    <w:rsid w:val="005727F3"/>
    <w:rsid w:val="00573CC4"/>
    <w:rsid w:val="00582464"/>
    <w:rsid w:val="0058326F"/>
    <w:rsid w:val="005867E5"/>
    <w:rsid w:val="00587799"/>
    <w:rsid w:val="00587A2B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D376C"/>
    <w:rsid w:val="005D3E7D"/>
    <w:rsid w:val="005E185C"/>
    <w:rsid w:val="005E5044"/>
    <w:rsid w:val="005E6987"/>
    <w:rsid w:val="005F0504"/>
    <w:rsid w:val="005F632B"/>
    <w:rsid w:val="00600B8C"/>
    <w:rsid w:val="006018C4"/>
    <w:rsid w:val="00603F5A"/>
    <w:rsid w:val="0060472F"/>
    <w:rsid w:val="006147C4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0F0E"/>
    <w:rsid w:val="00671EB4"/>
    <w:rsid w:val="00672BD0"/>
    <w:rsid w:val="006741F8"/>
    <w:rsid w:val="006832C7"/>
    <w:rsid w:val="00683D71"/>
    <w:rsid w:val="006905FA"/>
    <w:rsid w:val="00695E92"/>
    <w:rsid w:val="0069782B"/>
    <w:rsid w:val="006A07D6"/>
    <w:rsid w:val="006A596D"/>
    <w:rsid w:val="006B403A"/>
    <w:rsid w:val="006B6EC3"/>
    <w:rsid w:val="006B7E29"/>
    <w:rsid w:val="006C2152"/>
    <w:rsid w:val="006C2310"/>
    <w:rsid w:val="006D1A83"/>
    <w:rsid w:val="006E30C7"/>
    <w:rsid w:val="006E57CE"/>
    <w:rsid w:val="006F0973"/>
    <w:rsid w:val="007020FD"/>
    <w:rsid w:val="0070381A"/>
    <w:rsid w:val="00703E41"/>
    <w:rsid w:val="00706E38"/>
    <w:rsid w:val="00710DC5"/>
    <w:rsid w:val="007128FD"/>
    <w:rsid w:val="00712E61"/>
    <w:rsid w:val="007149F5"/>
    <w:rsid w:val="007153C0"/>
    <w:rsid w:val="00722EE1"/>
    <w:rsid w:val="00731562"/>
    <w:rsid w:val="00733FE5"/>
    <w:rsid w:val="007403A6"/>
    <w:rsid w:val="00741E3B"/>
    <w:rsid w:val="00744C7A"/>
    <w:rsid w:val="00751035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1165"/>
    <w:rsid w:val="007A42E2"/>
    <w:rsid w:val="007B02A8"/>
    <w:rsid w:val="007B5E6B"/>
    <w:rsid w:val="007C035F"/>
    <w:rsid w:val="007C132A"/>
    <w:rsid w:val="007C660D"/>
    <w:rsid w:val="007D43D2"/>
    <w:rsid w:val="007D4559"/>
    <w:rsid w:val="007D5826"/>
    <w:rsid w:val="007D6955"/>
    <w:rsid w:val="007E22EA"/>
    <w:rsid w:val="007F6583"/>
    <w:rsid w:val="008020A3"/>
    <w:rsid w:val="00803D11"/>
    <w:rsid w:val="0080656E"/>
    <w:rsid w:val="00811138"/>
    <w:rsid w:val="00813C37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50079"/>
    <w:rsid w:val="00850E6E"/>
    <w:rsid w:val="00851534"/>
    <w:rsid w:val="00852E15"/>
    <w:rsid w:val="008610F0"/>
    <w:rsid w:val="00861C10"/>
    <w:rsid w:val="00861CEF"/>
    <w:rsid w:val="00864715"/>
    <w:rsid w:val="008679DA"/>
    <w:rsid w:val="0087354B"/>
    <w:rsid w:val="00876452"/>
    <w:rsid w:val="00881D23"/>
    <w:rsid w:val="00882E94"/>
    <w:rsid w:val="008958D8"/>
    <w:rsid w:val="008A4F9E"/>
    <w:rsid w:val="008A547E"/>
    <w:rsid w:val="008A6B4F"/>
    <w:rsid w:val="008A7FD8"/>
    <w:rsid w:val="008B2B13"/>
    <w:rsid w:val="008B2E75"/>
    <w:rsid w:val="008C1463"/>
    <w:rsid w:val="008C2360"/>
    <w:rsid w:val="008C766A"/>
    <w:rsid w:val="008D52FD"/>
    <w:rsid w:val="008F4AAE"/>
    <w:rsid w:val="008F4AC1"/>
    <w:rsid w:val="008F5C49"/>
    <w:rsid w:val="008F6CE7"/>
    <w:rsid w:val="0090043C"/>
    <w:rsid w:val="00905022"/>
    <w:rsid w:val="00911A64"/>
    <w:rsid w:val="00912F0A"/>
    <w:rsid w:val="009237D5"/>
    <w:rsid w:val="00933284"/>
    <w:rsid w:val="00933D91"/>
    <w:rsid w:val="00934999"/>
    <w:rsid w:val="00936526"/>
    <w:rsid w:val="00944A51"/>
    <w:rsid w:val="00953C6C"/>
    <w:rsid w:val="00953D66"/>
    <w:rsid w:val="0095537B"/>
    <w:rsid w:val="009644B3"/>
    <w:rsid w:val="00964F8E"/>
    <w:rsid w:val="0096769B"/>
    <w:rsid w:val="009677C5"/>
    <w:rsid w:val="00970469"/>
    <w:rsid w:val="009806D0"/>
    <w:rsid w:val="009825A0"/>
    <w:rsid w:val="00992F22"/>
    <w:rsid w:val="00994F6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C2C"/>
    <w:rsid w:val="00A16592"/>
    <w:rsid w:val="00A33B6E"/>
    <w:rsid w:val="00A3515E"/>
    <w:rsid w:val="00A35721"/>
    <w:rsid w:val="00A40275"/>
    <w:rsid w:val="00A54B9F"/>
    <w:rsid w:val="00A6493B"/>
    <w:rsid w:val="00A67952"/>
    <w:rsid w:val="00A67FA2"/>
    <w:rsid w:val="00A70D5F"/>
    <w:rsid w:val="00A73CED"/>
    <w:rsid w:val="00A76BA8"/>
    <w:rsid w:val="00A80151"/>
    <w:rsid w:val="00A8361B"/>
    <w:rsid w:val="00A919F8"/>
    <w:rsid w:val="00A94B16"/>
    <w:rsid w:val="00AA1244"/>
    <w:rsid w:val="00AA1300"/>
    <w:rsid w:val="00AA28A6"/>
    <w:rsid w:val="00AA58A1"/>
    <w:rsid w:val="00AB1197"/>
    <w:rsid w:val="00AB63BB"/>
    <w:rsid w:val="00AD340F"/>
    <w:rsid w:val="00AE382B"/>
    <w:rsid w:val="00AE4340"/>
    <w:rsid w:val="00AE572E"/>
    <w:rsid w:val="00AE728C"/>
    <w:rsid w:val="00AF0FA5"/>
    <w:rsid w:val="00AF1915"/>
    <w:rsid w:val="00AF3D49"/>
    <w:rsid w:val="00B05DEC"/>
    <w:rsid w:val="00B2246B"/>
    <w:rsid w:val="00B22485"/>
    <w:rsid w:val="00B2552B"/>
    <w:rsid w:val="00B267D1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63545"/>
    <w:rsid w:val="00B65070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B2866"/>
    <w:rsid w:val="00BB403F"/>
    <w:rsid w:val="00BD1139"/>
    <w:rsid w:val="00BD32A3"/>
    <w:rsid w:val="00BD5821"/>
    <w:rsid w:val="00BD5F26"/>
    <w:rsid w:val="00BF01F8"/>
    <w:rsid w:val="00BF28AF"/>
    <w:rsid w:val="00C0138A"/>
    <w:rsid w:val="00C03B29"/>
    <w:rsid w:val="00C07599"/>
    <w:rsid w:val="00C101BC"/>
    <w:rsid w:val="00C1077A"/>
    <w:rsid w:val="00C111D9"/>
    <w:rsid w:val="00C20108"/>
    <w:rsid w:val="00C274F0"/>
    <w:rsid w:val="00C34042"/>
    <w:rsid w:val="00C3638D"/>
    <w:rsid w:val="00C40AF1"/>
    <w:rsid w:val="00C530C0"/>
    <w:rsid w:val="00C55F8C"/>
    <w:rsid w:val="00C723CD"/>
    <w:rsid w:val="00C73AC2"/>
    <w:rsid w:val="00C81279"/>
    <w:rsid w:val="00C87667"/>
    <w:rsid w:val="00C91E83"/>
    <w:rsid w:val="00C94F44"/>
    <w:rsid w:val="00CA481D"/>
    <w:rsid w:val="00CB41A6"/>
    <w:rsid w:val="00CB632C"/>
    <w:rsid w:val="00CB690D"/>
    <w:rsid w:val="00CC0C0F"/>
    <w:rsid w:val="00CC1AB5"/>
    <w:rsid w:val="00CC36AF"/>
    <w:rsid w:val="00CC4785"/>
    <w:rsid w:val="00CC5683"/>
    <w:rsid w:val="00CD22B3"/>
    <w:rsid w:val="00CE0749"/>
    <w:rsid w:val="00CE3C70"/>
    <w:rsid w:val="00CF75E2"/>
    <w:rsid w:val="00D01402"/>
    <w:rsid w:val="00D1049F"/>
    <w:rsid w:val="00D111D4"/>
    <w:rsid w:val="00D11E00"/>
    <w:rsid w:val="00D16192"/>
    <w:rsid w:val="00D16D20"/>
    <w:rsid w:val="00D20FFD"/>
    <w:rsid w:val="00D21163"/>
    <w:rsid w:val="00D25D08"/>
    <w:rsid w:val="00D26D4C"/>
    <w:rsid w:val="00D30DD9"/>
    <w:rsid w:val="00D33160"/>
    <w:rsid w:val="00D35C72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40D1"/>
    <w:rsid w:val="00D812AF"/>
    <w:rsid w:val="00D82DFC"/>
    <w:rsid w:val="00D856A8"/>
    <w:rsid w:val="00D94408"/>
    <w:rsid w:val="00DA010F"/>
    <w:rsid w:val="00DA3CEB"/>
    <w:rsid w:val="00DA5101"/>
    <w:rsid w:val="00DA532B"/>
    <w:rsid w:val="00DB17C5"/>
    <w:rsid w:val="00DB3B06"/>
    <w:rsid w:val="00DB534D"/>
    <w:rsid w:val="00DB6193"/>
    <w:rsid w:val="00DC52F7"/>
    <w:rsid w:val="00DD59E6"/>
    <w:rsid w:val="00DD78E9"/>
    <w:rsid w:val="00DE027F"/>
    <w:rsid w:val="00DE42AE"/>
    <w:rsid w:val="00DE5EB6"/>
    <w:rsid w:val="00DE6EAA"/>
    <w:rsid w:val="00DF580B"/>
    <w:rsid w:val="00DF61F8"/>
    <w:rsid w:val="00DF69ED"/>
    <w:rsid w:val="00E01298"/>
    <w:rsid w:val="00E0172A"/>
    <w:rsid w:val="00E0558A"/>
    <w:rsid w:val="00E10970"/>
    <w:rsid w:val="00E21F5B"/>
    <w:rsid w:val="00E23E78"/>
    <w:rsid w:val="00E26060"/>
    <w:rsid w:val="00E34A68"/>
    <w:rsid w:val="00E40353"/>
    <w:rsid w:val="00E41212"/>
    <w:rsid w:val="00E4227A"/>
    <w:rsid w:val="00E43943"/>
    <w:rsid w:val="00E44DAA"/>
    <w:rsid w:val="00E560DF"/>
    <w:rsid w:val="00E57D7A"/>
    <w:rsid w:val="00E63303"/>
    <w:rsid w:val="00E633C7"/>
    <w:rsid w:val="00E64444"/>
    <w:rsid w:val="00E709F0"/>
    <w:rsid w:val="00E7311B"/>
    <w:rsid w:val="00E747E5"/>
    <w:rsid w:val="00E75D2D"/>
    <w:rsid w:val="00E91526"/>
    <w:rsid w:val="00E93A73"/>
    <w:rsid w:val="00E96359"/>
    <w:rsid w:val="00E971A3"/>
    <w:rsid w:val="00EB02FE"/>
    <w:rsid w:val="00EB3B97"/>
    <w:rsid w:val="00EC1C89"/>
    <w:rsid w:val="00EC6ED3"/>
    <w:rsid w:val="00ED050D"/>
    <w:rsid w:val="00ED110C"/>
    <w:rsid w:val="00ED7FA5"/>
    <w:rsid w:val="00EE1C6F"/>
    <w:rsid w:val="00EE2B9F"/>
    <w:rsid w:val="00EE44E9"/>
    <w:rsid w:val="00EF49E3"/>
    <w:rsid w:val="00EF5D35"/>
    <w:rsid w:val="00F028C4"/>
    <w:rsid w:val="00F13F6A"/>
    <w:rsid w:val="00F40111"/>
    <w:rsid w:val="00F4268B"/>
    <w:rsid w:val="00F45137"/>
    <w:rsid w:val="00F51A9E"/>
    <w:rsid w:val="00F55473"/>
    <w:rsid w:val="00F5757B"/>
    <w:rsid w:val="00F619D9"/>
    <w:rsid w:val="00F66E0D"/>
    <w:rsid w:val="00F74168"/>
    <w:rsid w:val="00F7503A"/>
    <w:rsid w:val="00F77508"/>
    <w:rsid w:val="00F825BD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C0F68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Sample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Subtitle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Emphasis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Verdana" w:hAnsi="Verdana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Verdana" w:hAnsi="Verdana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Verdana" w:hAnsi="Verdana"/>
        <w:sz w:val="18"/>
      </w:rPr>
      <w:tblPr/>
      <w:tcPr>
        <w:shd w:val="clear" w:color="auto" w:fill="FFFFFF"/>
      </w:tcPr>
    </w:tblStylePr>
    <w:tblStylePr w:type="band2Horz">
      <w:rPr>
        <w:rFonts w:ascii="Verdana" w:hAnsi="Verdana"/>
        <w:sz w:val="18"/>
      </w:rPr>
      <w:tblPr/>
      <w:tcPr>
        <w:shd w:val="clear" w:color="auto" w:fill="F3FCFF"/>
      </w:tcPr>
    </w:tblStylePr>
  </w:style>
  <w:style w:type="character" w:customStyle="1" w:styleId="Nevyeenzmnka">
    <w:name w:val="Nevyřešená zmínka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pkralov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itel@dspkral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ios.eu/produkty/helios-feni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C21E-6C80-4150-B6F8-2C94241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2</TotalTime>
  <Pages>12</Pages>
  <Words>3297</Words>
  <Characters>19454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22706</CharactersWithSpaces>
  <SharedDoc>false</SharedDoc>
  <HLinks>
    <vt:vector size="18" baseType="variant">
      <vt:variant>
        <vt:i4>2555930</vt:i4>
      </vt:variant>
      <vt:variant>
        <vt:i4>6</vt:i4>
      </vt:variant>
      <vt:variant>
        <vt:i4>0</vt:i4>
      </vt:variant>
      <vt:variant>
        <vt:i4>5</vt:i4>
      </vt:variant>
      <vt:variant>
        <vt:lpwstr>mailto:reditel@dspkralovice.cz</vt:lpwstr>
      </vt:variant>
      <vt:variant>
        <vt:lpwstr/>
      </vt:variant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http://www.helios.eu/produkty/helios-fenix/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mailto:reditel@dspkralovice.cz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creator>mju</dc:creator>
  <cp:lastModifiedBy>Jana Šuldová</cp:lastModifiedBy>
  <cp:revision>2</cp:revision>
  <cp:lastPrinted>2011-12-19T15:36:00Z</cp:lastPrinted>
  <dcterms:created xsi:type="dcterms:W3CDTF">2020-12-01T12:30:00Z</dcterms:created>
  <dcterms:modified xsi:type="dcterms:W3CDTF">2020-12-01T12:30:00Z</dcterms:modified>
</cp:coreProperties>
</file>