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79" w:rsidRDefault="003E5EF8">
      <w:pPr>
        <w:pStyle w:val="Nzev"/>
        <w:spacing w:before="85"/>
        <w:ind w:left="3283" w:right="3148"/>
      </w:pPr>
      <w:r>
        <w:rPr>
          <w:color w:val="808080"/>
        </w:rPr>
        <w:t>Smlouva č. 1191100006 o poskytnutí podpory</w:t>
      </w:r>
    </w:p>
    <w:p w:rsidR="00B42479" w:rsidRDefault="003E5EF8">
      <w:pPr>
        <w:pStyle w:val="Nzev"/>
        <w:spacing w:line="424" w:lineRule="exact"/>
      </w:pPr>
      <w:r>
        <w:rPr>
          <w:color w:val="808080"/>
        </w:rPr>
        <w:t>ze Státního fondu životního prostředí České republiky</w:t>
      </w:r>
    </w:p>
    <w:p w:rsidR="00B42479" w:rsidRDefault="00B42479">
      <w:pPr>
        <w:pStyle w:val="Zkladntext"/>
        <w:ind w:left="0"/>
        <w:jc w:val="left"/>
        <w:rPr>
          <w:sz w:val="60"/>
        </w:rPr>
      </w:pPr>
    </w:p>
    <w:p w:rsidR="00B42479" w:rsidRDefault="003E5EF8">
      <w:pPr>
        <w:pStyle w:val="Zkladntext"/>
        <w:ind w:left="242"/>
        <w:jc w:val="left"/>
      </w:pPr>
      <w:r>
        <w:t>Smluvní strany</w:t>
      </w:r>
    </w:p>
    <w:p w:rsidR="00B42479" w:rsidRDefault="00B42479">
      <w:pPr>
        <w:pStyle w:val="Zkladntext"/>
        <w:spacing w:before="1"/>
        <w:ind w:left="0"/>
        <w:jc w:val="left"/>
      </w:pPr>
    </w:p>
    <w:p w:rsidR="00B42479" w:rsidRDefault="003E5EF8">
      <w:pPr>
        <w:pStyle w:val="Nadpis1"/>
        <w:ind w:right="0"/>
        <w:jc w:val="left"/>
      </w:pPr>
      <w:r>
        <w:t>Státní fond životního prostředí České republiky</w:t>
      </w:r>
    </w:p>
    <w:p w:rsidR="00B42479" w:rsidRDefault="003E5EF8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B42479" w:rsidRDefault="003E5EF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B42479" w:rsidRDefault="003E5EF8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B42479" w:rsidRDefault="003E5EF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B42479" w:rsidRDefault="003E5EF8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B42479" w:rsidRDefault="003E5EF8">
      <w:pPr>
        <w:pStyle w:val="Zkladntext"/>
        <w:tabs>
          <w:tab w:val="left" w:pos="3122"/>
        </w:tabs>
        <w:spacing w:before="1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B42479" w:rsidRDefault="00B42479">
      <w:pPr>
        <w:pStyle w:val="Zkladntext"/>
        <w:spacing w:before="12"/>
        <w:ind w:left="0"/>
        <w:jc w:val="left"/>
        <w:rPr>
          <w:sz w:val="19"/>
        </w:rPr>
      </w:pPr>
    </w:p>
    <w:p w:rsidR="00B42479" w:rsidRDefault="003E5EF8">
      <w:pPr>
        <w:pStyle w:val="Zkladntext"/>
        <w:ind w:left="242"/>
        <w:jc w:val="left"/>
      </w:pPr>
      <w:r>
        <w:rPr>
          <w:w w:val="99"/>
        </w:rPr>
        <w:t>a</w:t>
      </w:r>
    </w:p>
    <w:p w:rsidR="00B42479" w:rsidRDefault="00B42479">
      <w:pPr>
        <w:pStyle w:val="Zkladntext"/>
        <w:ind w:left="0"/>
        <w:jc w:val="left"/>
      </w:pPr>
    </w:p>
    <w:p w:rsidR="00B42479" w:rsidRDefault="003E5EF8">
      <w:pPr>
        <w:pStyle w:val="Nadpis1"/>
        <w:spacing w:before="1"/>
        <w:ind w:right="0"/>
        <w:jc w:val="left"/>
      </w:pPr>
      <w:r>
        <w:t>město Slavkov u Brna</w:t>
      </w:r>
    </w:p>
    <w:p w:rsidR="00B42479" w:rsidRDefault="003E5EF8">
      <w:pPr>
        <w:pStyle w:val="Zkladntext"/>
        <w:tabs>
          <w:tab w:val="left" w:pos="3122"/>
        </w:tabs>
        <w:ind w:left="242" w:right="109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5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Slavkov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Brna,</w:t>
      </w:r>
      <w:r>
        <w:rPr>
          <w:spacing w:val="-4"/>
        </w:rPr>
        <w:t xml:space="preserve"> </w:t>
      </w:r>
      <w:r>
        <w:t>Palackého</w:t>
      </w:r>
      <w:r>
        <w:rPr>
          <w:spacing w:val="-5"/>
        </w:rPr>
        <w:t xml:space="preserve"> </w:t>
      </w:r>
      <w:r>
        <w:t>náměstí</w:t>
      </w:r>
      <w:r>
        <w:rPr>
          <w:spacing w:val="-5"/>
        </w:rPr>
        <w:t xml:space="preserve"> </w:t>
      </w:r>
      <w:r>
        <w:t>65,</w:t>
      </w:r>
      <w:r>
        <w:rPr>
          <w:spacing w:val="-5"/>
        </w:rPr>
        <w:t xml:space="preserve"> </w:t>
      </w:r>
      <w:r>
        <w:t>684</w:t>
      </w:r>
      <w:r>
        <w:rPr>
          <w:spacing w:val="-1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Slavkov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Brna IČO:</w:t>
      </w:r>
      <w:r>
        <w:tab/>
        <w:t>00292311</w:t>
      </w:r>
    </w:p>
    <w:p w:rsidR="00B42479" w:rsidRDefault="003E5EF8">
      <w:pPr>
        <w:pStyle w:val="Zkladntext"/>
        <w:tabs>
          <w:tab w:val="left" w:pos="3122"/>
        </w:tabs>
        <w:spacing w:line="264" w:lineRule="exact"/>
        <w:ind w:left="242"/>
        <w:jc w:val="left"/>
      </w:pPr>
      <w:r>
        <w:t>zastoupené:</w:t>
      </w:r>
      <w:r>
        <w:tab/>
        <w:t>Bc. M i ch a l e m B o u d n ý m,</w:t>
      </w:r>
      <w:r>
        <w:rPr>
          <w:spacing w:val="-37"/>
        </w:rPr>
        <w:t xml:space="preserve"> </w:t>
      </w:r>
      <w:r>
        <w:t>starostou</w:t>
      </w:r>
    </w:p>
    <w:p w:rsidR="00B42479" w:rsidRDefault="003E5EF8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A73D8" w:rsidRPr="00CA73D8">
        <w:rPr>
          <w:highlight w:val="yellow"/>
        </w:rPr>
        <w:t>xxxx</w:t>
      </w:r>
    </w:p>
    <w:p w:rsidR="00CA73D8" w:rsidRDefault="003E5EF8">
      <w:pPr>
        <w:pStyle w:val="Zkladntext"/>
        <w:tabs>
          <w:tab w:val="left" w:pos="3122"/>
        </w:tabs>
        <w:spacing w:before="1"/>
        <w:ind w:left="24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A73D8" w:rsidRPr="00CA73D8">
        <w:rPr>
          <w:w w:val="95"/>
          <w:highlight w:val="yellow"/>
        </w:rPr>
        <w:t>xxxx</w:t>
      </w:r>
      <w:bookmarkStart w:id="0" w:name="_GoBack"/>
      <w:bookmarkEnd w:id="0"/>
    </w:p>
    <w:p w:rsidR="00B42479" w:rsidRDefault="003E5EF8">
      <w:pPr>
        <w:pStyle w:val="Zkladntext"/>
        <w:tabs>
          <w:tab w:val="left" w:pos="3122"/>
        </w:tabs>
        <w:spacing w:before="1"/>
        <w:ind w:left="24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B42479" w:rsidRDefault="00B42479">
      <w:pPr>
        <w:pStyle w:val="Zkladntext"/>
        <w:spacing w:before="1"/>
        <w:ind w:left="0"/>
        <w:jc w:val="left"/>
      </w:pPr>
    </w:p>
    <w:p w:rsidR="00B42479" w:rsidRDefault="003E5EF8">
      <w:pPr>
        <w:pStyle w:val="Zkladntext"/>
        <w:ind w:left="242"/>
        <w:jc w:val="left"/>
      </w:pPr>
      <w:r>
        <w:t>se dohodly takto:</w:t>
      </w:r>
    </w:p>
    <w:p w:rsidR="00B42479" w:rsidRDefault="00B42479">
      <w:pPr>
        <w:pStyle w:val="Zkladntext"/>
        <w:spacing w:before="2"/>
        <w:ind w:left="0"/>
        <w:jc w:val="left"/>
        <w:rPr>
          <w:sz w:val="36"/>
        </w:rPr>
      </w:pPr>
    </w:p>
    <w:p w:rsidR="00B42479" w:rsidRDefault="003E5EF8">
      <w:pPr>
        <w:pStyle w:val="Nadpis1"/>
        <w:ind w:left="3276"/>
      </w:pPr>
      <w:r>
        <w:t>I.</w:t>
      </w:r>
    </w:p>
    <w:p w:rsidR="00B42479" w:rsidRDefault="003E5EF8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B42479" w:rsidRDefault="00B42479">
      <w:pPr>
        <w:pStyle w:val="Zkladntext"/>
        <w:spacing w:before="12"/>
        <w:ind w:left="0"/>
        <w:jc w:val="left"/>
        <w:rPr>
          <w:b/>
          <w:sz w:val="17"/>
        </w:rPr>
      </w:pPr>
    </w:p>
    <w:p w:rsidR="00B42479" w:rsidRDefault="003E5EF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42479" w:rsidRDefault="003E5EF8">
      <w:pPr>
        <w:pStyle w:val="Zkladntext"/>
        <w:ind w:right="110"/>
      </w:pPr>
      <w:r>
        <w:t xml:space="preserve">„Smlouva“) se uzavírá na základě Rozhodnutí ministra životního prostředí č. 1191100006 o poskytnutí finančních prostředků ze Státního </w:t>
      </w:r>
      <w:r>
        <w:t>fondu životního prostředí ČR ze dne 20.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B42479" w:rsidRDefault="003E5EF8">
      <w:pPr>
        <w:pStyle w:val="Zkladntext"/>
        <w:spacing w:before="2"/>
      </w:pPr>
      <w:r>
        <w:t>„</w:t>
      </w:r>
      <w:r>
        <w:t>Směrnice MŽP“), platné ke dni podání žádosti.</w:t>
      </w:r>
    </w:p>
    <w:p w:rsidR="00B42479" w:rsidRDefault="003E5EF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11/2019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B42479" w:rsidRDefault="00B42479">
      <w:pPr>
        <w:jc w:val="both"/>
        <w:rPr>
          <w:sz w:val="20"/>
        </w:rPr>
        <w:sectPr w:rsidR="00B42479">
          <w:footerReference w:type="default" r:id="rId7"/>
          <w:type w:val="continuous"/>
          <w:pgSz w:w="12240" w:h="15840"/>
          <w:pgMar w:top="1360" w:right="1020" w:bottom="1600" w:left="1460" w:header="708" w:footer="1408" w:gutter="0"/>
          <w:pgNumType w:start="1"/>
          <w:cols w:space="708"/>
        </w:sectPr>
      </w:pPr>
    </w:p>
    <w:p w:rsidR="00B42479" w:rsidRDefault="003E5EF8">
      <w:pPr>
        <w:pStyle w:val="Odstavecseseznamem"/>
        <w:numPr>
          <w:ilvl w:val="0"/>
          <w:numId w:val="6"/>
        </w:numPr>
        <w:tabs>
          <w:tab w:val="left" w:pos="526"/>
        </w:tabs>
        <w:spacing w:before="85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B42479" w:rsidRDefault="003E5EF8">
      <w:pPr>
        <w:pStyle w:val="Nadpis1"/>
        <w:spacing w:before="118"/>
        <w:ind w:left="3009" w:right="0"/>
        <w:jc w:val="left"/>
      </w:pPr>
      <w:r>
        <w:t>„Elektromobil pro město Slavkov u Brna“</w:t>
      </w:r>
    </w:p>
    <w:p w:rsidR="00B42479" w:rsidRDefault="003E5EF8">
      <w:pPr>
        <w:pStyle w:val="Zkladntext"/>
        <w:spacing w:before="120"/>
        <w:jc w:val="left"/>
      </w:pPr>
      <w:r>
        <w:t>(dále jen „projekt“ nebo „akce“) realizovanou v roce 2020. Akce je investiční.</w:t>
      </w:r>
    </w:p>
    <w:p w:rsidR="00B42479" w:rsidRDefault="00B42479">
      <w:pPr>
        <w:pStyle w:val="Zkladntext"/>
        <w:spacing w:before="2"/>
        <w:ind w:left="0"/>
        <w:jc w:val="left"/>
        <w:rPr>
          <w:sz w:val="36"/>
        </w:rPr>
      </w:pPr>
    </w:p>
    <w:p w:rsidR="00B42479" w:rsidRDefault="003E5EF8">
      <w:pPr>
        <w:pStyle w:val="Nadpis1"/>
        <w:ind w:left="3276"/>
      </w:pPr>
      <w:r>
        <w:t>II.</w:t>
      </w:r>
    </w:p>
    <w:p w:rsidR="00B42479" w:rsidRDefault="003E5EF8">
      <w:pPr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B42479" w:rsidRDefault="00B42479">
      <w:pPr>
        <w:pStyle w:val="Zkladntext"/>
        <w:spacing w:before="1"/>
        <w:ind w:left="0"/>
        <w:jc w:val="left"/>
        <w:rPr>
          <w:b/>
          <w:sz w:val="18"/>
        </w:rPr>
      </w:pPr>
    </w:p>
    <w:p w:rsidR="00B42479" w:rsidRDefault="003E5EF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182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255,52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 osmdesát dva tisíc dvě stě padesát pět korun českých padesát dva</w:t>
      </w:r>
      <w:r>
        <w:rPr>
          <w:spacing w:val="-5"/>
          <w:sz w:val="20"/>
        </w:rPr>
        <w:t xml:space="preserve"> </w:t>
      </w:r>
      <w:r>
        <w:rPr>
          <w:sz w:val="20"/>
        </w:rPr>
        <w:t>haléře).</w:t>
      </w:r>
    </w:p>
    <w:p w:rsidR="00B42479" w:rsidRDefault="003E5EF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 je stanovena fixní částkou podle typu vozidla a druhu</w:t>
      </w:r>
      <w:r>
        <w:rPr>
          <w:spacing w:val="-3"/>
          <w:sz w:val="20"/>
        </w:rPr>
        <w:t xml:space="preserve"> </w:t>
      </w:r>
      <w:r>
        <w:rPr>
          <w:sz w:val="20"/>
        </w:rPr>
        <w:t>pohonu.</w:t>
      </w:r>
    </w:p>
    <w:p w:rsidR="00B42479" w:rsidRDefault="003E5EF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Případné zvýšení upřesněnýc</w:t>
      </w:r>
      <w:r>
        <w:rPr>
          <w:sz w:val="20"/>
        </w:rPr>
        <w:t>h rozpočtových nákladů hradí příjemce podpory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42479" w:rsidRDefault="003E5EF8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na nákup předmětu podpory definovaného dle čl. 2 Výzvy, nejdříve však po d</w:t>
      </w:r>
      <w:r>
        <w:rPr>
          <w:sz w:val="20"/>
        </w:rPr>
        <w:t>ni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42479" w:rsidRDefault="003E5EF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 dodavatelům lze z podpory poskytované Fondem hradit pouze dodávky na realizaci</w:t>
      </w:r>
      <w:r>
        <w:rPr>
          <w:spacing w:val="-18"/>
          <w:sz w:val="20"/>
        </w:rPr>
        <w:t xml:space="preserve"> </w:t>
      </w:r>
      <w:r>
        <w:rPr>
          <w:sz w:val="20"/>
        </w:rPr>
        <w:t>akce.</w:t>
      </w:r>
    </w:p>
    <w:p w:rsidR="00B42479" w:rsidRDefault="003E5EF8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-2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42479" w:rsidRDefault="00B42479">
      <w:pPr>
        <w:pStyle w:val="Zkladntext"/>
        <w:spacing w:before="1"/>
        <w:ind w:left="0"/>
        <w:jc w:val="left"/>
        <w:rPr>
          <w:sz w:val="36"/>
        </w:rPr>
      </w:pPr>
    </w:p>
    <w:p w:rsidR="00B42479" w:rsidRDefault="003E5EF8">
      <w:pPr>
        <w:pStyle w:val="Nadpis1"/>
        <w:spacing w:before="1"/>
        <w:ind w:left="3275"/>
      </w:pPr>
      <w:r>
        <w:t>III.</w:t>
      </w:r>
    </w:p>
    <w:p w:rsidR="00B42479" w:rsidRDefault="003E5EF8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B42479" w:rsidRDefault="00B42479">
      <w:pPr>
        <w:pStyle w:val="Zkladntext"/>
        <w:spacing w:before="1"/>
        <w:ind w:left="0"/>
        <w:jc w:val="left"/>
        <w:rPr>
          <w:b/>
          <w:sz w:val="18"/>
        </w:rPr>
      </w:pP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6"/>
          <w:sz w:val="20"/>
        </w:rPr>
        <w:t xml:space="preserve"> </w:t>
      </w:r>
      <w:r>
        <w:rPr>
          <w:sz w:val="20"/>
        </w:rPr>
        <w:t>takto:</w:t>
      </w:r>
    </w:p>
    <w:p w:rsidR="00B42479" w:rsidRDefault="00B42479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42479">
        <w:trPr>
          <w:trHeight w:val="505"/>
        </w:trPr>
        <w:tc>
          <w:tcPr>
            <w:tcW w:w="4532" w:type="dxa"/>
          </w:tcPr>
          <w:p w:rsidR="00B42479" w:rsidRDefault="003E5EF8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B42479" w:rsidRDefault="003E5EF8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B42479">
        <w:trPr>
          <w:trHeight w:val="505"/>
        </w:trPr>
        <w:tc>
          <w:tcPr>
            <w:tcW w:w="4532" w:type="dxa"/>
          </w:tcPr>
          <w:p w:rsidR="00B42479" w:rsidRDefault="003E5EF8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866" w:type="dxa"/>
          </w:tcPr>
          <w:p w:rsidR="00B42479" w:rsidRDefault="003E5EF8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182 255,52</w:t>
            </w:r>
          </w:p>
        </w:tc>
      </w:tr>
    </w:tbl>
    <w:p w:rsidR="00B42479" w:rsidRDefault="00B42479">
      <w:pPr>
        <w:pStyle w:val="Zkladntext"/>
        <w:ind w:left="0"/>
        <w:jc w:val="left"/>
        <w:rPr>
          <w:sz w:val="29"/>
        </w:rPr>
      </w:pP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11), příslušné doklady prokazující oprávněnost vyn</w:t>
      </w:r>
      <w:r>
        <w:rPr>
          <w:sz w:val="20"/>
        </w:rPr>
        <w:t>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B42479" w:rsidRDefault="00B42479">
      <w:pPr>
        <w:jc w:val="both"/>
        <w:rPr>
          <w:sz w:val="20"/>
        </w:rPr>
        <w:sectPr w:rsidR="00B42479">
          <w:pgSz w:w="12240" w:h="15840"/>
          <w:pgMar w:top="1360" w:right="1020" w:bottom="1660" w:left="1460" w:header="0" w:footer="1408" w:gutter="0"/>
          <w:cols w:space="708"/>
        </w:sectPr>
      </w:pP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82"/>
        <w:ind w:right="112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</w:t>
      </w:r>
      <w:r>
        <w:rPr>
          <w:sz w:val="20"/>
        </w:rPr>
        <w:t xml:space="preserve">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</w:t>
      </w:r>
      <w:r>
        <w:rPr>
          <w:sz w:val="20"/>
        </w:rPr>
        <w:t>emcem podpory prostřednictvím AIS SFŽP</w:t>
      </w:r>
      <w:r>
        <w:rPr>
          <w:spacing w:val="-30"/>
          <w:sz w:val="20"/>
        </w:rPr>
        <w:t xml:space="preserve"> </w:t>
      </w:r>
      <w:r>
        <w:rPr>
          <w:sz w:val="20"/>
        </w:rPr>
        <w:t>ČR.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B42479" w:rsidRDefault="003E5EF8">
      <w:pPr>
        <w:pStyle w:val="Odstavecseseznamem"/>
        <w:numPr>
          <w:ilvl w:val="1"/>
          <w:numId w:val="4"/>
        </w:numPr>
        <w:tabs>
          <w:tab w:val="left" w:pos="950"/>
        </w:tabs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B42479" w:rsidRDefault="003E5EF8">
      <w:pPr>
        <w:pStyle w:val="Odstavecseseznamem"/>
        <w:numPr>
          <w:ilvl w:val="1"/>
          <w:numId w:val="4"/>
        </w:numPr>
        <w:tabs>
          <w:tab w:val="left" w:pos="950"/>
        </w:tabs>
        <w:spacing w:before="120"/>
        <w:ind w:right="117"/>
        <w:rPr>
          <w:sz w:val="20"/>
        </w:rPr>
      </w:pPr>
      <w:r>
        <w:rPr>
          <w:sz w:val="20"/>
        </w:rPr>
        <w:t>kopie bankovních výpisů dokladující uhrazení faktur zhotoviteli, případně doklady, že došlo ke sk</w:t>
      </w:r>
      <w:r>
        <w:rPr>
          <w:sz w:val="20"/>
        </w:rPr>
        <w:t>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odvodů,</w:t>
      </w:r>
    </w:p>
    <w:p w:rsidR="00B42479" w:rsidRDefault="003E5EF8">
      <w:pPr>
        <w:pStyle w:val="Odstavecseseznamem"/>
        <w:numPr>
          <w:ilvl w:val="1"/>
          <w:numId w:val="4"/>
        </w:numPr>
        <w:tabs>
          <w:tab w:val="left" w:pos="949"/>
          <w:tab w:val="left" w:pos="950"/>
        </w:tabs>
        <w:rPr>
          <w:sz w:val="20"/>
        </w:rPr>
      </w:pPr>
      <w:r>
        <w:rPr>
          <w:sz w:val="20"/>
        </w:rPr>
        <w:t>kopii technického průkazu pořízeného</w:t>
      </w:r>
      <w:r>
        <w:rPr>
          <w:spacing w:val="1"/>
          <w:sz w:val="20"/>
        </w:rPr>
        <w:t xml:space="preserve"> </w:t>
      </w:r>
      <w:r>
        <w:rPr>
          <w:sz w:val="20"/>
        </w:rPr>
        <w:t>vozidla,</w:t>
      </w:r>
    </w:p>
    <w:p w:rsidR="00B42479" w:rsidRDefault="003E5EF8">
      <w:pPr>
        <w:pStyle w:val="Odstavecseseznamem"/>
        <w:numPr>
          <w:ilvl w:val="1"/>
          <w:numId w:val="4"/>
        </w:numPr>
        <w:tabs>
          <w:tab w:val="left" w:pos="950"/>
        </w:tabs>
        <w:spacing w:before="118"/>
        <w:rPr>
          <w:sz w:val="20"/>
        </w:rPr>
      </w:pPr>
      <w:r>
        <w:rPr>
          <w:sz w:val="20"/>
        </w:rPr>
        <w:t>fotodokumentaci prokazující splnění povinné publicity podle čl. 15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</w:p>
    <w:p w:rsidR="00B42479" w:rsidRDefault="003E5EF8">
      <w:pPr>
        <w:pStyle w:val="Odstavecseseznamem"/>
        <w:numPr>
          <w:ilvl w:val="1"/>
          <w:numId w:val="4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předávací</w:t>
      </w:r>
      <w:r>
        <w:rPr>
          <w:spacing w:val="-6"/>
          <w:sz w:val="20"/>
        </w:rPr>
        <w:t xml:space="preserve"> </w:t>
      </w:r>
      <w:r>
        <w:rPr>
          <w:sz w:val="20"/>
        </w:rPr>
        <w:t>protokol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zakoupenému</w:t>
      </w:r>
      <w:r>
        <w:rPr>
          <w:spacing w:val="-5"/>
          <w:sz w:val="20"/>
        </w:rPr>
        <w:t xml:space="preserve"> </w:t>
      </w:r>
      <w:r>
        <w:rPr>
          <w:sz w:val="20"/>
        </w:rPr>
        <w:t>vozidlu,</w:t>
      </w:r>
      <w:r>
        <w:rPr>
          <w:spacing w:val="-6"/>
          <w:sz w:val="20"/>
        </w:rPr>
        <w:t xml:space="preserve"> </w:t>
      </w:r>
      <w:r>
        <w:rPr>
          <w:sz w:val="20"/>
        </w:rPr>
        <w:t>podepsaný</w:t>
      </w:r>
      <w:r>
        <w:rPr>
          <w:spacing w:val="-6"/>
          <w:sz w:val="20"/>
        </w:rPr>
        <w:t xml:space="preserve"> </w:t>
      </w:r>
      <w:r>
        <w:rPr>
          <w:sz w:val="20"/>
        </w:rPr>
        <w:t>zástupcem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dodavatele,</w:t>
      </w:r>
    </w:p>
    <w:p w:rsidR="00B42479" w:rsidRDefault="003E5EF8">
      <w:pPr>
        <w:pStyle w:val="Odstavecseseznamem"/>
        <w:numPr>
          <w:ilvl w:val="1"/>
          <w:numId w:val="4"/>
        </w:numPr>
        <w:tabs>
          <w:tab w:val="left" w:pos="949"/>
          <w:tab w:val="left" w:pos="950"/>
        </w:tabs>
        <w:ind w:right="115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plátcem,</w:t>
      </w:r>
      <w:r>
        <w:rPr>
          <w:spacing w:val="-11"/>
          <w:sz w:val="20"/>
        </w:rPr>
        <w:t xml:space="preserve"> </w:t>
      </w:r>
      <w:r>
        <w:rPr>
          <w:sz w:val="20"/>
        </w:rPr>
        <w:t>ale</w:t>
      </w:r>
      <w:r>
        <w:rPr>
          <w:spacing w:val="-13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 podpory</w:t>
      </w:r>
      <w:r>
        <w:rPr>
          <w:spacing w:val="-13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3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2"/>
          <w:sz w:val="20"/>
        </w:rPr>
        <w:t xml:space="preserve"> </w:t>
      </w:r>
      <w:r>
        <w:rPr>
          <w:sz w:val="20"/>
        </w:rPr>
        <w:t>doloží</w:t>
      </w:r>
      <w:r>
        <w:rPr>
          <w:spacing w:val="-13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4"/>
          <w:sz w:val="20"/>
        </w:rPr>
        <w:t xml:space="preserve"> </w:t>
      </w:r>
      <w:r>
        <w:rPr>
          <w:sz w:val="20"/>
        </w:rPr>
        <w:t>čestným</w:t>
      </w:r>
      <w:r>
        <w:rPr>
          <w:spacing w:val="-13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zdůvodnění.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</w:t>
      </w:r>
      <w:r>
        <w:rPr>
          <w:sz w:val="20"/>
        </w:rPr>
        <w:t>uje předložení faktur i z roku předcházejícího uvolnění podpory, pokud fakturace odpovídá termínům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dodavatele storno nebo dobropis faktury, je povinen tyto doklady včetně zdůvodnění a kopie bankovního výpisu neprodleně po obdržení a provedení kontroly zaslat Fondu a splnit povinnost stanovenou v článku IV bodu 2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B42479" w:rsidRDefault="003E5EF8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B42479" w:rsidRDefault="00B42479">
      <w:pPr>
        <w:jc w:val="both"/>
        <w:rPr>
          <w:sz w:val="20"/>
        </w:rPr>
        <w:sectPr w:rsidR="00B42479">
          <w:pgSz w:w="12240" w:h="15840"/>
          <w:pgMar w:top="1360" w:right="1020" w:bottom="1660" w:left="1460" w:header="0" w:footer="1408" w:gutter="0"/>
          <w:cols w:space="708"/>
        </w:sectPr>
      </w:pP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spacing w:before="4"/>
        <w:ind w:left="0"/>
        <w:jc w:val="left"/>
        <w:rPr>
          <w:sz w:val="38"/>
        </w:rPr>
      </w:pPr>
    </w:p>
    <w:p w:rsidR="00B42479" w:rsidRDefault="003E5EF8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B42479" w:rsidRDefault="003E5EF8">
      <w:pPr>
        <w:spacing w:before="82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42479" w:rsidRDefault="003E5EF8">
      <w:pPr>
        <w:pStyle w:val="Nadpis1"/>
        <w:spacing w:before="1"/>
        <w:ind w:left="220" w:right="2282"/>
      </w:pPr>
      <w:r>
        <w:t>Základní závazky a další povinnosti příjemce podpory</w:t>
      </w:r>
    </w:p>
    <w:p w:rsidR="00B42479" w:rsidRDefault="00B42479">
      <w:pPr>
        <w:sectPr w:rsidR="00B42479">
          <w:pgSz w:w="12240" w:h="15840"/>
          <w:pgMar w:top="1360" w:right="1020" w:bottom="1600" w:left="1460" w:header="0" w:footer="1408" w:gutter="0"/>
          <w:cols w:num="2" w:space="708" w:equalWidth="0">
            <w:col w:w="2126" w:space="63"/>
            <w:col w:w="7571"/>
          </w:cols>
        </w:sectPr>
      </w:pP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2"/>
          <w:sz w:val="20"/>
        </w:rPr>
        <w:t xml:space="preserve"> </w:t>
      </w:r>
      <w:r>
        <w:rPr>
          <w:sz w:val="20"/>
        </w:rPr>
        <w:t>rozsahu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7"/>
          <w:sz w:val="20"/>
        </w:rPr>
        <w:t xml:space="preserve"> </w:t>
      </w:r>
      <w:r>
        <w:rPr>
          <w:sz w:val="20"/>
        </w:rPr>
        <w:t>popisu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</w:p>
    <w:p w:rsidR="00B42479" w:rsidRDefault="003E5EF8">
      <w:pPr>
        <w:pStyle w:val="Zkladntext"/>
        <w:ind w:left="923" w:right="110"/>
      </w:pPr>
      <w:r>
        <w:t>„Elektromobil pro město Slavkov u Brna“, který je součástí žádosti ze dne 17. 2. 2020 a jejích přílo</w:t>
      </w:r>
      <w:r>
        <w:t>h, a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dodavatelem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15.</w:t>
      </w:r>
      <w:r>
        <w:rPr>
          <w:spacing w:val="-9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výběrového</w:t>
      </w:r>
      <w:r>
        <w:rPr>
          <w:spacing w:val="-9"/>
        </w:rPr>
        <w:t xml:space="preserve"> </w:t>
      </w:r>
      <w:r>
        <w:t>řízení,</w:t>
      </w:r>
      <w:r>
        <w:rPr>
          <w:spacing w:val="-8"/>
        </w:rPr>
        <w:t xml:space="preserve"> </w:t>
      </w:r>
      <w:r>
        <w:t>včetně</w:t>
      </w:r>
      <w:r>
        <w:rPr>
          <w:spacing w:val="-10"/>
        </w:rPr>
        <w:t xml:space="preserve"> </w:t>
      </w:r>
      <w:r>
        <w:t>případných změn a doplňků těchto dokumentů, pokud je Fond</w:t>
      </w:r>
      <w:r>
        <w:rPr>
          <w:spacing w:val="-6"/>
        </w:rPr>
        <w:t xml:space="preserve"> </w:t>
      </w:r>
      <w:r>
        <w:t>odsouhlasil,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3/2020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10/2020</w:t>
      </w:r>
      <w:r>
        <w:rPr>
          <w:spacing w:val="-6"/>
          <w:sz w:val="20"/>
        </w:rPr>
        <w:t xml:space="preserve"> </w:t>
      </w:r>
      <w:r>
        <w:rPr>
          <w:sz w:val="20"/>
        </w:rPr>
        <w:t>pořídil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ks</w:t>
      </w:r>
      <w:r>
        <w:rPr>
          <w:spacing w:val="-7"/>
          <w:sz w:val="20"/>
        </w:rPr>
        <w:t xml:space="preserve"> </w:t>
      </w:r>
      <w:r>
        <w:rPr>
          <w:sz w:val="20"/>
        </w:rPr>
        <w:t>vozidla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pohonem</w:t>
      </w:r>
      <w:r>
        <w:rPr>
          <w:spacing w:val="-6"/>
          <w:sz w:val="20"/>
        </w:rPr>
        <w:t xml:space="preserve"> </w:t>
      </w:r>
      <w:r>
        <w:rPr>
          <w:sz w:val="20"/>
        </w:rPr>
        <w:t>elektro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ks</w:t>
      </w:r>
      <w:r>
        <w:rPr>
          <w:spacing w:val="-7"/>
          <w:sz w:val="20"/>
        </w:rPr>
        <w:t xml:space="preserve"> </w:t>
      </w:r>
      <w:r>
        <w:rPr>
          <w:sz w:val="20"/>
        </w:rPr>
        <w:t>chytré</w:t>
      </w:r>
      <w:r>
        <w:rPr>
          <w:spacing w:val="-8"/>
          <w:sz w:val="20"/>
        </w:rPr>
        <w:t xml:space="preserve"> </w:t>
      </w:r>
      <w:r>
        <w:rPr>
          <w:sz w:val="20"/>
        </w:rPr>
        <w:t>dobíjecí</w:t>
      </w:r>
      <w:r>
        <w:rPr>
          <w:spacing w:val="-7"/>
          <w:sz w:val="20"/>
        </w:rPr>
        <w:t xml:space="preserve"> </w:t>
      </w:r>
      <w:r>
        <w:rPr>
          <w:sz w:val="20"/>
        </w:rPr>
        <w:t>stanice a zavazuje se jej po dobu 3 let od dokončení realizace projektu řádně</w:t>
      </w:r>
      <w:r>
        <w:rPr>
          <w:spacing w:val="-15"/>
          <w:sz w:val="20"/>
        </w:rPr>
        <w:t xml:space="preserve"> </w:t>
      </w:r>
      <w:r>
        <w:rPr>
          <w:sz w:val="20"/>
        </w:rPr>
        <w:t>provozovat,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nejpozději 1 měsíc po dokončení realizace projektu, pokud Fond nepovolil jiný termín, se stal vlastníkem věcí pořizovaných s podporou podle této Smlouvy; za termín do</w:t>
      </w:r>
      <w:r>
        <w:rPr>
          <w:sz w:val="20"/>
        </w:rPr>
        <w:t>končení realizace 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vozidla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4"/>
          <w:sz w:val="20"/>
        </w:rPr>
        <w:t xml:space="preserve"> </w:t>
      </w:r>
      <w:r>
        <w:rPr>
          <w:sz w:val="20"/>
        </w:rPr>
        <w:t>kupní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je příjemce podpory příspěvkovou organizací, považuje se tato podmínka za splněnou v případě, že vlastníkem se stal zřizovatel příjemce podpory a příjemce podpory v uvedené lhůtě nabyl právo hospodaření),</w:t>
      </w:r>
    </w:p>
    <w:p w:rsidR="00B42479" w:rsidRDefault="003E5EF8">
      <w:pPr>
        <w:pStyle w:val="Zkladntext"/>
        <w:spacing w:before="120"/>
        <w:ind w:left="923" w:right="112"/>
      </w:pPr>
      <w:r>
        <w:t>Příjemce podpory bere přitom na vědomí, že pokud to</w:t>
      </w:r>
      <w:r>
        <w:t>to prohlášení není pravdivé, bude přijetí podpory podle této Smlouvy považováno za neoprávněné použití finančních prostředků poskytnutých ze státního  fondu  ve smyslu zákona č.  218/2000  Sb.,  o rozpočtových  pravidlech  a o změně některých souvisejících</w:t>
      </w:r>
      <w:r>
        <w:t xml:space="preserve"> zákonů (rozpočtová pravidla), v platném znění, a že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 xml:space="preserve">předmět podpory podle této Smlouvy, (pokud se jedná o vozidlo M2 nebo M3 podle čl. </w:t>
      </w:r>
      <w:r>
        <w:rPr>
          <w:sz w:val="20"/>
        </w:rPr>
        <w:t>4.1 Výzvy) nebude provozovat k účelu zajištění dopravní obslužnosti jako veřejné služby v přepravě</w:t>
      </w:r>
      <w:r>
        <w:rPr>
          <w:spacing w:val="-33"/>
          <w:sz w:val="20"/>
        </w:rPr>
        <w:t xml:space="preserve"> </w:t>
      </w:r>
      <w:r>
        <w:rPr>
          <w:sz w:val="20"/>
        </w:rPr>
        <w:t>cestujících (zákon č. 194/2010 Sb., o veřejných službách v přepravě cestujících a o změně některých zákonů,</w:t>
      </w:r>
      <w:r>
        <w:rPr>
          <w:spacing w:val="-38"/>
          <w:sz w:val="20"/>
        </w:rPr>
        <w:t xml:space="preserve"> </w:t>
      </w:r>
      <w:r>
        <w:rPr>
          <w:sz w:val="20"/>
        </w:rPr>
        <w:t>ve znění pozdějších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předpisů),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3"/>
        <w:rPr>
          <w:sz w:val="20"/>
        </w:rPr>
      </w:pPr>
      <w:r>
        <w:rPr>
          <w:sz w:val="20"/>
        </w:rPr>
        <w:t>po dobu 3 let od dokončení realizace projektu bude předmět podpory v jeho vlastnictví. Vozidlo musí být po tuto dobu aktivně</w:t>
      </w:r>
      <w:r>
        <w:rPr>
          <w:spacing w:val="-3"/>
          <w:sz w:val="20"/>
        </w:rPr>
        <w:t xml:space="preserve"> </w:t>
      </w:r>
      <w:r>
        <w:rPr>
          <w:sz w:val="20"/>
        </w:rPr>
        <w:t>využíváno,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4"/>
        <w:rPr>
          <w:sz w:val="20"/>
        </w:rPr>
      </w:pPr>
      <w:r>
        <w:rPr>
          <w:sz w:val="20"/>
        </w:rPr>
        <w:t>po d</w:t>
      </w:r>
      <w:r>
        <w:rPr>
          <w:sz w:val="20"/>
        </w:rPr>
        <w:t>obu 3 let od dokončení realizace projektu odevzdá Fondu každoročně informaci o počtu najetých kilometrů za uplynulý kalendářní rok, a to vždy nejpozději do konce února následujícího 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14"/>
        <w:rPr>
          <w:sz w:val="20"/>
        </w:rPr>
      </w:pPr>
      <w:r>
        <w:rPr>
          <w:sz w:val="20"/>
        </w:rPr>
        <w:t>umožní provádět kontrolu provedení opatření včetně kont</w:t>
      </w:r>
      <w:r>
        <w:rPr>
          <w:sz w:val="20"/>
        </w:rPr>
        <w:t>roly souvisejících dokumentů osobám pověřeným Fondem případně jiným oprávněným kontrolním orgánům, a to po dobu od podání žádosti o poskytnutí dotace do uplynutí 3 let od data dokončení 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projektu,</w:t>
      </w: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7"/>
        <w:rPr>
          <w:sz w:val="20"/>
        </w:rPr>
      </w:pPr>
      <w:r>
        <w:rPr>
          <w:sz w:val="20"/>
        </w:rPr>
        <w:t>umožní pořízení fotodokumentace Fondem nebo MŽP po</w:t>
      </w:r>
      <w:r>
        <w:rPr>
          <w:sz w:val="20"/>
        </w:rPr>
        <w:t>věřenou osobou za účelem prezentace projektu podpořeného z Národního programu Životní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prostředí,</w:t>
      </w:r>
    </w:p>
    <w:p w:rsidR="00B42479" w:rsidRDefault="00B42479">
      <w:pPr>
        <w:jc w:val="both"/>
        <w:rPr>
          <w:sz w:val="20"/>
        </w:rPr>
        <w:sectPr w:rsidR="00B42479">
          <w:type w:val="continuous"/>
          <w:pgSz w:w="12240" w:h="15840"/>
          <w:pgMar w:top="1360" w:right="1020" w:bottom="1600" w:left="1460" w:header="708" w:footer="708" w:gutter="0"/>
          <w:cols w:space="708"/>
        </w:sectPr>
      </w:pPr>
    </w:p>
    <w:p w:rsidR="00B42479" w:rsidRDefault="003E5EF8">
      <w:pPr>
        <w:pStyle w:val="Odstavecseseznamem"/>
        <w:numPr>
          <w:ilvl w:val="2"/>
          <w:numId w:val="3"/>
        </w:numPr>
        <w:tabs>
          <w:tab w:val="left" w:pos="924"/>
        </w:tabs>
        <w:spacing w:before="85"/>
        <w:rPr>
          <w:sz w:val="20"/>
        </w:rPr>
      </w:pPr>
      <w:r>
        <w:rPr>
          <w:sz w:val="20"/>
        </w:rPr>
        <w:lastRenderedPageBreak/>
        <w:t>bude dodržovat pravidla publicity dle pokynů v článku 15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B42479" w:rsidRDefault="003E5EF8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</w:t>
      </w:r>
      <w:r>
        <w:rPr>
          <w:sz w:val="20"/>
        </w:rPr>
        <w:t>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</w:t>
      </w:r>
      <w:r>
        <w:rPr>
          <w:sz w:val="20"/>
        </w:rPr>
        <w:t>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5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B42479" w:rsidRDefault="003E5EF8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9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B42479" w:rsidRDefault="00B42479">
      <w:pPr>
        <w:jc w:val="both"/>
        <w:rPr>
          <w:sz w:val="20"/>
        </w:rPr>
        <w:sectPr w:rsidR="00B42479">
          <w:pgSz w:w="12240" w:h="15840"/>
          <w:pgMar w:top="1360" w:right="1020" w:bottom="1660" w:left="1460" w:header="0" w:footer="1408" w:gutter="0"/>
          <w:cols w:space="708"/>
        </w:sectPr>
      </w:pPr>
    </w:p>
    <w:p w:rsidR="00B42479" w:rsidRDefault="00B42479">
      <w:pPr>
        <w:pStyle w:val="Zkladntext"/>
        <w:spacing w:before="4"/>
        <w:ind w:left="0"/>
        <w:jc w:val="left"/>
        <w:rPr>
          <w:sz w:val="28"/>
        </w:rPr>
      </w:pPr>
    </w:p>
    <w:p w:rsidR="00B42479" w:rsidRDefault="003E5EF8">
      <w:pPr>
        <w:pStyle w:val="Nadpis1"/>
        <w:spacing w:before="99"/>
        <w:ind w:left="3274"/>
      </w:pPr>
      <w:r>
        <w:t>V.</w:t>
      </w:r>
    </w:p>
    <w:p w:rsidR="00B42479" w:rsidRDefault="003E5EF8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B42479" w:rsidRDefault="00B42479">
      <w:pPr>
        <w:pStyle w:val="Zkladntext"/>
        <w:spacing w:before="1"/>
        <w:ind w:left="0"/>
        <w:jc w:val="left"/>
        <w:rPr>
          <w:b/>
          <w:sz w:val="18"/>
        </w:rPr>
      </w:pPr>
    </w:p>
    <w:p w:rsidR="00B42479" w:rsidRDefault="003E5EF8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B42479" w:rsidRDefault="003E5EF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 postiženo  odvodem  ve  výši  100  %  z poskytnuté  podpory.  Porušení  povinností  podle  článku       IV bodu 1 písm. b) za první,  druhou nebo  čtvrtou  odrážkou bude postiženo  odvodem ve výši 100 %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42479" w:rsidRDefault="003E5EF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Dojde-li k porušení povin</w:t>
      </w:r>
      <w:r>
        <w:rPr>
          <w:sz w:val="20"/>
        </w:rPr>
        <w:t>ností uvedených v článku IV bodu 1 písm. a), bude toto porušení postiženo odvodem  ve  výši  100  %  z poskytnuté  podpory.  Byl-li  naplněn  účel  akce  podle  článku  IV  bodu  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a)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-15"/>
          <w:sz w:val="20"/>
        </w:rPr>
        <w:t xml:space="preserve"> </w:t>
      </w:r>
      <w:r>
        <w:rPr>
          <w:sz w:val="20"/>
        </w:rPr>
        <w:t>druhou</w:t>
      </w:r>
      <w:r>
        <w:rPr>
          <w:spacing w:val="-1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méně</w:t>
      </w:r>
      <w:r>
        <w:rPr>
          <w:spacing w:val="-15"/>
          <w:sz w:val="20"/>
        </w:rPr>
        <w:t xml:space="preserve"> </w:t>
      </w:r>
      <w:r>
        <w:rPr>
          <w:sz w:val="20"/>
        </w:rPr>
        <w:t>než</w:t>
      </w:r>
      <w:r>
        <w:rPr>
          <w:spacing w:val="-13"/>
          <w:sz w:val="20"/>
        </w:rPr>
        <w:t xml:space="preserve"> </w:t>
      </w:r>
      <w:r>
        <w:rPr>
          <w:sz w:val="20"/>
        </w:rPr>
        <w:t>50</w:t>
      </w:r>
      <w:r>
        <w:rPr>
          <w:spacing w:val="-15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oto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postiženo odvodem ve výši 100 % z poskytnuté podpory. V případě plnění účelu akce v rozmezí 50-90 % stanovených indikátorů, bude toto porušení postiženo odvodem v rozmezí 10-50 % z poskytnuté podpory v závislosti na míře porušení stanovených i</w:t>
      </w:r>
      <w:r>
        <w:rPr>
          <w:sz w:val="20"/>
        </w:rPr>
        <w:t>ndikátorů účelu akce. Plnění účelu akce v rozmezí 90- 100 % stanovených indikátorů nebude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B42479" w:rsidRDefault="003E5EF8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 odvodem ve výši 0,5 % z poskytnuté podpory za kaž</w:t>
      </w:r>
      <w:r>
        <w:rPr>
          <w:sz w:val="20"/>
        </w:rPr>
        <w:t>dý započatý měsíc prodlení. Porušení těchto povinností nepřesahující lhůtu 10 kalendářních dnů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42479" w:rsidRDefault="003E5EF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j),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B42479" w:rsidRDefault="003E5EF8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B42479" w:rsidRDefault="00B42479">
      <w:pPr>
        <w:pStyle w:val="Zkladntext"/>
        <w:spacing w:before="13"/>
        <w:ind w:left="0"/>
        <w:jc w:val="left"/>
        <w:rPr>
          <w:sz w:val="35"/>
        </w:rPr>
      </w:pPr>
    </w:p>
    <w:p w:rsidR="00B42479" w:rsidRDefault="003E5EF8">
      <w:pPr>
        <w:pStyle w:val="Nadpis1"/>
        <w:ind w:left="3277"/>
      </w:pPr>
      <w:r>
        <w:t>VI.</w:t>
      </w:r>
    </w:p>
    <w:p w:rsidR="00B42479" w:rsidRDefault="003E5EF8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B42479" w:rsidRDefault="00B42479">
      <w:pPr>
        <w:pStyle w:val="Zkladntext"/>
        <w:spacing w:before="1"/>
        <w:ind w:left="0"/>
        <w:jc w:val="left"/>
        <w:rPr>
          <w:b/>
          <w:sz w:val="18"/>
        </w:rPr>
      </w:pP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B42479" w:rsidRDefault="00B42479">
      <w:pPr>
        <w:jc w:val="both"/>
        <w:rPr>
          <w:sz w:val="20"/>
        </w:rPr>
        <w:sectPr w:rsidR="00B42479">
          <w:pgSz w:w="12240" w:h="15840"/>
          <w:pgMar w:top="1500" w:right="1020" w:bottom="1660" w:left="1460" w:header="0" w:footer="1408" w:gutter="0"/>
          <w:cols w:space="708"/>
        </w:sectPr>
      </w:pPr>
    </w:p>
    <w:p w:rsidR="00B42479" w:rsidRDefault="00B42479">
      <w:pPr>
        <w:pStyle w:val="Zkladntext"/>
        <w:spacing w:before="4"/>
        <w:ind w:left="0"/>
        <w:jc w:val="left"/>
        <w:rPr>
          <w:sz w:val="17"/>
        </w:rPr>
      </w:pP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99"/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</w:t>
      </w:r>
      <w:r>
        <w:rPr>
          <w:sz w:val="20"/>
        </w:rPr>
        <w:t>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6"/>
          <w:sz w:val="20"/>
        </w:rPr>
        <w:t xml:space="preserve"> </w:t>
      </w:r>
      <w:r>
        <w:rPr>
          <w:sz w:val="20"/>
        </w:rPr>
        <w:t>podpory.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 textu tét</w:t>
      </w:r>
      <w:r>
        <w:rPr>
          <w:sz w:val="20"/>
        </w:rPr>
        <w:t>o Smlouvy v registru  smluv podle zákona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 ten</w:t>
      </w:r>
      <w:r>
        <w:rPr>
          <w:sz w:val="20"/>
        </w:rPr>
        <w:t>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B42479" w:rsidRDefault="003E5EF8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B42479" w:rsidRDefault="00B42479">
      <w:pPr>
        <w:pStyle w:val="Zkladntext"/>
        <w:spacing w:before="1"/>
        <w:ind w:left="0"/>
        <w:jc w:val="left"/>
        <w:rPr>
          <w:sz w:val="36"/>
        </w:rPr>
      </w:pPr>
    </w:p>
    <w:p w:rsidR="00B42479" w:rsidRDefault="003E5EF8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B42479" w:rsidRDefault="00B42479">
      <w:pPr>
        <w:pStyle w:val="Zkladntext"/>
        <w:spacing w:before="1"/>
        <w:ind w:left="0"/>
        <w:jc w:val="left"/>
        <w:rPr>
          <w:sz w:val="18"/>
        </w:rPr>
      </w:pPr>
    </w:p>
    <w:p w:rsidR="00B42479" w:rsidRDefault="003E5EF8">
      <w:pPr>
        <w:pStyle w:val="Zkladntext"/>
        <w:ind w:left="242"/>
        <w:jc w:val="left"/>
      </w:pPr>
      <w:r>
        <w:t>dne:</w:t>
      </w: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spacing w:before="3"/>
        <w:ind w:left="0"/>
        <w:jc w:val="left"/>
        <w:rPr>
          <w:sz w:val="29"/>
        </w:rPr>
      </w:pPr>
    </w:p>
    <w:p w:rsidR="00B42479" w:rsidRDefault="003E5EF8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B42479" w:rsidRDefault="003E5EF8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spacing w:before="2"/>
        <w:ind w:left="0"/>
        <w:jc w:val="left"/>
        <w:rPr>
          <w:sz w:val="32"/>
        </w:rPr>
      </w:pPr>
    </w:p>
    <w:p w:rsidR="00B42479" w:rsidRDefault="003E5EF8">
      <w:pPr>
        <w:pStyle w:val="Zkladntext"/>
        <w:spacing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B42479" w:rsidRDefault="00B42479">
      <w:pPr>
        <w:spacing w:line="264" w:lineRule="auto"/>
        <w:sectPr w:rsidR="00B42479">
          <w:pgSz w:w="12240" w:h="15840"/>
          <w:pgMar w:top="1500" w:right="1020" w:bottom="1660" w:left="1460" w:header="0" w:footer="1408" w:gutter="0"/>
          <w:cols w:space="708"/>
        </w:sectPr>
      </w:pPr>
    </w:p>
    <w:p w:rsidR="00B42479" w:rsidRDefault="003E5EF8">
      <w:pPr>
        <w:pStyle w:val="Zkladntext"/>
        <w:spacing w:before="73"/>
        <w:ind w:left="242"/>
      </w:pPr>
      <w:r>
        <w:lastRenderedPageBreak/>
        <w:t>Příloha č. 1 - Stanovení finančních oprav pro konkrétní pochybení v rámci veřejných zakázek</w:t>
      </w:r>
    </w:p>
    <w:p w:rsidR="00B42479" w:rsidRDefault="00B42479">
      <w:pPr>
        <w:pStyle w:val="Zkladntext"/>
        <w:ind w:left="0"/>
        <w:jc w:val="left"/>
        <w:rPr>
          <w:sz w:val="26"/>
        </w:rPr>
      </w:pPr>
    </w:p>
    <w:p w:rsidR="00B42479" w:rsidRDefault="00B42479">
      <w:pPr>
        <w:pStyle w:val="Zkladntext"/>
        <w:spacing w:before="2"/>
        <w:ind w:left="0"/>
        <w:jc w:val="left"/>
        <w:rPr>
          <w:sz w:val="32"/>
        </w:rPr>
      </w:pPr>
    </w:p>
    <w:p w:rsidR="00B42479" w:rsidRDefault="003E5EF8">
      <w:pPr>
        <w:pStyle w:val="Nadpis1"/>
        <w:spacing w:line="264" w:lineRule="auto"/>
        <w:ind w:right="120"/>
        <w:jc w:val="both"/>
      </w:pPr>
      <w:r>
        <w:t>Stanovení finančních oprav, které se použijí v případě porušení povinností při zadávání zakázek/ veřejných zakázek</w:t>
      </w:r>
    </w:p>
    <w:p w:rsidR="00B42479" w:rsidRDefault="00B42479">
      <w:pPr>
        <w:pStyle w:val="Zkladntext"/>
        <w:spacing w:before="1"/>
        <w:ind w:left="0"/>
        <w:jc w:val="left"/>
        <w:rPr>
          <w:b/>
          <w:sz w:val="27"/>
        </w:rPr>
      </w:pPr>
    </w:p>
    <w:p w:rsidR="00B42479" w:rsidRDefault="003E5EF8">
      <w:pPr>
        <w:pStyle w:val="Zkladntext"/>
        <w:spacing w:line="264" w:lineRule="auto"/>
        <w:ind w:left="242" w:right="110"/>
      </w:pPr>
      <w:r>
        <w:t>Podle této přílohy se v souladu se zákonem č. 218/2000 Sb., o rozpočtových pravidel a o změně některých souvisejících zákonů, ve znění pozdě</w:t>
      </w:r>
      <w:r>
        <w:t>jších předpisů, stanovuje výše finanční opravy za porušení rozpočtové kázně v případě pochybení, které spočívá v porušení povinností stanovených v článku IV bodu 2) písm. k) Smlouvy  při  zadávání   zakázek/veřejných   zakázek   (dále   souhrnně   jen   „v</w:t>
      </w:r>
      <w:r>
        <w:t>eřejné  zakázky“),  zejména v</w:t>
      </w:r>
      <w:r>
        <w:rPr>
          <w:spacing w:val="-2"/>
        </w:rPr>
        <w:t xml:space="preserve"> </w:t>
      </w:r>
      <w:r>
        <w:t>nedodržení</w:t>
      </w:r>
      <w:r>
        <w:rPr>
          <w:spacing w:val="-13"/>
        </w:rPr>
        <w:t xml:space="preserve"> </w:t>
      </w:r>
      <w:r>
        <w:t>postupu</w:t>
      </w:r>
      <w:r>
        <w:rPr>
          <w:spacing w:val="-13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134/2016</w:t>
      </w:r>
      <w:r>
        <w:rPr>
          <w:spacing w:val="-14"/>
        </w:rPr>
        <w:t xml:space="preserve"> </w:t>
      </w:r>
      <w:r>
        <w:t>Sb.,</w:t>
      </w:r>
      <w:r>
        <w:rPr>
          <w:spacing w:val="-1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4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účinném</w:t>
      </w:r>
      <w:r>
        <w:rPr>
          <w:spacing w:val="-15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době zahájení zadávacího řízení, případně zákona č. 137/2006 Sb., o veřejných zakázkách, ve znění účinném       v době zahájení </w:t>
      </w:r>
      <w:r>
        <w:t>zadávacího řízení (dále souhrnně jen  „zákon“) a/nebo nedodržení postupu stanoveného   v Pokynech pro zadávání veřejných zakázek v OPŽP 2014 – 2020, ve znění účinném v době zahájení výběrového/zadávacího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„Pokyny</w:t>
      </w:r>
      <w:r>
        <w:rPr>
          <w:spacing w:val="-11"/>
        </w:rPr>
        <w:t xml:space="preserve"> </w:t>
      </w:r>
      <w:r>
        <w:t>OPŽP“),</w:t>
      </w:r>
      <w:r>
        <w:rPr>
          <w:spacing w:val="-8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dokument</w:t>
      </w:r>
      <w:r>
        <w:t>u</w:t>
      </w:r>
      <w:r>
        <w:rPr>
          <w:spacing w:val="-10"/>
        </w:rPr>
        <w:t xml:space="preserve"> </w:t>
      </w:r>
      <w:r>
        <w:t>Zadávání</w:t>
      </w:r>
      <w:r>
        <w:rPr>
          <w:spacing w:val="-9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 v OPŽP 2014 – 2020, ve znění účinném v době zahájení výběrového/zadávacího řízení (dále jen „Zadávání VZ v</w:t>
      </w:r>
      <w:r>
        <w:rPr>
          <w:spacing w:val="-1"/>
        </w:rPr>
        <w:t xml:space="preserve"> </w:t>
      </w:r>
      <w:r>
        <w:t>OPŽP“).</w:t>
      </w:r>
    </w:p>
    <w:p w:rsidR="00B42479" w:rsidRDefault="003E5EF8">
      <w:pPr>
        <w:pStyle w:val="Zkladntext"/>
        <w:spacing w:before="120" w:line="264" w:lineRule="auto"/>
        <w:ind w:left="242" w:right="110"/>
      </w:pPr>
      <w:r>
        <w:t>V</w:t>
      </w:r>
      <w:r>
        <w:rPr>
          <w:spacing w:val="-10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identifikované</w:t>
      </w:r>
      <w:r>
        <w:rPr>
          <w:spacing w:val="-9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nemohlo</w:t>
      </w:r>
      <w:r>
        <w:rPr>
          <w:spacing w:val="-10"/>
        </w:rPr>
        <w:t xml:space="preserve"> </w:t>
      </w:r>
      <w:r>
        <w:t>mít</w:t>
      </w:r>
      <w:r>
        <w:rPr>
          <w:spacing w:val="-11"/>
        </w:rPr>
        <w:t xml:space="preserve"> </w:t>
      </w:r>
      <w:r>
        <w:t>ani</w:t>
      </w:r>
      <w:r>
        <w:rPr>
          <w:spacing w:val="-9"/>
        </w:rPr>
        <w:t xml:space="preserve"> </w:t>
      </w:r>
      <w:r>
        <w:t>potenciální</w:t>
      </w:r>
      <w:r>
        <w:rPr>
          <w:spacing w:val="-10"/>
        </w:rPr>
        <w:t xml:space="preserve"> </w:t>
      </w:r>
      <w:r>
        <w:t>finanční</w:t>
      </w:r>
      <w:r>
        <w:rPr>
          <w:spacing w:val="-10"/>
        </w:rPr>
        <w:t xml:space="preserve"> </w:t>
      </w:r>
      <w:r>
        <w:t>dopad,</w:t>
      </w:r>
      <w:r>
        <w:rPr>
          <w:spacing w:val="-8"/>
        </w:rPr>
        <w:t xml:space="preserve"> </w:t>
      </w:r>
      <w:r>
        <w:t>nestanoví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něj</w:t>
      </w:r>
      <w:r>
        <w:rPr>
          <w:spacing w:val="-11"/>
        </w:rPr>
        <w:t xml:space="preserve"> </w:t>
      </w:r>
      <w:r>
        <w:t>žádná finanční</w:t>
      </w:r>
      <w:r>
        <w:rPr>
          <w:spacing w:val="-2"/>
        </w:rPr>
        <w:t xml:space="preserve"> </w:t>
      </w:r>
      <w:r>
        <w:t>oprava.</w:t>
      </w:r>
    </w:p>
    <w:p w:rsidR="00B42479" w:rsidRDefault="003E5EF8">
      <w:pPr>
        <w:pStyle w:val="Zkladntext"/>
        <w:spacing w:before="121" w:line="264" w:lineRule="auto"/>
        <w:ind w:left="242" w:right="119"/>
      </w:pPr>
      <w:r>
        <w:t>Pokud je možné přesně vyčíslit finanční dopad identifikovaného porušení, bude finanční oprava stanovena ve výši vyčísleného finančního dopadu. V případě, že není možné přesně vyčíslit finanční dopad identifikovaného porušení, bude fi</w:t>
      </w:r>
      <w:r>
        <w:t>nanční oprava stanovena podle typu porušení, viz tabulka níže.</w:t>
      </w:r>
    </w:p>
    <w:p w:rsidR="00B42479" w:rsidRDefault="003E5EF8">
      <w:pPr>
        <w:pStyle w:val="Zkladntext"/>
        <w:spacing w:before="120" w:line="264" w:lineRule="auto"/>
        <w:ind w:left="242" w:right="108"/>
      </w:pPr>
      <w:r>
        <w:t>Výše finanční opravy se vypočte z částky, která byla nebo má být z prostředků Fondu v rámci podpory poskytnuta v souvislosti s veřejnou zakázkou, u které se porušení vyskytlo.</w:t>
      </w:r>
    </w:p>
    <w:p w:rsidR="00B42479" w:rsidRDefault="003E5EF8">
      <w:pPr>
        <w:pStyle w:val="Zkladntext"/>
        <w:spacing w:before="121" w:line="264" w:lineRule="auto"/>
        <w:ind w:left="242" w:right="114"/>
      </w:pPr>
      <w:r>
        <w:t>V případě, že u v</w:t>
      </w:r>
      <w:r>
        <w:t>eřejné zakázky bude identifikováno více porušení, výše finančních oprav stanovených za jednotlivá</w:t>
      </w:r>
      <w:r>
        <w:rPr>
          <w:spacing w:val="-16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nesčítají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výsledná</w:t>
      </w:r>
      <w:r>
        <w:rPr>
          <w:spacing w:val="-15"/>
        </w:rPr>
        <w:t xml:space="preserve"> </w:t>
      </w:r>
      <w:r>
        <w:t>finanční</w:t>
      </w:r>
      <w:r>
        <w:rPr>
          <w:spacing w:val="-14"/>
        </w:rPr>
        <w:t xml:space="preserve"> </w:t>
      </w:r>
      <w:r>
        <w:t>oprava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stanovena</w:t>
      </w:r>
      <w:r>
        <w:rPr>
          <w:spacing w:val="-1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ohledem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nejzávažnější</w:t>
      </w:r>
      <w:r>
        <w:rPr>
          <w:spacing w:val="-12"/>
        </w:rPr>
        <w:t xml:space="preserve"> </w:t>
      </w:r>
      <w:r>
        <w:t>porušení.</w:t>
      </w:r>
    </w:p>
    <w:p w:rsidR="00B42479" w:rsidRDefault="003E5EF8">
      <w:pPr>
        <w:pStyle w:val="Zkladntext"/>
        <w:spacing w:before="120" w:line="264" w:lineRule="auto"/>
        <w:ind w:left="242" w:right="108"/>
      </w:pPr>
      <w:r>
        <w:t>Závažnost porušení je posuzována zejména z hlediska jeho sk</w:t>
      </w:r>
      <w:r>
        <w:t>utečného nebo možného vlivu na výsledek výběrového/zadávacího řízení, z  hlediska  míry  porušení  základních  zásad  zadávání  veřejných  zakázek a z hlediska míry porušení principů hospodárnosti, efektivity a účelnosti při vynakládání veřejných prostředk</w:t>
      </w:r>
      <w:r>
        <w:t>ů. Porušení je nutno považovat za závažné především v případech,  kdy v jeho důsledku došlo     k odrazení potenciálních dodavatelů od účasti ve výběrovém/zadávacím řízení nebo k zadání veřejné zakázky jinému dodavateli, než kterému měla být zadána.</w:t>
      </w:r>
    </w:p>
    <w:p w:rsidR="00B42479" w:rsidRDefault="003E5EF8">
      <w:pPr>
        <w:pStyle w:val="Zkladntext"/>
        <w:spacing w:before="119" w:line="264" w:lineRule="auto"/>
        <w:ind w:left="242" w:right="114"/>
      </w:pPr>
      <w:r>
        <w:t>V případě,  že bude identifikováno  porušení, které nelze podřadit pod  konkrétní  typ  porušení  uvedený  v tabulce níže, bude stanovena finanční oprava dle zásady</w:t>
      </w:r>
      <w:r>
        <w:rPr>
          <w:spacing w:val="-10"/>
        </w:rPr>
        <w:t xml:space="preserve"> </w:t>
      </w:r>
      <w:r>
        <w:t>přiměřenosti.</w:t>
      </w:r>
    </w:p>
    <w:p w:rsidR="00B42479" w:rsidRDefault="00B42479">
      <w:pPr>
        <w:spacing w:line="264" w:lineRule="auto"/>
        <w:sectPr w:rsidR="00B42479">
          <w:footerReference w:type="default" r:id="rId9"/>
          <w:pgSz w:w="12240" w:h="15840"/>
          <w:pgMar w:top="1060" w:right="1020" w:bottom="1580" w:left="1460" w:header="0" w:footer="1380" w:gutter="0"/>
          <w:pgNumType w:start="1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4247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42479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42479" w:rsidRDefault="003E5EF8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B42479" w:rsidRDefault="003E5E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B42479" w:rsidRDefault="003E5EF8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2479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B42479" w:rsidRDefault="003E5EF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B4247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B42479" w:rsidRDefault="003E5EF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B42479" w:rsidRDefault="003E5EF8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42479" w:rsidRDefault="003E5EF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2479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B42479" w:rsidRDefault="003E5EF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B4247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B42479" w:rsidRDefault="003E5EF8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B42479" w:rsidRDefault="003E5EF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B42479" w:rsidRDefault="003E5E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B42479" w:rsidRDefault="003E5E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B42479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B42479" w:rsidRDefault="003E5E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B42479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B42479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B42479" w:rsidRDefault="003E5EF8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B42479" w:rsidRDefault="003E5EF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25 %, pokud po zkrácení činí délka lhůty pro doručení nabídek alespoň 50 % stanovené lhůty</w:t>
            </w:r>
          </w:p>
          <w:p w:rsidR="00B42479" w:rsidRDefault="003E5E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B4247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B42479" w:rsidRDefault="003E5E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B42479" w:rsidRDefault="003E5E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B42479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B42479" w:rsidRDefault="003E5EF8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B42479" w:rsidRDefault="00B42479">
      <w:pPr>
        <w:spacing w:line="261" w:lineRule="auto"/>
        <w:rPr>
          <w:sz w:val="20"/>
        </w:rPr>
        <w:sectPr w:rsidR="00B42479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4247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4247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B42479" w:rsidRDefault="003E5EF8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B42479" w:rsidRDefault="003E5EF8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B42479" w:rsidRDefault="003E5E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B42479" w:rsidRDefault="003E5EF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B42479" w:rsidRDefault="003E5EF8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B42479" w:rsidRDefault="003E5E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4247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B42479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B42479" w:rsidRDefault="003E5EF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B42479" w:rsidRDefault="003E5E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B42479" w:rsidRDefault="003E5EF8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B42479" w:rsidRDefault="003E5EF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4247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B42479" w:rsidRDefault="003E5EF8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B42479" w:rsidRDefault="003E5EF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42479" w:rsidRDefault="003E5EF8">
            <w:pPr>
              <w:pStyle w:val="TableParagraph"/>
              <w:spacing w:before="1" w:line="264" w:lineRule="auto"/>
              <w:ind w:right="223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B42479" w:rsidRDefault="003E5EF8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B42479" w:rsidRDefault="003E5EF8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B4247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B42479" w:rsidRDefault="003E5EF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B42479" w:rsidRDefault="003E5EF8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B42479" w:rsidRDefault="003E5E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B42479" w:rsidRDefault="003E5EF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B42479" w:rsidRDefault="003E5E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B42479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B42479" w:rsidRDefault="003E5EF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B42479" w:rsidRDefault="003E5EF8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B42479" w:rsidRDefault="00B42479">
      <w:pPr>
        <w:spacing w:line="264" w:lineRule="auto"/>
        <w:rPr>
          <w:sz w:val="20"/>
        </w:rPr>
        <w:sectPr w:rsidR="00B42479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4247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4247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B42479" w:rsidRDefault="003E5EF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B42479" w:rsidRDefault="003E5EF8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B42479" w:rsidRDefault="003E5E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4247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B42479" w:rsidRDefault="003E5EF8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2479" w:rsidRDefault="003E5EF8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B42479" w:rsidRDefault="003E5EF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211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B42479" w:rsidRDefault="003E5EF8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42479" w:rsidRDefault="003E5EF8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42479" w:rsidRDefault="003E5EF8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4247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B42479" w:rsidRDefault="003E5E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4247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B42479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B4247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B42479" w:rsidRDefault="003E5E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42479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B42479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42479" w:rsidRDefault="003E5EF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B42479" w:rsidRDefault="003E5EF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B42479" w:rsidRDefault="003E5EF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42479" w:rsidRDefault="003E5EF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42479" w:rsidRDefault="003E5EF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B42479" w:rsidRDefault="00B42479">
      <w:pPr>
        <w:spacing w:line="264" w:lineRule="auto"/>
        <w:rPr>
          <w:sz w:val="20"/>
        </w:rPr>
        <w:sectPr w:rsidR="00B42479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4247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42479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B42479" w:rsidRDefault="003E5EF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B42479" w:rsidRDefault="003E5E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B42479" w:rsidRDefault="003E5E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B42479" w:rsidRDefault="003E5EF8">
            <w:pPr>
              <w:pStyle w:val="TableParagraph"/>
              <w:spacing w:before="1" w:line="264" w:lineRule="auto"/>
              <w:ind w:right="134"/>
              <w:rPr>
                <w:sz w:val="20"/>
              </w:rPr>
            </w:pPr>
            <w:r>
              <w:rPr>
                <w:sz w:val="20"/>
              </w:rPr>
              <w:t>posouzení nebo hodnocení 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42479" w:rsidRDefault="003E5E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B42479" w:rsidRDefault="003E5EF8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B42479" w:rsidRDefault="003E5EF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B42479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42479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B42479" w:rsidRDefault="003E5EF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B42479" w:rsidRDefault="003E5EF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B42479" w:rsidRDefault="003E5EF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B42479" w:rsidRDefault="003E5EF8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B42479" w:rsidRDefault="003E5EF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B42479" w:rsidRDefault="003E5E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B42479" w:rsidRDefault="003E5EF8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B42479" w:rsidRDefault="003E5E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B42479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484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B42479" w:rsidRDefault="003E5E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B42479" w:rsidRDefault="003E5E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42479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B42479" w:rsidRDefault="00B42479">
      <w:pPr>
        <w:spacing w:line="264" w:lineRule="auto"/>
        <w:rPr>
          <w:sz w:val="20"/>
        </w:rPr>
        <w:sectPr w:rsidR="00B42479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B42479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B42479" w:rsidRDefault="003E5E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B42479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B42479" w:rsidRDefault="003E5EF8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B42479" w:rsidRDefault="003E5EF8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B42479" w:rsidRDefault="003E5E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B42479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B42479" w:rsidRDefault="003E5EF8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B42479" w:rsidRDefault="003E5EF8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B42479" w:rsidRDefault="003E5EF8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B42479" w:rsidRDefault="003E5EF8">
            <w:pPr>
              <w:pStyle w:val="TableParagraph"/>
              <w:spacing w:before="14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B42479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B42479" w:rsidRDefault="003E5E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B42479" w:rsidRDefault="003E5E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42479" w:rsidRDefault="003E5E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B42479" w:rsidRDefault="003E5E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B42479" w:rsidRDefault="003E5EF8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B42479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B42479" w:rsidRDefault="003E5EF8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B42479" w:rsidRDefault="003E5E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B42479" w:rsidRDefault="003E5EF8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B42479" w:rsidRDefault="003E5EF8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42479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42479" w:rsidRDefault="003E5EF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B42479" w:rsidRDefault="003E5EF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B42479" w:rsidRDefault="003E5EF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B42479" w:rsidRDefault="003E5EF8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2479" w:rsidRDefault="003E5E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42479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42479" w:rsidRDefault="00B424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B42479" w:rsidRDefault="003E5EF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3E5EF8" w:rsidRDefault="003E5EF8"/>
    <w:sectPr w:rsidR="003E5EF8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F8" w:rsidRDefault="003E5EF8">
      <w:r>
        <w:separator/>
      </w:r>
    </w:p>
  </w:endnote>
  <w:endnote w:type="continuationSeparator" w:id="0">
    <w:p w:rsidR="003E5EF8" w:rsidRDefault="003E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79" w:rsidRDefault="003E5EF8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55pt;margin-top:708pt;width:11.4pt;height:15.25pt;z-index:-252544000;mso-position-horizontal-relative:page;mso-position-vertical-relative:page" filled="f" stroked="f">
          <v:textbox inset="0,0,0,0">
            <w:txbxContent>
              <w:p w:rsidR="00B42479" w:rsidRDefault="003E5EF8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A73D8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79" w:rsidRDefault="003E5EF8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2542976;mso-position-horizontal-relative:page;mso-position-vertical-relative:page" filled="f" stroked="f">
          <v:textbox inset="0,0,0,0">
            <w:txbxContent>
              <w:p w:rsidR="00B42479" w:rsidRDefault="003E5EF8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A73D8">
                  <w:rPr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F8" w:rsidRDefault="003E5EF8">
      <w:r>
        <w:separator/>
      </w:r>
    </w:p>
  </w:footnote>
  <w:footnote w:type="continuationSeparator" w:id="0">
    <w:p w:rsidR="003E5EF8" w:rsidRDefault="003E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F37"/>
    <w:multiLevelType w:val="hybridMultilevel"/>
    <w:tmpl w:val="E0A47B66"/>
    <w:lvl w:ilvl="0" w:tplc="9F669AB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328E7A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96058C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3D477D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608C38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3FCEE2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A64DF9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D28C76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F789AB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22A0D6E"/>
    <w:multiLevelType w:val="hybridMultilevel"/>
    <w:tmpl w:val="D280FFB4"/>
    <w:lvl w:ilvl="0" w:tplc="2962026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D027C5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2D62B0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DA2AD8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422E96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54EBFD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1D6562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2FA2BA9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5E27B6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4353611"/>
    <w:multiLevelType w:val="hybridMultilevel"/>
    <w:tmpl w:val="F3AEEE58"/>
    <w:lvl w:ilvl="0" w:tplc="377CFDE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BBECBD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4C90C3A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32287DA6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CB7C02FA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729C38E0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6D18ADF2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D158D852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62FCD6F8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2C8538ED"/>
    <w:multiLevelType w:val="hybridMultilevel"/>
    <w:tmpl w:val="4B9E470A"/>
    <w:lvl w:ilvl="0" w:tplc="E2AEB43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764C33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81C858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698EDAF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6F470D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39A3C0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094BE9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AD0775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6EAB74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6977DBE"/>
    <w:multiLevelType w:val="hybridMultilevel"/>
    <w:tmpl w:val="8544EDAC"/>
    <w:lvl w:ilvl="0" w:tplc="9A261E6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BFEDB38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54CCC44">
      <w:numFmt w:val="bullet"/>
      <w:lvlText w:val="•"/>
      <w:lvlJc w:val="left"/>
      <w:pPr>
        <w:ind w:left="1937" w:hanging="360"/>
      </w:pPr>
      <w:rPr>
        <w:rFonts w:hint="default"/>
        <w:lang w:val="cs-CZ" w:eastAsia="cs-CZ" w:bidi="cs-CZ"/>
      </w:rPr>
    </w:lvl>
    <w:lvl w:ilvl="3" w:tplc="C72A5150">
      <w:numFmt w:val="bullet"/>
      <w:lvlText w:val="•"/>
      <w:lvlJc w:val="left"/>
      <w:pPr>
        <w:ind w:left="2915" w:hanging="360"/>
      </w:pPr>
      <w:rPr>
        <w:rFonts w:hint="default"/>
        <w:lang w:val="cs-CZ" w:eastAsia="cs-CZ" w:bidi="cs-CZ"/>
      </w:rPr>
    </w:lvl>
    <w:lvl w:ilvl="4" w:tplc="DC9CD09E">
      <w:numFmt w:val="bullet"/>
      <w:lvlText w:val="•"/>
      <w:lvlJc w:val="left"/>
      <w:pPr>
        <w:ind w:left="3893" w:hanging="360"/>
      </w:pPr>
      <w:rPr>
        <w:rFonts w:hint="default"/>
        <w:lang w:val="cs-CZ" w:eastAsia="cs-CZ" w:bidi="cs-CZ"/>
      </w:rPr>
    </w:lvl>
    <w:lvl w:ilvl="5" w:tplc="D0641EF6">
      <w:numFmt w:val="bullet"/>
      <w:lvlText w:val="•"/>
      <w:lvlJc w:val="left"/>
      <w:pPr>
        <w:ind w:left="4871" w:hanging="360"/>
      </w:pPr>
      <w:rPr>
        <w:rFonts w:hint="default"/>
        <w:lang w:val="cs-CZ" w:eastAsia="cs-CZ" w:bidi="cs-CZ"/>
      </w:rPr>
    </w:lvl>
    <w:lvl w:ilvl="6" w:tplc="1BC25342">
      <w:numFmt w:val="bullet"/>
      <w:lvlText w:val="•"/>
      <w:lvlJc w:val="left"/>
      <w:pPr>
        <w:ind w:left="5848" w:hanging="360"/>
      </w:pPr>
      <w:rPr>
        <w:rFonts w:hint="default"/>
        <w:lang w:val="cs-CZ" w:eastAsia="cs-CZ" w:bidi="cs-CZ"/>
      </w:rPr>
    </w:lvl>
    <w:lvl w:ilvl="7" w:tplc="712ADD34">
      <w:numFmt w:val="bullet"/>
      <w:lvlText w:val="•"/>
      <w:lvlJc w:val="left"/>
      <w:pPr>
        <w:ind w:left="6826" w:hanging="360"/>
      </w:pPr>
      <w:rPr>
        <w:rFonts w:hint="default"/>
        <w:lang w:val="cs-CZ" w:eastAsia="cs-CZ" w:bidi="cs-CZ"/>
      </w:rPr>
    </w:lvl>
    <w:lvl w:ilvl="8" w:tplc="D6FC4360">
      <w:numFmt w:val="bullet"/>
      <w:lvlText w:val="•"/>
      <w:lvlJc w:val="left"/>
      <w:pPr>
        <w:ind w:left="780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9CE2F88"/>
    <w:multiLevelType w:val="hybridMultilevel"/>
    <w:tmpl w:val="83A86B56"/>
    <w:lvl w:ilvl="0" w:tplc="3A10DAF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DC6C14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7A10375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CA2D75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0EA505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9B6A44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CAA1DF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C0EBE6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44A769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2479"/>
    <w:rsid w:val="003E5EF8"/>
    <w:rsid w:val="00B42479"/>
    <w:rsid w:val="00CA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68A2EF"/>
  <w15:docId w15:val="{4FE2CC3D-6EFD-460C-95B7-D52E06D3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4179</Words>
  <Characters>24662</Characters>
  <Application>Microsoft Office Word</Application>
  <DocSecurity>0</DocSecurity>
  <Lines>205</Lines>
  <Paragraphs>57</Paragraphs>
  <ScaleCrop>false</ScaleCrop>
  <Company>SFZP</Company>
  <LinksUpToDate>false</LinksUpToDate>
  <CharactersWithSpaces>28784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2020-12-01T11:31:00Z</dcterms:created>
  <dcterms:modified xsi:type="dcterms:W3CDTF">2020-12-01T11:31:00Z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2020-12-01T00:00:00Z</vt:filetime>
  </property>
</Properties>
</file>