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3985895</wp:posOffset>
                </wp:positionH>
                <wp:positionV relativeFrom="paragraph">
                  <wp:posOffset>-494030</wp:posOffset>
                </wp:positionV>
                <wp:extent cx="1891030" cy="243205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6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cstheme="minorBidi" w:eastAsiaTheme="minorHAnsi" w:ascii="Arial" w:hAnsi="Arial"/>
                                <w:color w:val="auto"/>
                              </w:rPr>
                              <w:t>č. sml. HMT 10/2017/OPE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Tvar1" stroked="f" style="position:absolute;margin-left:313.85pt;margin-top:-38.9pt;width:148.8pt;height:19.0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18"/>
                          <w:szCs w:val="18"/>
                          <w:rFonts w:cstheme="minorBidi" w:eastAsiaTheme="minorHAnsi" w:ascii="Arial" w:hAnsi="Arial"/>
                          <w:color w:val="auto"/>
                        </w:rPr>
                        <w:t>č. sml. HMT 10/2017/OPE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cs-CZ"/>
        </w:rPr>
        <w:t>SMLOUVA O PRODUKCI A DISTRIBUCI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  <w:t>/dále jen „smlouva“/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2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2"/>
          <w:lang w:eastAsia="cs-CZ"/>
        </w:rPr>
        <w:t>uzavřená mezi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2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2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bCs/>
          <w:color w:val="000000"/>
          <w:sz w:val="22"/>
          <w:lang w:eastAsia="cs-CZ"/>
        </w:rPr>
      </w:pPr>
      <w:r>
        <w:rPr>
          <w:rFonts w:eastAsia="Calibri" w:cs="Arial" w:ascii="Arial" w:hAnsi="Arial"/>
          <w:b/>
          <w:bCs/>
          <w:color w:val="000000"/>
          <w:sz w:val="22"/>
          <w:lang w:eastAsia="cs-CZ"/>
        </w:rPr>
        <w:t>ADJUST ART, spol. s r.o.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bCs/>
          <w:color w:val="000000"/>
          <w:sz w:val="22"/>
          <w:lang w:eastAsia="cs-CZ"/>
        </w:rPr>
      </w:pPr>
      <w:r>
        <w:rPr>
          <w:rFonts w:eastAsia="Calibri" w:cs="Arial" w:ascii="Arial" w:hAnsi="Arial"/>
          <w:b/>
          <w:bCs/>
          <w:color w:val="000000"/>
          <w:sz w:val="22"/>
          <w:lang w:eastAsia="cs-CZ"/>
        </w:rPr>
        <w:t>Národní 25, 110 00 Praha 1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000000"/>
          <w:szCs w:val="24"/>
          <w:lang w:eastAsia="cs-CZ"/>
        </w:rPr>
      </w:pPr>
      <w:r>
        <w:rPr>
          <w:rFonts w:eastAsia="Calibri" w:cs="Arial" w:ascii="Arial" w:hAnsi="Arial"/>
          <w:b/>
          <w:bCs/>
          <w:color w:val="000000"/>
          <w:sz w:val="22"/>
          <w:lang w:eastAsia="cs-CZ"/>
        </w:rPr>
        <w:t>IČ: 25636057, DIČ: CZ25636057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sz w:val="22"/>
          <w:lang w:eastAsia="ar-SA"/>
        </w:rPr>
      </w:pPr>
      <w:r>
        <w:rPr>
          <w:rFonts w:eastAsia="Times New Roman" w:cs="Arial" w:ascii="Arial" w:hAnsi="Arial"/>
          <w:b/>
          <w:bCs/>
          <w:color w:val="000000"/>
          <w:sz w:val="22"/>
          <w:lang w:eastAsia="ar-SA"/>
        </w:rPr>
        <w:t>Tel/fax.: 224 225 990, tel.: 251 510 437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1F497D"/>
          <w:sz w:val="22"/>
        </w:rPr>
      </w:pPr>
      <w:r>
        <w:rPr>
          <w:rFonts w:eastAsia="Calibri" w:cs="Arial" w:ascii="Arial" w:hAnsi="Arial"/>
          <w:b/>
          <w:bCs/>
          <w:color w:val="000000"/>
          <w:sz w:val="22"/>
          <w:lang w:eastAsia="cs-CZ"/>
        </w:rPr>
        <w:t>zastoupená jednatelkou Ivanou Zemancovou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/dále jen “provozovatel“/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2"/>
          <w:lang w:eastAsia="cs-CZ"/>
        </w:rPr>
        <w:t>a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sz w:val="22"/>
          <w:lang w:eastAsia="ar-SA"/>
        </w:rPr>
      </w:pPr>
      <w:r>
        <w:rPr>
          <w:rFonts w:eastAsia="Times New Roman" w:cs="Arial" w:ascii="Arial" w:hAnsi="Arial"/>
          <w:b/>
          <w:bCs/>
          <w:color w:val="000000"/>
          <w:sz w:val="22"/>
          <w:lang w:eastAsia="ar-SA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cs-CZ"/>
        </w:rPr>
        <w:t>Husitské muzeum v Táboře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cs-CZ"/>
        </w:rPr>
        <w:t>nám. Mikuláše z Husi 44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2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cs-CZ"/>
        </w:rPr>
        <w:t>390 01 Tábor</w:t>
        <w:br/>
        <w:t>IC: 00072486</w:t>
        <w:tab/>
        <w:t xml:space="preserve"> DIC: CZ00072486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2"/>
          <w:lang w:eastAsia="cs-CZ"/>
        </w:rPr>
        <w:t>Tel.: +420 381 252 242</w:t>
        <w:br/>
        <w:t>zastoupené: Mgr. Jakubem Smrčkou, Th.D.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/dále jen “objednatel“/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  <w:t>I. PŘEDMĚT SMLOUVY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1. 1 Předmětem smlouvy je </w:t>
      </w:r>
      <w:bookmarkStart w:id="0" w:name="__DdeLink__92_1865034117"/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zajištění reklamní kampaně </w:t>
      </w:r>
      <w:bookmarkEnd w:id="0"/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(číselník NIPEZ 79341400-0 Reklamní kampaně) dle nabídky viz Příloha č. 2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bookmarkStart w:id="1" w:name="_GoBack"/>
      <w:bookmarkEnd w:id="1"/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  <w:t>II. SMLUVNÍ POJMY A VZTAHY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2. 1. Provozovatelem je </w:t>
      </w:r>
      <w:r>
        <w:rPr>
          <w:rFonts w:eastAsia="Times New Roman" w:cs="Arial" w:ascii="Arial" w:hAnsi="Arial"/>
          <w:sz w:val="20"/>
          <w:szCs w:val="20"/>
          <w:lang w:eastAsia="cs-CZ"/>
        </w:rPr>
        <w:t>společnost – ADJUST ART, spol. s r.o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2. 2. Objednatelem je právnická osoba, která využívá služeb provozovatele.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2. 3. Propagačním materiálem se rozumí informační letáky formátu DL, CL a BB tiskoviny.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2. 4. Uživatelem se rozumí osoby, které si v místech distribuce vyzvednou propagační materiál.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2. 5. Provozovatel prohlašuje, že informační stojany označené ev. číslem a jeho jménem jsou jeho výhradním vlastnictvím. Nakládání s těmito je smluvně upraveno s poskytovateli prostor, kde jsou informační stojany umístěny.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2. 6. Informační stojany jsou umístěny na vyhrazených místech podle Přílohy č. 1 této smlouvy.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cs="Arial" w:ascii="Arial" w:hAnsi="Arial"/>
          <w:color w:val="000000"/>
          <w:sz w:val="20"/>
          <w:szCs w:val="20"/>
        </w:rPr>
        <w:t xml:space="preserve">2.7. Ostatní plochy CL a BB propagace </w:t>
      </w:r>
      <w:r>
        <w:rPr>
          <w:rFonts w:cs="Arial" w:ascii="Arial" w:hAnsi="Arial"/>
          <w:sz w:val="20"/>
          <w:szCs w:val="20"/>
        </w:rPr>
        <w:t xml:space="preserve">a distribuční stojany na DL letáky ve stanicích pražského metra </w:t>
      </w:r>
      <w:r>
        <w:rPr>
          <w:rFonts w:cs="Arial" w:ascii="Arial" w:hAnsi="Arial"/>
          <w:color w:val="000000"/>
          <w:sz w:val="20"/>
          <w:szCs w:val="20"/>
        </w:rPr>
        <w:t>jsou provozovatelem řádně pronajaty.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  <w:t>III. PRÁVA A POVINNOSTI SMLUVNÍCH STRAN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3. 1. Provozovatel se zavazuje vytisknout a distribuovat propagační materiál objednatele po celou dobu účinnosti této smlouvy vymezenou v článku V. bod 5. 2. této smlouvy na všechna vyhrazená místa dle článku II. bod 2.6.. Provozovatel si dále vyhrazuje právo a zároveň se zavazuje nahradit dočasně, příp. trvale jakkoli nefunkční distribuční místo dle Přílohy č. 1 jiným takto podobným dle dohody s objednatelem.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3. 2. Provozovatel se zavazuje kontrolovat a doplňovat průběžně stav materiálu na všech místech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a umožnit tak prezentaci materiálů objednatele po celou dobu účinnosti této smlouvy.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3. 3. Provozovatel se zavazuje udržovat informační stojany tak, aby sloužily k důstojné prezentaci objednatele.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3. 4. Objednatel se zavazuje zaplatit za tisk, distribuci a umístění propagačního materiálu odměnu dle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ar-SA"/>
        </w:rPr>
        <w:t>článku IV. této smlouvy.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3. 5. Objednatel se zavazuje poskytnout provozovateli podklady pro tisk propagačního materiálu nejpozději do 10. dne v měsíci před zahájením distribuce.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3. 6. Provozovatel nenese zodpovědnost za případné neplnění smlouvy vyplývající z pozdního nebo nedostačujícího dodání tiskových podkladů propagačních materiálů objednatelem.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3. 7. Propagační materiál je vlastnictvím objednatele po celou dobu platnosti této smlouvy až do doby, kdy je bezplatně uživatel vyzvedne.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keepNext/>
        <w:numPr>
          <w:ilvl w:val="2"/>
          <w:numId w:val="1"/>
        </w:numPr>
        <w:spacing w:lineRule="auto" w:line="240" w:before="0" w:after="0"/>
        <w:jc w:val="center"/>
        <w:outlineLvl w:val="2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ar-SA"/>
        </w:rPr>
        <w:t>IV. PLATEBNÍ PODMÍNKY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4. 1.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Objednatel uhradí provozovateli dohodnutou odměnu dle cenové kalkulace viz Příloha č. 2.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ar-SA"/>
        </w:rPr>
        <w:t>4. 2. Úhrada provozovateli za distribuci a případnou výrobu těchto propagačních materiálů je objednavatelem vyplacena jednorázově formou faktury vystavené provozovatelem v měsíci dubnu.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2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4. 3. V případě prodlení objednavatele s úhradou déle než 14 dní (viz. článek IV. bod 4.2.),je provozovatel oprávněn postupovat podle článku V. bodu 5. 4. této smlouvy.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2"/>
          <w:lang w:eastAsia="cs-CZ"/>
        </w:rPr>
      </w:pPr>
      <w:r>
        <w:rPr>
          <w:rFonts w:eastAsia="Times New Roman" w:cs="Arial" w:ascii="Arial" w:hAnsi="Arial"/>
          <w:color w:val="000000"/>
          <w:sz w:val="22"/>
          <w:lang w:eastAsia="cs-CZ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color w:val="000000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Cs w:val="24"/>
          <w:lang w:eastAsia="cs-CZ"/>
        </w:rPr>
      </w:r>
    </w:p>
    <w:p>
      <w:pPr>
        <w:pStyle w:val="Normal"/>
        <w:keepNext/>
        <w:numPr>
          <w:ilvl w:val="1"/>
          <w:numId w:val="1"/>
        </w:numPr>
        <w:spacing w:lineRule="auto" w:line="240" w:before="0" w:after="0"/>
        <w:ind w:left="360" w:hanging="0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Cs w:val="24"/>
          <w:lang w:eastAsia="ar-SA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ar-SA"/>
        </w:rPr>
        <w:t>V. PLATNOST A ÚČINNOST SMLOUVY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bCs/>
          <w:color w:val="000000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ar-SA"/>
        </w:rPr>
        <w:t xml:space="preserve">5. 1. Tato smlouva se uzavírá na dobu určitou dle článku V. bodu 5. 2. a nabývá platnosti dnem jejího podpisu oběma smluvními stranami </w:t>
      </w:r>
      <w:r>
        <w:rPr>
          <w:rFonts w:eastAsia="Times New Roman" w:cs="Arial" w:ascii="Arial" w:hAnsi="Arial"/>
          <w:color w:val="auto"/>
          <w:sz w:val="20"/>
          <w:szCs w:val="20"/>
          <w:lang w:eastAsia="ar-SA"/>
        </w:rPr>
        <w:t>a účinnosti dnem zveřejnění v registru smluv podle zákona č. 319/2015 Sb</w:t>
      </w:r>
      <w:r>
        <w:rPr>
          <w:rFonts w:eastAsia="Times New Roman" w:cs="Arial" w:ascii="Arial" w:hAnsi="Arial"/>
          <w:color w:val="auto"/>
          <w:sz w:val="20"/>
          <w:szCs w:val="20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5. 2. Účinnost této smlouvy je vymezena dobou distribuce.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Provozovatel je oprávněn odložit počátek distribuce, pokud by byl objednavatel v prodlení s úhradou (článek IV. bod 4. 2.).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5. 3. Objednavatel má právo odstoupit od smlouvy v případě hrubého nebo opakovaného porušení povinností ze strany provozovatele.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5. 4. Provozovatel může od této smlouvy odstoupit, pokud je objednavatel v prodlení s placením nejméně 14 dnů. V tomto případě je provozovatel oprávněn odstranit všechny materiály objednavatele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z informačních stojanů a vrátit je objednavateli ke dni předčasného ukončení smlouvy dle článku V. bod 5.6.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5. 5. Ostatní důvody odstoupení od smlouvy a jejich podmínky budou přednostně řešeny dohodou obou smluvních stran. Pokud se obě strany nedohodnou jinak, výpovědní lhůta činí 90 dnů a počíná běžet od prvního dne následujícího měsíce, ke kterému ji provozovatel obdrží.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5. 6. Platnost smlouvy je ukončena písemnou dohodou smluvních stran nebo písemnou výpovědí jedné ze stran dle článku V. bod 5. 3. nebo bod 5.4.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Cs w:val="24"/>
          <w:lang w:eastAsia="cs-CZ"/>
        </w:rPr>
        <w:t>VI. ZÁVĚREČNÁ USTANOVENÍ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6. 1. Případné změny smlouvy musí mít písemnou formu dodatku podepsanou oběma stranami.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6. 2. Tato smlouva byla vypracována ve dvou stejnopisech, z nichž po jednom vyhotovení obdrží každá ze smluvních stran.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6. 3. Jednotlivé články smlouvy mají důvěrný charakter a obě smluvní strany se zavazují nešířit jejich znění dalším subjektům</w:t>
      </w:r>
      <w:r>
        <w:rPr>
          <w:rFonts w:eastAsia="Times New Roman" w:cs="Arial" w:ascii="Arial" w:hAnsi="Arial"/>
          <w:color w:val="auto"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color w:val="auto"/>
          <w:sz w:val="20"/>
          <w:szCs w:val="20"/>
          <w:lang w:eastAsia="cs-CZ"/>
        </w:rPr>
        <w:t>vyjma uveřejnění v registru smluv dle zák. č. 340/2015 Sb; údaje cenové kalkulace (jednotkové ceny) jsou obchodním tajemstvím</w:t>
      </w:r>
      <w:r>
        <w:rPr>
          <w:rFonts w:eastAsia="Times New Roman" w:cs="Arial" w:ascii="Arial" w:hAnsi="Arial"/>
          <w:color w:val="auto"/>
          <w:sz w:val="20"/>
          <w:szCs w:val="20"/>
          <w:lang w:eastAsia="cs-CZ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ar-SA"/>
        </w:rPr>
        <w:t>6. 4. Výše uvedení a níže podepsaní zástupci obou smluvních stran prohlašují, že smlouvu uzavřeli ze svobodné vůle, a že mají plnou právní způsobilost k podpisu této smlouvy.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V Táboře dne…………………….                                                        V Praze dne………………………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ab/>
        <w:t>Jakub Smrčka</w:t>
        <w:tab/>
        <w:tab/>
        <w:tab/>
        <w:tab/>
        <w:tab/>
        <w:tab/>
        <w:tab/>
        <w:t>Ivana Zemancová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066" w:bottom="16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str. </w:t>
    </w:r>
    <w:r>
      <w:rPr>
        <w:rFonts w:ascii="Arial" w:hAnsi="Arial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ef7892"/>
    <w:pPr>
      <w:keepNext/>
      <w:spacing w:lineRule="auto" w:line="240" w:before="0" w:after="0"/>
      <w:outlineLvl w:val="0"/>
    </w:pPr>
    <w:rPr>
      <w:rFonts w:ascii="Arial" w:hAnsi="Arial" w:eastAsia="Times New Roman" w:cs="Arial"/>
      <w:b/>
      <w:bCs/>
      <w:sz w:val="22"/>
      <w:lang w:eastAsia="ar-SA"/>
    </w:rPr>
  </w:style>
  <w:style w:type="paragraph" w:styleId="Nadpis2">
    <w:name w:val="Heading 2"/>
    <w:basedOn w:val="Normal"/>
    <w:link w:val="Nadpis2Char"/>
    <w:uiPriority w:val="9"/>
    <w:qFormat/>
    <w:rsid w:val="00ef7892"/>
    <w:pPr>
      <w:keepNext/>
      <w:spacing w:lineRule="auto" w:line="240" w:before="0" w:after="0"/>
      <w:ind w:left="360" w:hanging="0"/>
      <w:jc w:val="center"/>
      <w:outlineLvl w:val="1"/>
    </w:pPr>
    <w:rPr>
      <w:rFonts w:ascii="Arial" w:hAnsi="Arial" w:eastAsia="Times New Roman" w:cs="Arial"/>
      <w:b/>
      <w:bCs/>
      <w:szCs w:val="24"/>
      <w:lang w:eastAsia="ar-SA"/>
    </w:rPr>
  </w:style>
  <w:style w:type="paragraph" w:styleId="Nadpis3">
    <w:name w:val="Heading 3"/>
    <w:basedOn w:val="Normal"/>
    <w:link w:val="Nadpis3Char"/>
    <w:uiPriority w:val="9"/>
    <w:qFormat/>
    <w:rsid w:val="00ef7892"/>
    <w:pPr>
      <w:keepNext/>
      <w:spacing w:lineRule="auto" w:line="240" w:before="0" w:after="0"/>
      <w:jc w:val="center"/>
      <w:outlineLvl w:val="2"/>
    </w:pPr>
    <w:rPr>
      <w:rFonts w:ascii="Arial" w:hAnsi="Arial" w:eastAsia="Times New Roman" w:cs="Arial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f7892"/>
    <w:rPr>
      <w:rFonts w:ascii="Arial" w:hAnsi="Arial" w:eastAsia="Times New Roman" w:cs="Arial"/>
      <w:b/>
      <w:bCs/>
      <w:sz w:val="22"/>
      <w:lang w:eastAsia="ar-SA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f7892"/>
    <w:rPr>
      <w:rFonts w:ascii="Arial" w:hAnsi="Arial" w:eastAsia="Times New Roman" w:cs="Arial"/>
      <w:b/>
      <w:bCs/>
      <w:szCs w:val="24"/>
      <w:lang w:eastAsia="ar-SA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f7892"/>
    <w:rPr>
      <w:rFonts w:ascii="Arial" w:hAnsi="Arial" w:eastAsia="Times New Roman" w:cs="Arial"/>
      <w:b/>
      <w:bCs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ef7892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94779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kladntext21" w:customStyle="1">
    <w:name w:val="Základní text 21"/>
    <w:basedOn w:val="Normal"/>
    <w:qFormat/>
    <w:rsid w:val="00ef7892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ar-SA"/>
    </w:rPr>
  </w:style>
  <w:style w:type="paragraph" w:styleId="Zkladntext31" w:customStyle="1">
    <w:name w:val="Základní text 31"/>
    <w:basedOn w:val="Normal"/>
    <w:qFormat/>
    <w:rsid w:val="00ef7892"/>
    <w:pPr>
      <w:spacing w:lineRule="auto" w:line="240" w:before="0" w:after="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947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LibreOffice/5.2.5.1$Windows_x86 LibreOffice_project/0312e1a284a7d50ca85a365c316c7abbf20a4d22</Application>
  <Pages>3</Pages>
  <Words>781</Words>
  <Characters>4425</Characters>
  <CharactersWithSpaces>5221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2017-02-15T14:33:00Z</dcterms:created>
  <dc:creator>Kateřina Nimrichtrová</dc:creator>
  <dc:description/>
  <dc:language>cs-CZ</dc:language>
  <cp:lastModifiedBy/>
  <cp:lastPrinted>2017-02-15T10:35:00Z</cp:lastPrinted>
  <dcterms:modified xsi:type="dcterms:W3CDTF">2017-02-20T12:29:50Z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