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1EC48" w14:textId="783BB265" w:rsidR="00B33ABA" w:rsidRDefault="00152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</w:t>
      </w:r>
    </w:p>
    <w:p w14:paraId="71C23E46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DOHODA O VYPOŘÁDÁNÍ BEZDŮVODNÉHO OBOHACENÍ A O ZAPOČTENÍ </w:t>
      </w:r>
    </w:p>
    <w:p w14:paraId="43DC0581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Uzavřená dle § 2991 a násl. zákona č. 89/2012 Sb., občanského zákoníku,</w:t>
      </w:r>
    </w:p>
    <w:p w14:paraId="6ACC0C4A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mezi smluvními stranami:</w:t>
      </w:r>
    </w:p>
    <w:p w14:paraId="31005856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064758F" w14:textId="77777777" w:rsidR="006B3B60" w:rsidRPr="006B3B60" w:rsidRDefault="006B3B60" w:rsidP="006B3B60">
      <w:pPr>
        <w:spacing w:after="0" w:line="360" w:lineRule="atLeast"/>
        <w:rPr>
          <w:rFonts w:asciiTheme="majorHAnsi" w:eastAsia="Times New Roman" w:hAnsiTheme="majorHAnsi" w:cstheme="majorHAnsi"/>
          <w:color w:val="333333"/>
        </w:rPr>
      </w:pPr>
      <w:r w:rsidRPr="006B3B60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</w:rPr>
        <w:br/>
      </w:r>
      <w:r w:rsidRPr="006B3B60">
        <w:rPr>
          <w:rFonts w:asciiTheme="majorHAnsi" w:eastAsia="Times New Roman" w:hAnsiTheme="majorHAnsi" w:cstheme="majorHAnsi"/>
          <w:b/>
          <w:bCs/>
          <w:color w:val="333333"/>
          <w:bdr w:val="none" w:sz="0" w:space="0" w:color="auto" w:frame="1"/>
        </w:rPr>
        <w:t>Autosalon ASTRA a.s.</w:t>
      </w:r>
    </w:p>
    <w:p w14:paraId="27643BEC" w14:textId="3EA6E416" w:rsidR="00B33ABA" w:rsidRPr="006B3B60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</w:rPr>
      </w:pPr>
      <w:r w:rsidRPr="006B3B60">
        <w:rPr>
          <w:rFonts w:asciiTheme="majorHAnsi" w:hAnsiTheme="majorHAnsi" w:cstheme="majorHAnsi"/>
          <w:color w:val="000000"/>
        </w:rPr>
        <w:t>Se sídlem:</w:t>
      </w:r>
      <w:r w:rsidRPr="006B3B60">
        <w:rPr>
          <w:rFonts w:asciiTheme="majorHAnsi" w:hAnsiTheme="majorHAnsi" w:cstheme="majorHAnsi"/>
        </w:rPr>
        <w:t xml:space="preserve"> </w:t>
      </w:r>
      <w:r w:rsidR="006B3B60" w:rsidRPr="006B3B60">
        <w:rPr>
          <w:rFonts w:asciiTheme="majorHAnsi" w:hAnsiTheme="majorHAnsi" w:cstheme="majorHAnsi"/>
          <w:color w:val="333333"/>
          <w:shd w:val="clear" w:color="auto" w:fill="FFFFFF"/>
        </w:rPr>
        <w:t>Jarní 4198/28, 466 01 Jablonec nad Nisou</w:t>
      </w:r>
    </w:p>
    <w:p w14:paraId="4B5BA693" w14:textId="4BCBC95E" w:rsidR="00B33ABA" w:rsidRPr="006B3B60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</w:rPr>
      </w:pPr>
      <w:r w:rsidRPr="006B3B60">
        <w:rPr>
          <w:rFonts w:asciiTheme="majorHAnsi" w:hAnsiTheme="majorHAnsi" w:cstheme="majorHAnsi"/>
        </w:rPr>
        <w:t xml:space="preserve">IČ: </w:t>
      </w:r>
      <w:r w:rsidR="006B3B60" w:rsidRPr="006B3B60">
        <w:rPr>
          <w:rFonts w:asciiTheme="majorHAnsi" w:hAnsiTheme="majorHAnsi" w:cstheme="majorHAnsi"/>
        </w:rPr>
        <w:t>28708555</w:t>
      </w:r>
    </w:p>
    <w:p w14:paraId="16122714" w14:textId="77777777" w:rsidR="00B33ABA" w:rsidRPr="006B3B60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</w:rPr>
      </w:pPr>
      <w:r w:rsidRPr="006B3B60">
        <w:rPr>
          <w:rFonts w:asciiTheme="majorHAnsi" w:hAnsiTheme="majorHAnsi" w:cstheme="majorHAnsi"/>
          <w:color w:val="000000"/>
        </w:rPr>
        <w:t>(dále jen „</w:t>
      </w:r>
      <w:r w:rsidRPr="006B3B60">
        <w:rPr>
          <w:rFonts w:asciiTheme="majorHAnsi" w:hAnsiTheme="majorHAnsi" w:cstheme="majorHAnsi"/>
        </w:rPr>
        <w:t>Prodávající</w:t>
      </w:r>
      <w:r w:rsidRPr="006B3B60">
        <w:rPr>
          <w:rFonts w:asciiTheme="majorHAnsi" w:hAnsiTheme="majorHAnsi" w:cstheme="majorHAnsi"/>
          <w:color w:val="000000"/>
        </w:rPr>
        <w:t xml:space="preserve">“) </w:t>
      </w:r>
    </w:p>
    <w:p w14:paraId="5171DD4B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 </w:t>
      </w:r>
    </w:p>
    <w:p w14:paraId="18435479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highlight w:val="white"/>
        </w:rPr>
      </w:pPr>
      <w:proofErr w:type="gramStart"/>
      <w:r>
        <w:rPr>
          <w:b/>
          <w:color w:val="000000"/>
          <w:highlight w:val="white"/>
        </w:rPr>
        <w:t>ARR - Agentura</w:t>
      </w:r>
      <w:proofErr w:type="gramEnd"/>
      <w:r>
        <w:rPr>
          <w:b/>
          <w:color w:val="000000"/>
          <w:highlight w:val="white"/>
        </w:rPr>
        <w:t xml:space="preserve"> regionálního rozvoje, spol. s r.o.</w:t>
      </w:r>
    </w:p>
    <w:p w14:paraId="6A0C71B5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  <w:highlight w:val="white"/>
        </w:rPr>
        <w:t>U Jezu 525/4, Liberec IV-Perštýn, 460 01 Liberec</w:t>
      </w:r>
    </w:p>
    <w:p w14:paraId="7A731F17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color w:val="000000"/>
        </w:rPr>
        <w:t xml:space="preserve">IČ: </w:t>
      </w:r>
      <w:r>
        <w:rPr>
          <w:color w:val="000000"/>
          <w:highlight w:val="white"/>
        </w:rPr>
        <w:t>48267210</w:t>
      </w:r>
    </w:p>
    <w:p w14:paraId="2D7CBC9A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Zapsaná v obchodním rejstříků vedeném u Krajského soudu v Ústí nad Labem pod </w:t>
      </w:r>
      <w:proofErr w:type="spellStart"/>
      <w:r>
        <w:rPr>
          <w:color w:val="000000"/>
          <w:highlight w:val="white"/>
        </w:rPr>
        <w:t>sp</w:t>
      </w:r>
      <w:proofErr w:type="spellEnd"/>
      <w:r>
        <w:rPr>
          <w:color w:val="000000"/>
          <w:highlight w:val="white"/>
        </w:rPr>
        <w:t>. zn.  C 4305</w:t>
      </w:r>
    </w:p>
    <w:p w14:paraId="255C348B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33333"/>
          <w:highlight w:val="white"/>
        </w:rPr>
      </w:pPr>
      <w:r>
        <w:rPr>
          <w:color w:val="000000"/>
          <w:highlight w:val="white"/>
        </w:rPr>
        <w:t xml:space="preserve">Za níž jedná </w:t>
      </w:r>
      <w:r>
        <w:rPr>
          <w:color w:val="333333"/>
          <w:highlight w:val="white"/>
        </w:rPr>
        <w:t xml:space="preserve">Ing. Petr Dobrovský, jednatel </w:t>
      </w:r>
    </w:p>
    <w:p w14:paraId="5D586EBE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(dále jen „</w:t>
      </w:r>
      <w:r>
        <w:t>Kupující</w:t>
      </w:r>
      <w:r>
        <w:rPr>
          <w:color w:val="000000"/>
        </w:rPr>
        <w:t xml:space="preserve">“) </w:t>
      </w:r>
    </w:p>
    <w:p w14:paraId="249D5C59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(společně též „Účastníci dohody“ nebo také „Smluvní strany“) </w:t>
      </w:r>
    </w:p>
    <w:p w14:paraId="43EC7655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618476F7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Článek I.</w:t>
      </w:r>
    </w:p>
    <w:p w14:paraId="31D4C4A3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Úvodní ustanovení</w:t>
      </w:r>
    </w:p>
    <w:p w14:paraId="4A887210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6F8CA946" w14:textId="10D45328" w:rsidR="00B33ABA" w:rsidRPr="00D84257" w:rsidRDefault="006B777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D84257">
        <w:t xml:space="preserve">Smluvní strany uzavřely dne </w:t>
      </w:r>
      <w:r w:rsidR="006B3B60" w:rsidRPr="00D84257">
        <w:t>31. 05. 2019</w:t>
      </w:r>
      <w:r w:rsidRPr="00D84257">
        <w:t xml:space="preserve"> Kupní smlouvu, jejíž předmětem byl prodej a koupě osobního automobilu Škoda Octavia</w:t>
      </w:r>
      <w:r w:rsidR="006B3B60" w:rsidRPr="00D84257">
        <w:t xml:space="preserve"> Style 5E34M5, </w:t>
      </w:r>
      <w:r w:rsidRPr="00D84257">
        <w:t xml:space="preserve">rok </w:t>
      </w:r>
      <w:r w:rsidR="006B3B60" w:rsidRPr="00D84257">
        <w:t xml:space="preserve">výroby </w:t>
      </w:r>
      <w:r w:rsidRPr="00D84257">
        <w:t>201</w:t>
      </w:r>
      <w:r w:rsidR="006B3B60" w:rsidRPr="00D84257">
        <w:t>7</w:t>
      </w:r>
      <w:r w:rsidRPr="00D84257">
        <w:t>, SPZ 4</w:t>
      </w:r>
      <w:r w:rsidR="006B3B60" w:rsidRPr="00D84257">
        <w:t>SB</w:t>
      </w:r>
      <w:r w:rsidR="00D84257" w:rsidRPr="00D84257">
        <w:t xml:space="preserve"> </w:t>
      </w:r>
      <w:r w:rsidR="006B3B60" w:rsidRPr="00D84257">
        <w:t>4237 z</w:t>
      </w:r>
      <w:r w:rsidRPr="00D84257">
        <w:t xml:space="preserve">a sjednanou kupní cenu </w:t>
      </w:r>
      <w:r w:rsidR="006B3B60" w:rsidRPr="00D84257">
        <w:t>385.950,41</w:t>
      </w:r>
      <w:r w:rsidRPr="00D84257">
        <w:t xml:space="preserve"> Kč + DPH v zákonné výši (dále jen “Předmět plnění”).</w:t>
      </w:r>
    </w:p>
    <w:p w14:paraId="0246DDFE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0"/>
        <w:rPr>
          <w:color w:val="000000"/>
        </w:rPr>
      </w:pPr>
    </w:p>
    <w:p w14:paraId="73BEFA9D" w14:textId="77777777" w:rsidR="00B33ABA" w:rsidRDefault="006B777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Na výše uvedenou </w:t>
      </w:r>
      <w:r>
        <w:t>Kupní smlouv</w:t>
      </w:r>
      <w:r>
        <w:rPr>
          <w:color w:val="000000"/>
        </w:rPr>
        <w:t xml:space="preserve">u se vztahovala povinnost uveřejnění prostřednictvím registru smluv v souladu se zákonem č. 340/2015 Sb., o zvláštních podmínkách účinnosti některých smluv, uveřejnění těchto smluv a o registru smluv (zákon o registru smluv), ve znění pozdějších předpisů (dále jen „zákon o registru smluv“). Při dodatečné kontrole </w:t>
      </w:r>
      <w:r>
        <w:t>Kupující</w:t>
      </w:r>
      <w:r>
        <w:rPr>
          <w:color w:val="000000"/>
        </w:rPr>
        <w:t xml:space="preserve">m bylo zjištěno, že </w:t>
      </w:r>
      <w:r>
        <w:t>Kupní smlouv</w:t>
      </w:r>
      <w:r>
        <w:rPr>
          <w:color w:val="000000"/>
        </w:rPr>
        <w:t xml:space="preserve">a nebyla uveřejněna dle § 5 odst. 1 zákona o registru smluv. </w:t>
      </w:r>
      <w:r>
        <w:t>Kupní smlouva</w:t>
      </w:r>
      <w:r>
        <w:rPr>
          <w:color w:val="000000"/>
        </w:rPr>
        <w:t xml:space="preserve"> tak byla zrušena od počátku v souladu s § 7 odst. 1 zákona o registru smluv. </w:t>
      </w:r>
    </w:p>
    <w:p w14:paraId="00A152BA" w14:textId="77777777" w:rsidR="00B33ABA" w:rsidRDefault="00B33ABA">
      <w:pPr>
        <w:spacing w:after="0" w:line="240" w:lineRule="auto"/>
      </w:pPr>
    </w:p>
    <w:p w14:paraId="47EF4D29" w14:textId="34453F99" w:rsidR="00B33ABA" w:rsidRDefault="006B777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Smluvní strany tak shodně prohlašují, že Prodávající </w:t>
      </w:r>
      <w:r>
        <w:t>předal</w:t>
      </w:r>
      <w:r>
        <w:rPr>
          <w:color w:val="000000"/>
        </w:rPr>
        <w:t xml:space="preserve"> Kupujícímu shora specifikovaný </w:t>
      </w:r>
      <w:r>
        <w:t xml:space="preserve">osobní automobil podle zrušené Kupní smlouvy v hodnotě celkem </w:t>
      </w:r>
      <w:proofErr w:type="gramStart"/>
      <w:r w:rsidR="00D84257">
        <w:t>467.</w:t>
      </w:r>
      <w:r w:rsidR="00D84257" w:rsidRPr="00D84257">
        <w:t>000</w:t>
      </w:r>
      <w:r w:rsidR="006B3B60" w:rsidRPr="00D84257">
        <w:t xml:space="preserve"> </w:t>
      </w:r>
      <w:r w:rsidRPr="00D84257">
        <w:t xml:space="preserve"> Kč</w:t>
      </w:r>
      <w:proofErr w:type="gramEnd"/>
      <w:r w:rsidRPr="00D84257">
        <w:t xml:space="preserve"> včetně DPH, a Kupující za osobní automobil na základě Kupní smlouvy zaplatil prodávajícímu cenu v celkové výši </w:t>
      </w:r>
      <w:r w:rsidR="006B3B60" w:rsidRPr="00D84257">
        <w:t>467</w:t>
      </w:r>
      <w:r w:rsidRPr="00D84257">
        <w:t>.</w:t>
      </w:r>
      <w:r w:rsidR="006B3B60" w:rsidRPr="00D84257">
        <w:t>000</w:t>
      </w:r>
      <w:r w:rsidRPr="00D84257">
        <w:t xml:space="preserve"> Kč včetně DPH. Na straně Prodávajícího a Kupujícího tak vzniklo bezdůvodné obohacení, protože bylo</w:t>
      </w:r>
      <w:r>
        <w:t xml:space="preserve"> plněno bez právního důvodu.</w:t>
      </w:r>
    </w:p>
    <w:p w14:paraId="42700273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E1AD1F0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Článek II.</w:t>
      </w:r>
    </w:p>
    <w:p w14:paraId="45F4CE10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Vypořádání bezdůvodného obohacení</w:t>
      </w:r>
    </w:p>
    <w:p w14:paraId="5B92088A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C5E6FFA" w14:textId="3C2ACAF0" w:rsidR="00B33ABA" w:rsidRDefault="006B77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Účastníci dohody se dohodli na</w:t>
      </w:r>
      <w:r>
        <w:t xml:space="preserve"> vypořád</w:t>
      </w:r>
      <w:r>
        <w:rPr>
          <w:color w:val="000000"/>
        </w:rPr>
        <w:t xml:space="preserve">ání bezdůvodného obohacení dle Článku I. této dohody tak, že Smluvní strany </w:t>
      </w:r>
      <w:r>
        <w:t xml:space="preserve">touto Dohodou započítávají pohledávku Kupujícího na vydání bezdůvodného obohacení ve výši </w:t>
      </w:r>
      <w:r w:rsidR="00D84257">
        <w:t>467.</w:t>
      </w:r>
      <w:r w:rsidR="00D84257" w:rsidRPr="00D84257">
        <w:t>000</w:t>
      </w:r>
      <w:r w:rsidRPr="00D84257">
        <w:t xml:space="preserve"> Kč včetně DPH představující</w:t>
      </w:r>
      <w:r>
        <w:t xml:space="preserve"> uhrazenou cenu za osobní automobil proti pohledávce Prodávajícího na vydání bezdůvodného obohacení ve výši </w:t>
      </w:r>
      <w:r w:rsidR="00D84257">
        <w:t>467.000</w:t>
      </w:r>
      <w:r>
        <w:t xml:space="preserve"> Kč představující dohodnutou cenu osobního automobilu podle příslušné kupní smlouvy. Vzhledem ke shodné výši pohledávek Kupujícího a Prodávajícího tak vzájemné pohledávky účinností Dohody zaniknou v celém svém rozsahu.</w:t>
      </w:r>
    </w:p>
    <w:p w14:paraId="1DFA7522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2C6C4C61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</w:p>
    <w:p w14:paraId="51BAF376" w14:textId="77777777" w:rsidR="00B33ABA" w:rsidRDefault="006B77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Smluvní strany při vypořádání bezdůvodného obohacení postupovaly podle § 2999 odst. 2 občanského zákoníku, neboť vydání předmětu bezdůvodného obohacení </w:t>
      </w:r>
      <w:r>
        <w:t>Kupujícím</w:t>
      </w:r>
      <w:r>
        <w:rPr>
          <w:color w:val="000000"/>
        </w:rPr>
        <w:t xml:space="preserve"> není dobře možné. Současně ochuzený, tedy </w:t>
      </w:r>
      <w:r>
        <w:t>Prodávající</w:t>
      </w:r>
      <w:r>
        <w:rPr>
          <w:color w:val="000000"/>
        </w:rPr>
        <w:t xml:space="preserve">, plnil za úplatu, přičemž mu náleží náhrada ve výši této úplaty, </w:t>
      </w:r>
      <w:r w:rsidRPr="006B3B60">
        <w:t xml:space="preserve">sjednaná ve výše uvedené Kupní smlouvě. Prodávající by měl přitom Kupujícímu vydat bezdůvodné obohacení ve výši úplaty uvedené v Kupní smlouvě. Protože </w:t>
      </w:r>
      <w:r>
        <w:rPr>
          <w:color w:val="000000"/>
        </w:rPr>
        <w:t xml:space="preserve">si výše uvedené Smluvní strany dluží plnění stejného druhu (peněžité plnění) a ve stejné výši (tedy ve výši úplaty uvedené v </w:t>
      </w:r>
      <w:r>
        <w:t>Kupní smlouvě</w:t>
      </w:r>
      <w:r>
        <w:rPr>
          <w:color w:val="000000"/>
        </w:rPr>
        <w:t>), vypořádávají bezdůvodné obohacení vzájemným započtením pohledávek v souladu s</w:t>
      </w:r>
      <w:r>
        <w:t xml:space="preserve"> </w:t>
      </w:r>
      <w:r>
        <w:rPr>
          <w:color w:val="000000"/>
        </w:rPr>
        <w:t>§ 1982 odst. 1 občanského zákoníku, přičemž obě pohledávky se tímto zcela ruší dle § 1982 odst. 2 občanského zákoníku. Tímto pokládají obě Smluvní strany výše uvedené bezdůvodné obohacení za zcela vypořádané.</w:t>
      </w:r>
    </w:p>
    <w:p w14:paraId="0C1AE7FD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</w:p>
    <w:p w14:paraId="7F427A85" w14:textId="77777777" w:rsidR="00B33ABA" w:rsidRDefault="006B77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Každá ze Smluvních stran prohlašuje, že se neobohatila na úkor druhé smluvní strany a jednala v dobré víře. </w:t>
      </w:r>
    </w:p>
    <w:p w14:paraId="34634790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Článek III.</w:t>
      </w:r>
    </w:p>
    <w:p w14:paraId="5FBD33E8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787D27E4" w14:textId="77777777" w:rsidR="00B33ABA" w:rsidRDefault="006B777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Účastníci dohody shodně konstatují, že po splnění závazku uvedeného v Článku II. této dohody budou veškeré jejich vzájemné závazky a pohledávky vyplývající z Objednávky zcela vypořádány a že nebudou mít z uvedených titulů vůči sobě navzájem žádných dalších nároků, pohledávek a závazků, resp. že se každý z Účastníků dohody jakýchkoli takových dalších případných pohledávek či jiných nároků vůči druhému Účastníkovi dohody výslovně jejím podpisem vzdává. </w:t>
      </w:r>
    </w:p>
    <w:p w14:paraId="74704325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CCE33F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Článek IV.</w:t>
      </w:r>
    </w:p>
    <w:p w14:paraId="7C36A4A6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14:paraId="5757806B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52E67C7C" w14:textId="77777777" w:rsidR="00B33ABA" w:rsidRDefault="006B777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Vzájemná práva a povinnosti Smluvních stran v této dohodě výslovně neupravená se řídí příslušnými právními předpisy, zejména občanským zákoníkem. Tato dohoda podléhá uveřejnění v registru smluv dle zákona č. 340/2015 Sb., o zvláštních podmínkách účinnosti některých smluv, uveřejnění těchto smluv a o registru smluv (zákon o registru smluv), ve znění pozdějších předpisů</w:t>
      </w:r>
    </w:p>
    <w:p w14:paraId="6F42854C" w14:textId="77777777" w:rsidR="00B33ABA" w:rsidRDefault="006B7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600B629" w14:textId="77777777" w:rsidR="00B33ABA" w:rsidRDefault="006B777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Smluvní strany se dohodly, že uveřejnění v souladu se zákonem o registru smluv provede Objednatel, a to do 30 dnů od uzavření smlouvy. </w:t>
      </w:r>
    </w:p>
    <w:p w14:paraId="44591EFB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A066617" w14:textId="77777777" w:rsidR="00B33ABA" w:rsidRDefault="006B777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Tato dohoda je vyhotovena ve dvou stejnopisech, z nichž po jednom stejnopisu obdrží každá ze Smluvních stran. </w:t>
      </w:r>
    </w:p>
    <w:p w14:paraId="52875134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C43115B" w14:textId="77777777" w:rsidR="00B33ABA" w:rsidRDefault="006B777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Dohoda je uzavřena k datu podpisu poslední Smluvní strany a nabývá účinnosti dnem uveřejnění v registru smluv. </w:t>
      </w:r>
    </w:p>
    <w:p w14:paraId="23FDA541" w14:textId="77777777" w:rsidR="00B33ABA" w:rsidRDefault="00B33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3"/>
        <w:tblW w:w="81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1770"/>
        <w:gridCol w:w="2730"/>
      </w:tblGrid>
      <w:tr w:rsidR="00B33ABA" w14:paraId="36936498" w14:textId="77777777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9763E" w14:textId="77777777" w:rsidR="00B33ABA" w:rsidRDefault="006B77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1"/>
                <w:szCs w:val="21"/>
              </w:rPr>
              <w:t>V Jablonci nad Nisou dne 26.11. 2020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A1B3D" w14:textId="77777777" w:rsidR="00B33ABA" w:rsidRDefault="006B77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3D085" w14:textId="77777777" w:rsidR="00B33ABA" w:rsidRDefault="006B77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V Liberci dne 26. 11. 2020 </w:t>
            </w:r>
          </w:p>
        </w:tc>
      </w:tr>
      <w:tr w:rsidR="00B33ABA" w14:paraId="1C63069C" w14:textId="77777777">
        <w:trPr>
          <w:trHeight w:val="780"/>
        </w:trPr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4F86F2BC" w14:textId="77777777" w:rsidR="00B33ABA" w:rsidRDefault="00B33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AF622" w14:textId="77777777" w:rsidR="00B33ABA" w:rsidRDefault="006B77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3061360B" w14:textId="77777777" w:rsidR="00B33ABA" w:rsidRDefault="00B33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257" w14:paraId="6C114B18" w14:textId="77777777">
        <w:trPr>
          <w:trHeight w:val="780"/>
        </w:trPr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231FB127" w14:textId="77777777" w:rsidR="00D84257" w:rsidRDefault="00D842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BF9C4" w14:textId="77777777" w:rsidR="00D84257" w:rsidRDefault="00D84257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3F098A74" w14:textId="77777777" w:rsidR="00D84257" w:rsidRDefault="00D842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ABA" w14:paraId="76CF0221" w14:textId="77777777">
        <w:tc>
          <w:tcPr>
            <w:tcW w:w="36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AE6DB7" w14:textId="77777777" w:rsidR="00D84257" w:rsidRPr="00D84257" w:rsidRDefault="00D84257" w:rsidP="00D84257">
            <w:pPr>
              <w:spacing w:after="0" w:line="360" w:lineRule="atLeast"/>
              <w:rPr>
                <w:rFonts w:asciiTheme="majorHAnsi" w:eastAsia="Times New Roman" w:hAnsiTheme="majorHAnsi" w:cstheme="majorHAnsi"/>
                <w:color w:val="333333"/>
              </w:rPr>
            </w:pPr>
            <w:r w:rsidRPr="006B3B60">
              <w:rPr>
                <w:rFonts w:asciiTheme="majorHAnsi" w:eastAsia="Times New Roman" w:hAnsiTheme="majorHAnsi" w:cstheme="majorHAnsi"/>
                <w:b/>
                <w:bCs/>
                <w:color w:val="333333"/>
                <w:bdr w:val="none" w:sz="0" w:space="0" w:color="auto" w:frame="1"/>
              </w:rPr>
              <w:t>Autosalon ASTRA a.s.</w:t>
            </w:r>
          </w:p>
          <w:p w14:paraId="3413BDCB" w14:textId="77777777" w:rsidR="00B33ABA" w:rsidRDefault="00B33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33333"/>
                <w:highlight w:val="whit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4E1EB" w14:textId="77777777" w:rsidR="00B33ABA" w:rsidRDefault="006B77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3BF805" w14:textId="77777777" w:rsidR="00B33ABA" w:rsidRDefault="006B7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highlight w:val="white"/>
              </w:rPr>
            </w:pPr>
            <w:proofErr w:type="gramStart"/>
            <w:r>
              <w:rPr>
                <w:b/>
                <w:color w:val="000000"/>
                <w:highlight w:val="white"/>
              </w:rPr>
              <w:t>ARR - Agentura</w:t>
            </w:r>
            <w:proofErr w:type="gramEnd"/>
            <w:r>
              <w:rPr>
                <w:b/>
                <w:color w:val="000000"/>
                <w:highlight w:val="white"/>
              </w:rPr>
              <w:t xml:space="preserve"> regionálního rozvoje, spol. s r.o.</w:t>
            </w:r>
          </w:p>
          <w:p w14:paraId="60A6B733" w14:textId="77777777" w:rsidR="00B33ABA" w:rsidRDefault="006B7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highlight w:val="white"/>
              </w:rPr>
            </w:pPr>
            <w:r>
              <w:rPr>
                <w:color w:val="333333"/>
                <w:highlight w:val="white"/>
              </w:rPr>
              <w:t>Ing. Petr Dobrovský, jednatel</w:t>
            </w:r>
          </w:p>
        </w:tc>
      </w:tr>
    </w:tbl>
    <w:p w14:paraId="7E91ADB0" w14:textId="77777777" w:rsidR="00B33ABA" w:rsidRDefault="00B33ABA"/>
    <w:sectPr w:rsidR="00B33AB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C631F"/>
    <w:multiLevelType w:val="multilevel"/>
    <w:tmpl w:val="DCE832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F36465D"/>
    <w:multiLevelType w:val="multilevel"/>
    <w:tmpl w:val="4162B374"/>
    <w:lvl w:ilvl="0">
      <w:start w:val="1"/>
      <w:numFmt w:val="decimal"/>
      <w:lvlText w:val="%1."/>
      <w:lvlJc w:val="left"/>
      <w:pPr>
        <w:ind w:left="390" w:hanging="39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Calibri" w:eastAsia="Calibri" w:hAnsi="Calibri" w:cs="Calibri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color w:val="000000"/>
        <w:sz w:val="22"/>
        <w:szCs w:val="22"/>
      </w:rPr>
    </w:lvl>
  </w:abstractNum>
  <w:abstractNum w:abstractNumId="2" w15:restartNumberingAfterBreak="0">
    <w:nsid w:val="76893626"/>
    <w:multiLevelType w:val="multilevel"/>
    <w:tmpl w:val="2458AE5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FAB12BA"/>
    <w:multiLevelType w:val="multilevel"/>
    <w:tmpl w:val="2FBEEEA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BA"/>
    <w:rsid w:val="0011767A"/>
    <w:rsid w:val="00152FBD"/>
    <w:rsid w:val="006B3B60"/>
    <w:rsid w:val="006B777E"/>
    <w:rsid w:val="00AB3FD7"/>
    <w:rsid w:val="00B33ABA"/>
    <w:rsid w:val="00D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121B"/>
  <w15:docId w15:val="{4D2A6E21-9A10-4578-B8E3-FCC16773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Siln">
    <w:name w:val="Strong"/>
    <w:basedOn w:val="Standardnpsmoodstavce"/>
    <w:uiPriority w:val="22"/>
    <w:qFormat/>
    <w:rsid w:val="006B3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N7TQj++LykhyX2uN5QheyxBWg==">AMUW2mVY5FnXJuM+XOcjzTxsO1v5Ioe19f4MFXP1nixI5X7M85U4eCq1ZCHRf6IfmBlR2KhXTOW1dYhcdN4VLD/NZOg2nEOGDud029/MPh6tULVZW5GN/KugnSLYy3uXGgGFbOSK/sa8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ARR-host</dc:creator>
  <cp:lastModifiedBy>Michaela Langová</cp:lastModifiedBy>
  <cp:revision>5</cp:revision>
  <dcterms:created xsi:type="dcterms:W3CDTF">2020-11-27T13:34:00Z</dcterms:created>
  <dcterms:modified xsi:type="dcterms:W3CDTF">2020-11-30T12:59:00Z</dcterms:modified>
</cp:coreProperties>
</file>