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4220" w:right="4219" w:firstLine="0"/>
        <w:jc w:val="center"/>
        <w:rPr>
          <w:b/>
          <w:sz w:val="24"/>
        </w:rPr>
      </w:pPr>
      <w:r>
        <w:rPr>
          <w:b/>
          <w:sz w:val="24"/>
          <w:u w:val="thick"/>
        </w:rPr>
        <w:t>DOHODA</w:t>
      </w:r>
    </w:p>
    <w:p>
      <w:pPr>
        <w:pStyle w:val="BodyText"/>
        <w:spacing w:before="3"/>
        <w:rPr>
          <w:b/>
          <w:sz w:val="16"/>
        </w:rPr>
      </w:pPr>
    </w:p>
    <w:p>
      <w:pPr>
        <w:pStyle w:val="BodyText"/>
        <w:spacing w:before="90"/>
        <w:ind w:left="100" w:right="129"/>
      </w:pPr>
      <w:r>
        <w:rPr/>
        <w:t>Tato dohoda se uzavírá mezi společností Celgene Inc., se sídlem na adrese Novodvorská 994/138, Braník, Prague 4, 14200, Czech Republic (dále jen „ The Company“) a Univerzita Karlova, 1. Lékařská fakulta, Ústav BIOCEV, se sídlem na adrese Kateřinská 32, Praha, CZ 128 00 (dále jen „příjemce“).</w:t>
      </w:r>
    </w:p>
    <w:p>
      <w:pPr>
        <w:pStyle w:val="BodyText"/>
        <w:spacing w:before="8"/>
      </w:pPr>
    </w:p>
    <w:p>
      <w:pPr>
        <w:pStyle w:val="Heading1"/>
        <w:numPr>
          <w:ilvl w:val="0"/>
          <w:numId w:val="1"/>
        </w:numPr>
        <w:tabs>
          <w:tab w:pos="821" w:val="left" w:leader="none"/>
        </w:tabs>
        <w:spacing w:line="240" w:lineRule="auto" w:before="0" w:after="0"/>
        <w:ind w:left="820" w:right="0" w:hanging="360"/>
        <w:jc w:val="left"/>
      </w:pPr>
      <w:r>
        <w:rPr/>
        <w:t>Identifikační</w:t>
      </w:r>
      <w:r>
        <w:rPr>
          <w:spacing w:val="-2"/>
        </w:rPr>
        <w:t> </w:t>
      </w:r>
      <w:r>
        <w:rPr/>
        <w:t>údaje</w:t>
      </w:r>
    </w:p>
    <w:p>
      <w:pPr>
        <w:pStyle w:val="BodyText"/>
        <w:spacing w:before="1"/>
        <w:rPr>
          <w:b/>
        </w:rPr>
      </w:pPr>
    </w:p>
    <w:p>
      <w:pPr>
        <w:pStyle w:val="BodyText"/>
        <w:ind w:left="820" w:right="102"/>
      </w:pPr>
      <w:r>
        <w:rPr>
          <w:spacing w:val="-60"/>
          <w:u w:val="single"/>
        </w:rPr>
        <w:t> </w:t>
      </w:r>
      <w:r>
        <w:rPr>
          <w:u w:val="single"/>
        </w:rPr>
        <w:t>Žádost </w:t>
      </w:r>
      <w:r>
        <w:rPr/>
        <w:t>. Tato dohoda se týká žádosti č. 65075241, nazvané COVID-19 situation, ve znění posledních úprav, které mohly být provedeny od data původního podání společnosti The Company do data účinnosti této dohody (dále jen „Žádost“). Tato žádost je začleněna do této dohody, jako kdyby v ní byla doslovně uvedena.</w:t>
      </w:r>
    </w:p>
    <w:p>
      <w:pPr>
        <w:pStyle w:val="BodyText"/>
        <w:spacing w:before="6"/>
      </w:pPr>
    </w:p>
    <w:p>
      <w:pPr>
        <w:pStyle w:val="Heading1"/>
        <w:numPr>
          <w:ilvl w:val="0"/>
          <w:numId w:val="1"/>
        </w:numPr>
        <w:tabs>
          <w:tab w:pos="821" w:val="left" w:leader="none"/>
        </w:tabs>
        <w:spacing w:line="240" w:lineRule="auto" w:before="0" w:after="0"/>
        <w:ind w:left="820" w:right="0" w:hanging="360"/>
        <w:jc w:val="left"/>
      </w:pPr>
      <w:r>
        <w:rPr/>
        <w:t>Činnost</w:t>
      </w:r>
    </w:p>
    <w:p>
      <w:pPr>
        <w:pStyle w:val="BodyText"/>
        <w:spacing w:before="1"/>
        <w:rPr>
          <w:b/>
        </w:rPr>
      </w:pPr>
    </w:p>
    <w:p>
      <w:pPr>
        <w:pStyle w:val="BodyText"/>
        <w:spacing w:before="1"/>
        <w:ind w:left="820" w:right="1087"/>
      </w:pPr>
      <w:r>
        <w:rPr/>
        <w:t>Příjemce bude v plném rozsahu provádět činnosti popsané v žádosti v souladu</w:t>
      </w:r>
      <w:r>
        <w:rPr>
          <w:spacing w:val="-19"/>
        </w:rPr>
        <w:t> </w:t>
      </w:r>
      <w:r>
        <w:rPr/>
        <w:t>s podmínkami uvedenými níže v této</w:t>
      </w:r>
      <w:r>
        <w:rPr>
          <w:spacing w:val="1"/>
        </w:rPr>
        <w:t> </w:t>
      </w:r>
      <w:r>
        <w:rPr/>
        <w:t>dohodě.</w:t>
      </w:r>
    </w:p>
    <w:p>
      <w:pPr>
        <w:pStyle w:val="BodyText"/>
        <w:spacing w:before="7"/>
      </w:pPr>
    </w:p>
    <w:p>
      <w:pPr>
        <w:pStyle w:val="Heading1"/>
        <w:numPr>
          <w:ilvl w:val="0"/>
          <w:numId w:val="1"/>
        </w:numPr>
        <w:tabs>
          <w:tab w:pos="821" w:val="left" w:leader="none"/>
        </w:tabs>
        <w:spacing w:line="240" w:lineRule="auto" w:before="0" w:after="0"/>
        <w:ind w:left="820" w:right="0" w:hanging="360"/>
        <w:jc w:val="left"/>
      </w:pPr>
      <w:r>
        <w:rPr/>
        <w:t>Poskytnutí finančních</w:t>
      </w:r>
      <w:r>
        <w:rPr>
          <w:spacing w:val="-16"/>
        </w:rPr>
        <w:t> </w:t>
      </w:r>
      <w:r>
        <w:rPr/>
        <w:t>prostředků</w:t>
      </w:r>
    </w:p>
    <w:p>
      <w:pPr>
        <w:pStyle w:val="BodyText"/>
        <w:spacing w:before="7"/>
        <w:rPr>
          <w:b/>
          <w:sz w:val="20"/>
        </w:rPr>
      </w:pPr>
    </w:p>
    <w:p>
      <w:pPr>
        <w:pStyle w:val="ListParagraph"/>
        <w:numPr>
          <w:ilvl w:val="1"/>
          <w:numId w:val="1"/>
        </w:numPr>
        <w:tabs>
          <w:tab w:pos="1541" w:val="left" w:leader="none"/>
        </w:tabs>
        <w:spacing w:line="240" w:lineRule="auto" w:before="1" w:after="0"/>
        <w:ind w:left="1540" w:right="480" w:hanging="360"/>
        <w:jc w:val="left"/>
        <w:rPr>
          <w:sz w:val="24"/>
        </w:rPr>
      </w:pPr>
      <w:r>
        <w:rPr>
          <w:spacing w:val="-60"/>
          <w:sz w:val="24"/>
          <w:u w:val="single"/>
        </w:rPr>
        <w:t> </w:t>
      </w:r>
      <w:r>
        <w:rPr>
          <w:sz w:val="24"/>
          <w:u w:val="single"/>
        </w:rPr>
        <w:t>Částka</w:t>
      </w:r>
      <w:r>
        <w:rPr>
          <w:sz w:val="24"/>
        </w:rPr>
        <w:t> . Celková částka věnovaná na účely popsané v žádosti činí 300,000.00 CZK (dále jen „finanční prostředky“). Podle okolností může být přičtena</w:t>
      </w:r>
      <w:r>
        <w:rPr>
          <w:spacing w:val="-11"/>
          <w:sz w:val="24"/>
        </w:rPr>
        <w:t> </w:t>
      </w:r>
      <w:r>
        <w:rPr>
          <w:sz w:val="24"/>
        </w:rPr>
        <w:t>DPH nebo jiná příslušná daň.</w:t>
      </w:r>
    </w:p>
    <w:p>
      <w:pPr>
        <w:pStyle w:val="BodyText"/>
        <w:spacing w:before="11"/>
        <w:rPr>
          <w:sz w:val="23"/>
        </w:rPr>
      </w:pPr>
    </w:p>
    <w:p>
      <w:pPr>
        <w:pStyle w:val="ListParagraph"/>
        <w:numPr>
          <w:ilvl w:val="1"/>
          <w:numId w:val="1"/>
        </w:numPr>
        <w:tabs>
          <w:tab w:pos="1541" w:val="left" w:leader="none"/>
        </w:tabs>
        <w:spacing w:line="240" w:lineRule="auto" w:before="0" w:after="0"/>
        <w:ind w:left="1540" w:right="0" w:hanging="360"/>
        <w:jc w:val="left"/>
        <w:rPr>
          <w:sz w:val="24"/>
        </w:rPr>
      </w:pPr>
      <w:r>
        <w:rPr>
          <w:spacing w:val="-60"/>
          <w:sz w:val="24"/>
          <w:u w:val="single"/>
        </w:rPr>
        <w:t> </w:t>
      </w:r>
      <w:r>
        <w:rPr>
          <w:sz w:val="24"/>
          <w:u w:val="single"/>
        </w:rPr>
        <w:t>Účel</w:t>
      </w:r>
      <w:r>
        <w:rPr>
          <w:spacing w:val="-1"/>
          <w:sz w:val="24"/>
        </w:rPr>
        <w:t> </w:t>
      </w:r>
      <w:r>
        <w:rPr>
          <w:sz w:val="24"/>
        </w:rPr>
        <w:t>.</w:t>
      </w:r>
    </w:p>
    <w:p>
      <w:pPr>
        <w:pStyle w:val="BodyText"/>
        <w:spacing w:before="10"/>
        <w:rPr>
          <w:sz w:val="20"/>
        </w:rPr>
      </w:pPr>
    </w:p>
    <w:p>
      <w:pPr>
        <w:pStyle w:val="ListParagraph"/>
        <w:numPr>
          <w:ilvl w:val="2"/>
          <w:numId w:val="1"/>
        </w:numPr>
        <w:tabs>
          <w:tab w:pos="2260" w:val="left" w:leader="none"/>
          <w:tab w:pos="2261" w:val="left" w:leader="none"/>
        </w:tabs>
        <w:spacing w:line="240" w:lineRule="auto" w:before="1" w:after="0"/>
        <w:ind w:left="2260" w:right="231" w:hanging="487"/>
        <w:jc w:val="left"/>
        <w:rPr>
          <w:sz w:val="24"/>
        </w:rPr>
      </w:pPr>
      <w:r>
        <w:rPr>
          <w:sz w:val="24"/>
        </w:rPr>
        <w:t>Takto poskytnuté finanční prostředky jsou určeny výhradně na činnost popsanou v žádosti, a nikoliv pro účely propagace jakéhokoliv produktu. Příjemce je povinen zajistit, že finanční prostředky budou využity profesionálním a etickým způsobem vhodným pro dosažení daného účelu a v souladu s aktuálními podmínkami, platnými právními předpisy a platnými oborovými</w:t>
      </w:r>
      <w:r>
        <w:rPr>
          <w:spacing w:val="-1"/>
          <w:sz w:val="24"/>
        </w:rPr>
        <w:t> </w:t>
      </w:r>
      <w:r>
        <w:rPr>
          <w:sz w:val="24"/>
        </w:rPr>
        <w:t>kodexy.</w:t>
      </w:r>
    </w:p>
    <w:p>
      <w:pPr>
        <w:pStyle w:val="BodyText"/>
        <w:spacing w:before="8"/>
        <w:rPr>
          <w:sz w:val="20"/>
        </w:rPr>
      </w:pPr>
    </w:p>
    <w:p>
      <w:pPr>
        <w:pStyle w:val="ListParagraph"/>
        <w:numPr>
          <w:ilvl w:val="2"/>
          <w:numId w:val="1"/>
        </w:numPr>
        <w:tabs>
          <w:tab w:pos="2260" w:val="left" w:leader="none"/>
          <w:tab w:pos="2261" w:val="left" w:leader="none"/>
        </w:tabs>
        <w:spacing w:line="240" w:lineRule="auto" w:before="1" w:after="0"/>
        <w:ind w:left="2260" w:right="215" w:hanging="553"/>
        <w:jc w:val="left"/>
        <w:rPr>
          <w:sz w:val="24"/>
        </w:rPr>
      </w:pPr>
      <w:r>
        <w:rPr>
          <w:sz w:val="24"/>
        </w:rPr>
        <w:t>Aby bylo možné odpovídajícím způsobem zajistit dodržování tohoto ustanovení, je příjemce na důvodnou žádost společnosti The Company povinen kdykoliv během doby trvání této dohody i po jejím skončení umožnit společnosti The Company nebo jejím zmocněncům, zástupcům</w:t>
      </w:r>
      <w:r>
        <w:rPr>
          <w:spacing w:val="-13"/>
          <w:sz w:val="24"/>
        </w:rPr>
        <w:t> </w:t>
      </w:r>
      <w:r>
        <w:rPr>
          <w:sz w:val="24"/>
        </w:rPr>
        <w:t>a regulatorním orgánům provést kontrolu účetních knih, záznamů a další dokumentace související s uvedeným</w:t>
      </w:r>
      <w:r>
        <w:rPr>
          <w:spacing w:val="-4"/>
          <w:sz w:val="24"/>
        </w:rPr>
        <w:t> </w:t>
      </w:r>
      <w:r>
        <w:rPr>
          <w:sz w:val="24"/>
        </w:rPr>
        <w:t>účelem.</w:t>
      </w:r>
    </w:p>
    <w:p>
      <w:pPr>
        <w:pStyle w:val="BodyText"/>
        <w:spacing w:before="9"/>
        <w:rPr>
          <w:sz w:val="20"/>
        </w:rPr>
      </w:pPr>
    </w:p>
    <w:p>
      <w:pPr>
        <w:pStyle w:val="ListParagraph"/>
        <w:numPr>
          <w:ilvl w:val="1"/>
          <w:numId w:val="1"/>
        </w:numPr>
        <w:tabs>
          <w:tab w:pos="1541" w:val="left" w:leader="none"/>
        </w:tabs>
        <w:spacing w:line="240" w:lineRule="auto" w:before="1" w:after="0"/>
        <w:ind w:left="1540" w:right="120" w:hanging="360"/>
        <w:jc w:val="left"/>
        <w:rPr>
          <w:sz w:val="24"/>
        </w:rPr>
      </w:pPr>
      <w:r>
        <w:rPr>
          <w:spacing w:val="-60"/>
          <w:sz w:val="24"/>
          <w:u w:val="single"/>
        </w:rPr>
        <w:t> </w:t>
      </w:r>
      <w:r>
        <w:rPr>
          <w:sz w:val="24"/>
          <w:u w:val="single"/>
        </w:rPr>
        <w:t>Změna schválené žádosti</w:t>
      </w:r>
      <w:r>
        <w:rPr>
          <w:sz w:val="24"/>
        </w:rPr>
        <w:t> . V případě změny schválené žádosti musí příjemce společnost The Company písemně informovat nejpozději 30 dnů před</w:t>
      </w:r>
      <w:r>
        <w:rPr>
          <w:spacing w:val="-13"/>
          <w:sz w:val="24"/>
        </w:rPr>
        <w:t> </w:t>
      </w:r>
      <w:r>
        <w:rPr>
          <w:sz w:val="24"/>
        </w:rPr>
        <w:t>provedením takové změny schválené žádosti, a to zasláním vyplněného formuláře žádosti</w:t>
      </w:r>
      <w:r>
        <w:rPr>
          <w:spacing w:val="-10"/>
          <w:sz w:val="24"/>
        </w:rPr>
        <w:t> </w:t>
      </w:r>
      <w:r>
        <w:rPr>
          <w:sz w:val="24"/>
        </w:rPr>
        <w:t>o</w:t>
      </w:r>
    </w:p>
    <w:p>
      <w:pPr>
        <w:pStyle w:val="BodyText"/>
        <w:ind w:left="1540" w:right="249"/>
      </w:pPr>
      <w:r>
        <w:rPr/>
        <w:t>změnu programu a revidovaného formuláře o nákladech programu (v případě, že se změna dotkne výdajů). Pokud společnost The Company navržené změny</w:t>
      </w:r>
    </w:p>
    <w:p>
      <w:pPr>
        <w:pStyle w:val="BodyText"/>
        <w:ind w:left="1540" w:right="374"/>
      </w:pPr>
      <w:r>
        <w:rPr/>
        <w:t>přijme, bude o tom příjemce písemně informován a tyto změny budou považovány za dodatek k této dohodě. Pokud dojde společnost The Company k závěru, že změna programu není v souladu s původní žádostí, bude o tom</w:t>
      </w:r>
    </w:p>
    <w:p>
      <w:pPr>
        <w:spacing w:after="0"/>
        <w:sectPr>
          <w:type w:val="continuous"/>
          <w:pgSz w:w="12240" w:h="15840"/>
          <w:pgMar w:top="1080" w:bottom="280" w:left="1340" w:right="1340"/>
        </w:sectPr>
      </w:pPr>
    </w:p>
    <w:p>
      <w:pPr>
        <w:pStyle w:val="BodyText"/>
        <w:spacing w:before="70"/>
        <w:ind w:left="1540" w:right="855"/>
      </w:pPr>
      <w:r>
        <w:rPr/>
        <w:t>příjemce písemně informován a veškeré finanční prostředky musí do 15 pracovních dnů vrátit společnosti The Company, nebo musí pokračovat ve schválených činnostech.</w:t>
      </w:r>
    </w:p>
    <w:p>
      <w:pPr>
        <w:pStyle w:val="BodyText"/>
        <w:spacing w:before="10"/>
        <w:rPr>
          <w:sz w:val="20"/>
        </w:rPr>
      </w:pPr>
    </w:p>
    <w:p>
      <w:pPr>
        <w:pStyle w:val="ListParagraph"/>
        <w:numPr>
          <w:ilvl w:val="1"/>
          <w:numId w:val="1"/>
        </w:numPr>
        <w:tabs>
          <w:tab w:pos="1541" w:val="left" w:leader="none"/>
        </w:tabs>
        <w:spacing w:line="240" w:lineRule="auto" w:before="0" w:after="0"/>
        <w:ind w:left="1540" w:right="0" w:hanging="360"/>
        <w:jc w:val="left"/>
        <w:rPr>
          <w:sz w:val="24"/>
        </w:rPr>
      </w:pPr>
      <w:r>
        <w:rPr>
          <w:spacing w:val="-60"/>
          <w:sz w:val="24"/>
          <w:u w:val="single"/>
        </w:rPr>
        <w:t> </w:t>
      </w:r>
      <w:r>
        <w:rPr>
          <w:sz w:val="24"/>
          <w:u w:val="single"/>
        </w:rPr>
        <w:t>Činnost při ukončení / nesplnění povinnosti včasné realizace</w:t>
      </w:r>
      <w:r>
        <w:rPr>
          <w:spacing w:val="-4"/>
          <w:sz w:val="24"/>
        </w:rPr>
        <w:t> </w:t>
      </w:r>
      <w:r>
        <w:rPr>
          <w:sz w:val="24"/>
        </w:rPr>
        <w:t>.</w:t>
      </w:r>
    </w:p>
    <w:p>
      <w:pPr>
        <w:pStyle w:val="BodyText"/>
        <w:spacing w:before="10"/>
        <w:rPr>
          <w:sz w:val="20"/>
        </w:rPr>
      </w:pPr>
    </w:p>
    <w:p>
      <w:pPr>
        <w:pStyle w:val="ListParagraph"/>
        <w:numPr>
          <w:ilvl w:val="2"/>
          <w:numId w:val="1"/>
        </w:numPr>
        <w:tabs>
          <w:tab w:pos="2260" w:val="left" w:leader="none"/>
          <w:tab w:pos="2261" w:val="left" w:leader="none"/>
        </w:tabs>
        <w:spacing w:line="240" w:lineRule="auto" w:before="0" w:after="0"/>
        <w:ind w:left="2260" w:right="663" w:hanging="487"/>
        <w:jc w:val="left"/>
        <w:rPr>
          <w:sz w:val="24"/>
        </w:rPr>
      </w:pPr>
      <w:r>
        <w:rPr>
          <w:sz w:val="24"/>
        </w:rPr>
        <w:t>V případě, že příjemce nebo určená třetí strana neprovede navrženou činnost v časovém rámci dle žádosti nebo že příjemce či partneři neprovedou činnost dle specifikací uvedených v této dohodě nebo v žádosti, vrátí příjemce finanční prostředky společnosti The</w:t>
      </w:r>
      <w:r>
        <w:rPr>
          <w:spacing w:val="-14"/>
          <w:sz w:val="24"/>
        </w:rPr>
        <w:t> </w:t>
      </w:r>
      <w:r>
        <w:rPr>
          <w:sz w:val="24"/>
        </w:rPr>
        <w:t>Company (nebo pokud finanční prostředky ještě příjemci nebyly převedeny, společnost The Company je příjemci neposkytne) a již nebude</w:t>
      </w:r>
      <w:r>
        <w:rPr>
          <w:spacing w:val="-8"/>
          <w:sz w:val="24"/>
        </w:rPr>
        <w:t> </w:t>
      </w:r>
      <w:r>
        <w:rPr>
          <w:sz w:val="24"/>
        </w:rPr>
        <w:t>od</w:t>
      </w:r>
    </w:p>
    <w:p>
      <w:pPr>
        <w:pStyle w:val="BodyText"/>
        <w:ind w:left="2260" w:right="454"/>
      </w:pPr>
      <w:r>
        <w:rPr/>
        <w:t>společnosti The Company další finanční prostředky na takovou činnost žádat.</w:t>
      </w:r>
    </w:p>
    <w:p>
      <w:pPr>
        <w:pStyle w:val="BodyText"/>
        <w:spacing w:before="10"/>
        <w:rPr>
          <w:sz w:val="20"/>
        </w:rPr>
      </w:pPr>
    </w:p>
    <w:p>
      <w:pPr>
        <w:pStyle w:val="ListParagraph"/>
        <w:numPr>
          <w:ilvl w:val="2"/>
          <w:numId w:val="1"/>
        </w:numPr>
        <w:tabs>
          <w:tab w:pos="2260" w:val="left" w:leader="none"/>
          <w:tab w:pos="2261" w:val="left" w:leader="none"/>
        </w:tabs>
        <w:spacing w:line="240" w:lineRule="auto" w:before="0" w:after="0"/>
        <w:ind w:left="2260" w:right="798" w:hanging="553"/>
        <w:jc w:val="left"/>
        <w:rPr>
          <w:sz w:val="24"/>
        </w:rPr>
      </w:pPr>
      <w:r>
        <w:rPr>
          <w:sz w:val="24"/>
        </w:rPr>
        <w:t>Příjemce je ve vztahu k příslušné žádosti povinen dodržet postup společnosti The Company při ukončení činností. Příjemce na</w:t>
      </w:r>
      <w:r>
        <w:rPr>
          <w:spacing w:val="-15"/>
          <w:sz w:val="24"/>
        </w:rPr>
        <w:t> </w:t>
      </w:r>
      <w:r>
        <w:rPr>
          <w:sz w:val="24"/>
        </w:rPr>
        <w:t>výzvu</w:t>
      </w:r>
    </w:p>
    <w:p>
      <w:pPr>
        <w:pStyle w:val="BodyText"/>
        <w:ind w:left="2260" w:right="229"/>
      </w:pPr>
      <w:r>
        <w:rPr/>
        <w:t>společnosti The Company doloží, že činnosti spojené s žádostí skutečně proběhly. Příjemce může být dále požádán o dokumentaci, která dokládá, jak byly finanční prostředky od společnosti The Company vynaloženy.</w:t>
      </w:r>
    </w:p>
    <w:p>
      <w:pPr>
        <w:pStyle w:val="BodyText"/>
        <w:ind w:left="2260" w:right="102"/>
      </w:pPr>
      <w:r>
        <w:rPr/>
        <w:t>Příjemce potvrzuje a souhlasí, že společnosti The Company vrátí všechny nevyčerpané finanční prostředky. „Nevyčerpanými finančními</w:t>
      </w:r>
      <w:r>
        <w:rPr>
          <w:spacing w:val="-11"/>
        </w:rPr>
        <w:t> </w:t>
      </w:r>
      <w:r>
        <w:rPr/>
        <w:t>prostředky“ se rozumí jakékoliv finanční prostředky, které společnost The Company poskytla příjemci a které nebyly vynaloženy v souladu s žádostí. Příjemce provede ukončení činností a jejich předání společnosti The Company do 90 dnů od data ukončení programu uvedeného v žádosti. Společnost The Company může lhůtu pro uzavření dle vlastního uvážení písemně prodloužit. Jakékoliv finanční prostředky, které nebudou využity pro danou činnost, budou za všech okolností vráceny společnosti</w:t>
      </w:r>
      <w:r>
        <w:rPr>
          <w:spacing w:val="-9"/>
        </w:rPr>
        <w:t> </w:t>
      </w:r>
      <w:r>
        <w:rPr/>
        <w:t>The</w:t>
      </w:r>
    </w:p>
    <w:p>
      <w:pPr>
        <w:pStyle w:val="BodyText"/>
        <w:spacing w:line="275" w:lineRule="exact"/>
        <w:ind w:left="2260"/>
      </w:pPr>
      <w:r>
        <w:rPr/>
        <w:t>Company do 90 dnů po ukončení činnosti.</w:t>
      </w:r>
    </w:p>
    <w:p>
      <w:pPr>
        <w:pStyle w:val="BodyText"/>
        <w:spacing w:before="10"/>
        <w:rPr>
          <w:sz w:val="20"/>
        </w:rPr>
      </w:pPr>
    </w:p>
    <w:p>
      <w:pPr>
        <w:pStyle w:val="ListParagraph"/>
        <w:numPr>
          <w:ilvl w:val="2"/>
          <w:numId w:val="1"/>
        </w:numPr>
        <w:tabs>
          <w:tab w:pos="2260" w:val="left" w:leader="none"/>
          <w:tab w:pos="2261" w:val="left" w:leader="none"/>
        </w:tabs>
        <w:spacing w:line="240" w:lineRule="auto" w:before="1" w:after="0"/>
        <w:ind w:left="2260" w:right="101" w:hanging="620"/>
        <w:jc w:val="left"/>
        <w:rPr>
          <w:sz w:val="24"/>
        </w:rPr>
      </w:pPr>
      <w:r>
        <w:rPr>
          <w:sz w:val="24"/>
        </w:rPr>
        <w:t>Pokud budou finanční prostředky použity na kongres financovaný</w:t>
      </w:r>
      <w:r>
        <w:rPr>
          <w:spacing w:val="-13"/>
          <w:sz w:val="24"/>
        </w:rPr>
        <w:t> </w:t>
      </w:r>
      <w:r>
        <w:rPr>
          <w:sz w:val="24"/>
        </w:rPr>
        <w:t>různými sponzory a tato informace byla uvedena v žádosti, lze nevyčerpané finanční prostředky použít na podporu obecného poslání příslušné organizace, pokud nejsou výše stanoveny žádné výjimky a jedná se o neziskovou</w:t>
      </w:r>
      <w:r>
        <w:rPr>
          <w:spacing w:val="-1"/>
          <w:sz w:val="24"/>
        </w:rPr>
        <w:t> </w:t>
      </w:r>
      <w:r>
        <w:rPr>
          <w:sz w:val="24"/>
        </w:rPr>
        <w:t>organizaci.</w:t>
      </w:r>
    </w:p>
    <w:p>
      <w:pPr>
        <w:pStyle w:val="BodyText"/>
        <w:spacing w:before="3"/>
        <w:rPr>
          <w:sz w:val="13"/>
        </w:rPr>
      </w:pPr>
    </w:p>
    <w:p>
      <w:pPr>
        <w:pStyle w:val="Heading1"/>
        <w:numPr>
          <w:ilvl w:val="0"/>
          <w:numId w:val="1"/>
        </w:numPr>
        <w:tabs>
          <w:tab w:pos="821" w:val="left" w:leader="none"/>
        </w:tabs>
        <w:spacing w:line="240" w:lineRule="auto" w:before="90" w:after="0"/>
        <w:ind w:left="820" w:right="0" w:hanging="360"/>
        <w:jc w:val="left"/>
      </w:pPr>
      <w:r>
        <w:rPr/>
        <w:t>Různé</w:t>
      </w:r>
    </w:p>
    <w:p>
      <w:pPr>
        <w:pStyle w:val="BodyText"/>
        <w:spacing w:before="7"/>
        <w:rPr>
          <w:b/>
          <w:sz w:val="20"/>
        </w:rPr>
      </w:pPr>
    </w:p>
    <w:p>
      <w:pPr>
        <w:pStyle w:val="ListParagraph"/>
        <w:numPr>
          <w:ilvl w:val="1"/>
          <w:numId w:val="1"/>
        </w:numPr>
        <w:tabs>
          <w:tab w:pos="1541" w:val="left" w:leader="none"/>
        </w:tabs>
        <w:spacing w:line="240" w:lineRule="auto" w:before="0" w:after="0"/>
        <w:ind w:left="1540" w:right="175" w:hanging="360"/>
        <w:jc w:val="left"/>
        <w:rPr>
          <w:sz w:val="24"/>
        </w:rPr>
      </w:pPr>
      <w:r>
        <w:rPr>
          <w:sz w:val="24"/>
          <w:u w:val="single"/>
        </w:rPr>
        <w:t>Obsah</w:t>
      </w:r>
      <w:r>
        <w:rPr>
          <w:sz w:val="24"/>
        </w:rPr>
        <w:t> . Pokud společnost The Company financuje činnost nebo materiál</w:t>
      </w:r>
      <w:r>
        <w:rPr>
          <w:spacing w:val="-21"/>
          <w:sz w:val="24"/>
        </w:rPr>
        <w:t> </w:t>
      </w:r>
      <w:r>
        <w:rPr>
          <w:sz w:val="24"/>
        </w:rPr>
        <w:t>popsaný v žádosti, zachová si příjemce podstatnou míru kontroly nad obsahem, kvalitou, organizací, provozem, vědeckou integritou takové činnosti a materiálů, hodnocením činnosti jakož i nad výběrem řečníků, moderátorů, autorů, editorů, hostujících přispěvatelů i nad dalšími aspekty činnosti či materiálu, a nebudou-li místní předpisy vyžadovat jinak, společnost The Company se na výše uvedeném nebude nijak podílet ani nad tím nebude mít žádnou podstatnou (přímou</w:t>
      </w:r>
      <w:r>
        <w:rPr>
          <w:spacing w:val="-5"/>
          <w:sz w:val="24"/>
        </w:rPr>
        <w:t> </w:t>
      </w:r>
      <w:r>
        <w:rPr>
          <w:sz w:val="24"/>
        </w:rPr>
        <w:t>ani</w:t>
      </w:r>
    </w:p>
    <w:p>
      <w:pPr>
        <w:pStyle w:val="BodyText"/>
        <w:ind w:left="1540" w:right="668"/>
      </w:pPr>
      <w:r>
        <w:rPr/>
        <w:t>nepřímou) kontrolu. Toto ustanovení se nevztahuje na potenciální využití případných přínosů spojených s žádostí ze strany společnosti The Company.</w:t>
      </w:r>
    </w:p>
    <w:p>
      <w:pPr>
        <w:spacing w:after="0"/>
        <w:sectPr>
          <w:pgSz w:w="12240" w:h="15840"/>
          <w:pgMar w:top="1080" w:bottom="280" w:left="1340" w:right="1340"/>
        </w:sectPr>
      </w:pPr>
    </w:p>
    <w:p>
      <w:pPr>
        <w:pStyle w:val="ListParagraph"/>
        <w:numPr>
          <w:ilvl w:val="1"/>
          <w:numId w:val="1"/>
        </w:numPr>
        <w:tabs>
          <w:tab w:pos="1541" w:val="left" w:leader="none"/>
        </w:tabs>
        <w:spacing w:line="240" w:lineRule="auto" w:before="70" w:after="0"/>
        <w:ind w:left="1540" w:right="0" w:hanging="360"/>
        <w:jc w:val="left"/>
        <w:rPr>
          <w:sz w:val="24"/>
        </w:rPr>
      </w:pPr>
      <w:r>
        <w:rPr>
          <w:spacing w:val="-60"/>
          <w:sz w:val="24"/>
          <w:u w:val="single"/>
        </w:rPr>
        <w:t> </w:t>
      </w:r>
      <w:r>
        <w:rPr>
          <w:sz w:val="24"/>
          <w:u w:val="single"/>
        </w:rPr>
        <w:t>Nezávislost příjemce</w:t>
      </w:r>
      <w:r>
        <w:rPr>
          <w:sz w:val="24"/>
        </w:rPr>
        <w:t> . Aby se vyloučily jakékoliv pochybnosti a nehledě</w:t>
      </w:r>
      <w:r>
        <w:rPr>
          <w:spacing w:val="-10"/>
          <w:sz w:val="24"/>
        </w:rPr>
        <w:t> </w:t>
      </w:r>
      <w:r>
        <w:rPr>
          <w:sz w:val="24"/>
        </w:rPr>
        <w:t>na</w:t>
      </w:r>
    </w:p>
    <w:p>
      <w:pPr>
        <w:pStyle w:val="BodyText"/>
        <w:ind w:left="1540" w:right="161"/>
      </w:pPr>
      <w:r>
        <w:rPr/>
        <w:t>kterákoliv další ustanovení této dohody, bude příjemce všechny činnosti provádět jako nezávislá strana. Žádné ustanovení této dohody nelze vykládat tak, jako by smluvní strany nebo jejich pracovníci měli mezi sebou vztah zaměstnavatele a</w:t>
      </w:r>
    </w:p>
    <w:p>
      <w:pPr>
        <w:pStyle w:val="BodyText"/>
        <w:ind w:left="1540" w:right="803"/>
      </w:pPr>
      <w:r>
        <w:rPr/>
        <w:t>zaměstnance, partnerů, zmocnitele a zmocněnce, společného podniku nebo pojistitele či zástupce jiné strany v rámci této dohody.</w:t>
      </w:r>
    </w:p>
    <w:p>
      <w:pPr>
        <w:pStyle w:val="BodyText"/>
        <w:spacing w:before="10"/>
        <w:rPr>
          <w:sz w:val="20"/>
        </w:rPr>
      </w:pPr>
    </w:p>
    <w:p>
      <w:pPr>
        <w:pStyle w:val="ListParagraph"/>
        <w:numPr>
          <w:ilvl w:val="1"/>
          <w:numId w:val="1"/>
        </w:numPr>
        <w:tabs>
          <w:tab w:pos="1541" w:val="left" w:leader="none"/>
        </w:tabs>
        <w:spacing w:line="240" w:lineRule="auto" w:before="0" w:after="0"/>
        <w:ind w:left="1540" w:right="447" w:hanging="360"/>
        <w:jc w:val="left"/>
        <w:rPr>
          <w:sz w:val="24"/>
        </w:rPr>
      </w:pPr>
      <w:r>
        <w:rPr>
          <w:spacing w:val="-60"/>
          <w:sz w:val="24"/>
          <w:u w:val="single"/>
        </w:rPr>
        <w:t> </w:t>
      </w:r>
      <w:r>
        <w:rPr>
          <w:sz w:val="24"/>
          <w:u w:val="single"/>
        </w:rPr>
        <w:t>Zveřejnění</w:t>
      </w:r>
      <w:r>
        <w:rPr>
          <w:sz w:val="24"/>
        </w:rPr>
        <w:t> . Podmínkou poskytnutí finančních prostředků od společnosti The Company na danou činnost dle této dohody je to, že tato podpora ze strany společnosti The Company bude zveřejněna ve všech pozvánkách,</w:t>
      </w:r>
      <w:r>
        <w:rPr>
          <w:spacing w:val="-13"/>
          <w:sz w:val="24"/>
        </w:rPr>
        <w:t> </w:t>
      </w:r>
      <w:r>
        <w:rPr>
          <w:sz w:val="24"/>
        </w:rPr>
        <w:t>oznámeních,</w:t>
      </w:r>
    </w:p>
    <w:p>
      <w:pPr>
        <w:pStyle w:val="BodyText"/>
        <w:ind w:left="1540" w:right="210"/>
      </w:pPr>
      <w:r>
        <w:rPr/>
        <w:t>brožurách, informačních e-mailech a materiálech ke kurzu. Jakékoliv jiné použití názvu The Company musí být předem schváleno.</w:t>
      </w:r>
    </w:p>
    <w:p>
      <w:pPr>
        <w:pStyle w:val="BodyText"/>
        <w:spacing w:before="10"/>
        <w:rPr>
          <w:sz w:val="20"/>
        </w:rPr>
      </w:pPr>
    </w:p>
    <w:p>
      <w:pPr>
        <w:pStyle w:val="ListParagraph"/>
        <w:numPr>
          <w:ilvl w:val="1"/>
          <w:numId w:val="1"/>
        </w:numPr>
        <w:tabs>
          <w:tab w:pos="1541" w:val="left" w:leader="none"/>
        </w:tabs>
        <w:spacing w:line="240" w:lineRule="auto" w:before="0" w:after="0"/>
        <w:ind w:left="1540" w:right="0" w:hanging="360"/>
        <w:jc w:val="left"/>
        <w:rPr>
          <w:sz w:val="24"/>
        </w:rPr>
      </w:pPr>
      <w:r>
        <w:rPr>
          <w:spacing w:val="-60"/>
          <w:sz w:val="24"/>
          <w:u w:val="single"/>
        </w:rPr>
        <w:t> </w:t>
      </w:r>
      <w:r>
        <w:rPr>
          <w:sz w:val="24"/>
          <w:u w:val="single"/>
        </w:rPr>
        <w:t>Požadavky na</w:t>
      </w:r>
      <w:r>
        <w:rPr>
          <w:spacing w:val="-2"/>
          <w:sz w:val="24"/>
          <w:u w:val="single"/>
        </w:rPr>
        <w:t> </w:t>
      </w:r>
      <w:r>
        <w:rPr>
          <w:sz w:val="24"/>
          <w:u w:val="single"/>
        </w:rPr>
        <w:t>transparentnost</w:t>
      </w:r>
      <w:r>
        <w:rPr>
          <w:sz w:val="24"/>
        </w:rPr>
        <w:t>.</w:t>
      </w:r>
    </w:p>
    <w:p>
      <w:pPr>
        <w:pStyle w:val="BodyText"/>
        <w:spacing w:before="10"/>
        <w:rPr>
          <w:sz w:val="20"/>
        </w:rPr>
      </w:pPr>
    </w:p>
    <w:p>
      <w:pPr>
        <w:pStyle w:val="ListParagraph"/>
        <w:numPr>
          <w:ilvl w:val="2"/>
          <w:numId w:val="1"/>
        </w:numPr>
        <w:tabs>
          <w:tab w:pos="2260" w:val="left" w:leader="none"/>
          <w:tab w:pos="2261" w:val="left" w:leader="none"/>
        </w:tabs>
        <w:spacing w:line="240" w:lineRule="auto" w:before="0" w:after="0"/>
        <w:ind w:left="2260" w:right="578" w:hanging="487"/>
        <w:jc w:val="left"/>
        <w:rPr>
          <w:sz w:val="24"/>
        </w:rPr>
      </w:pPr>
      <w:r>
        <w:rPr>
          <w:sz w:val="24"/>
        </w:rPr>
        <w:t>Příjemce bere na vědomí, že na společnost The Company se vztahují všechny platné zákony, předpisy a oborové kodexy související se shromažďováním a hlášením jakýchkoliv plateb nebo převodů</w:t>
      </w:r>
      <w:r>
        <w:rPr>
          <w:spacing w:val="-14"/>
          <w:sz w:val="24"/>
        </w:rPr>
        <w:t> </w:t>
      </w:r>
      <w:r>
        <w:rPr>
          <w:sz w:val="24"/>
        </w:rPr>
        <w:t>hodnot určitým poskytovatelům zdravotní péče, zdravotnickým zařízením a fakultním nemocnicím (dále společně jen „požadavky na</w:t>
      </w:r>
      <w:r>
        <w:rPr>
          <w:spacing w:val="-8"/>
          <w:sz w:val="24"/>
        </w:rPr>
        <w:t> </w:t>
      </w:r>
      <w:r>
        <w:rPr>
          <w:sz w:val="24"/>
        </w:rPr>
        <w:t>finanční</w:t>
      </w:r>
    </w:p>
    <w:p>
      <w:pPr>
        <w:pStyle w:val="BodyText"/>
        <w:ind w:left="2260" w:right="242"/>
      </w:pPr>
      <w:r>
        <w:rPr/>
        <w:t>transparentnost“) a příslušné prováděcí předpisy; v zemi, kde jsou takové požadavky dobrovolné, je společnost The Company oprávněna hlásit případné platby nebo převody hodnot regulatornímu orgánu.</w:t>
      </w:r>
    </w:p>
    <w:p>
      <w:pPr>
        <w:pStyle w:val="BodyText"/>
        <w:spacing w:before="10"/>
        <w:rPr>
          <w:sz w:val="20"/>
        </w:rPr>
      </w:pPr>
    </w:p>
    <w:p>
      <w:pPr>
        <w:pStyle w:val="ListParagraph"/>
        <w:numPr>
          <w:ilvl w:val="2"/>
          <w:numId w:val="1"/>
        </w:numPr>
        <w:tabs>
          <w:tab w:pos="2260" w:val="left" w:leader="none"/>
          <w:tab w:pos="2261" w:val="left" w:leader="none"/>
        </w:tabs>
        <w:spacing w:line="240" w:lineRule="auto" w:before="1" w:after="0"/>
        <w:ind w:left="2260" w:right="329" w:hanging="553"/>
        <w:jc w:val="left"/>
        <w:rPr>
          <w:sz w:val="24"/>
        </w:rPr>
      </w:pPr>
      <w:r>
        <w:rPr>
          <w:sz w:val="24"/>
        </w:rPr>
        <w:t>Příjemce bude se společností The Company přiměřeně spolupracovat</w:t>
      </w:r>
      <w:r>
        <w:rPr>
          <w:spacing w:val="-21"/>
          <w:sz w:val="24"/>
        </w:rPr>
        <w:t> </w:t>
      </w:r>
      <w:r>
        <w:rPr>
          <w:sz w:val="24"/>
        </w:rPr>
        <w:t>při dodržování požadavků na finanční transparentnost v souvislosti s touto dohodou.</w:t>
      </w:r>
    </w:p>
    <w:p>
      <w:pPr>
        <w:pStyle w:val="BodyText"/>
        <w:spacing w:before="10"/>
        <w:rPr>
          <w:sz w:val="20"/>
        </w:rPr>
      </w:pPr>
    </w:p>
    <w:p>
      <w:pPr>
        <w:pStyle w:val="ListParagraph"/>
        <w:numPr>
          <w:ilvl w:val="2"/>
          <w:numId w:val="1"/>
        </w:numPr>
        <w:tabs>
          <w:tab w:pos="2260" w:val="left" w:leader="none"/>
          <w:tab w:pos="2261" w:val="left" w:leader="none"/>
        </w:tabs>
        <w:spacing w:line="240" w:lineRule="auto" w:before="0" w:after="0"/>
        <w:ind w:left="2260" w:right="197" w:hanging="620"/>
        <w:jc w:val="left"/>
        <w:rPr>
          <w:sz w:val="24"/>
        </w:rPr>
      </w:pPr>
      <w:r>
        <w:rPr>
          <w:sz w:val="24"/>
        </w:rPr>
        <w:t>Příjemce společnosti The Company neprodleně a v požadovaném</w:t>
      </w:r>
      <w:r>
        <w:rPr>
          <w:spacing w:val="-18"/>
          <w:sz w:val="24"/>
        </w:rPr>
        <w:t> </w:t>
      </w:r>
      <w:r>
        <w:rPr>
          <w:sz w:val="24"/>
        </w:rPr>
        <w:t>formátu poskytne veškeré informace, které společnost The Company dle</w:t>
      </w:r>
      <w:r>
        <w:rPr>
          <w:spacing w:val="-9"/>
          <w:sz w:val="24"/>
        </w:rPr>
        <w:t> </w:t>
      </w:r>
      <w:r>
        <w:rPr>
          <w:sz w:val="24"/>
        </w:rPr>
        <w:t>svého</w:t>
      </w:r>
    </w:p>
    <w:p>
      <w:pPr>
        <w:pStyle w:val="BodyText"/>
        <w:ind w:left="2260" w:right="401"/>
      </w:pPr>
      <w:r>
        <w:rPr/>
        <w:t>mínění potřebuje k dodržování požadavků na finanční transparentnost </w:t>
      </w:r>
      <w:r>
        <w:rPr>
          <w:spacing w:val="-13"/>
        </w:rPr>
        <w:t>v </w:t>
      </w:r>
      <w:r>
        <w:rPr/>
        <w:t>souvislosti s touto</w:t>
      </w:r>
      <w:r>
        <w:rPr>
          <w:spacing w:val="-2"/>
        </w:rPr>
        <w:t> </w:t>
      </w:r>
      <w:r>
        <w:rPr/>
        <w:t>dohodou.</w:t>
      </w:r>
    </w:p>
    <w:p>
      <w:pPr>
        <w:pStyle w:val="BodyText"/>
        <w:spacing w:before="9"/>
        <w:rPr>
          <w:sz w:val="20"/>
        </w:rPr>
      </w:pPr>
    </w:p>
    <w:p>
      <w:pPr>
        <w:pStyle w:val="ListParagraph"/>
        <w:numPr>
          <w:ilvl w:val="2"/>
          <w:numId w:val="1"/>
        </w:numPr>
        <w:tabs>
          <w:tab w:pos="2260" w:val="left" w:leader="none"/>
          <w:tab w:pos="2261" w:val="left" w:leader="none"/>
        </w:tabs>
        <w:spacing w:line="240" w:lineRule="auto" w:before="0" w:after="0"/>
        <w:ind w:left="2260" w:right="135" w:hanging="607"/>
        <w:jc w:val="left"/>
        <w:rPr>
          <w:sz w:val="24"/>
        </w:rPr>
      </w:pPr>
      <w:r>
        <w:rPr>
          <w:sz w:val="24"/>
        </w:rPr>
        <w:t>Bez ohledu na cokoliv protichůdného, co je uvedeno v této dohodě, může společnost The Company sdělit jakékoliv informace, které důvodně považuje za nezbytné pro dodržení požadavků na finanční</w:t>
      </w:r>
      <w:r>
        <w:rPr>
          <w:spacing w:val="-9"/>
          <w:sz w:val="24"/>
        </w:rPr>
        <w:t> </w:t>
      </w:r>
      <w:r>
        <w:rPr>
          <w:sz w:val="24"/>
        </w:rPr>
        <w:t>transparentnost.</w:t>
      </w:r>
    </w:p>
    <w:p>
      <w:pPr>
        <w:pStyle w:val="BodyText"/>
        <w:spacing w:before="10"/>
        <w:rPr>
          <w:sz w:val="20"/>
        </w:rPr>
      </w:pPr>
    </w:p>
    <w:p>
      <w:pPr>
        <w:pStyle w:val="ListParagraph"/>
        <w:numPr>
          <w:ilvl w:val="2"/>
          <w:numId w:val="1"/>
        </w:numPr>
        <w:tabs>
          <w:tab w:pos="2260" w:val="left" w:leader="none"/>
          <w:tab w:pos="2261" w:val="left" w:leader="none"/>
        </w:tabs>
        <w:spacing w:line="240" w:lineRule="auto" w:before="0" w:after="0"/>
        <w:ind w:left="2260" w:right="208" w:hanging="540"/>
        <w:jc w:val="left"/>
        <w:rPr>
          <w:sz w:val="24"/>
        </w:rPr>
      </w:pPr>
      <w:r>
        <w:rPr>
          <w:sz w:val="24"/>
        </w:rPr>
        <w:t>Příjemce tímto v rozsahu požadovaném příslušnými právními předpisy</w:t>
      </w:r>
      <w:r>
        <w:rPr>
          <w:spacing w:val="-19"/>
          <w:sz w:val="24"/>
        </w:rPr>
        <w:t> </w:t>
      </w:r>
      <w:r>
        <w:rPr>
          <w:sz w:val="24"/>
        </w:rPr>
        <w:t>na ochranu osobních údajů dává svůj souhlas se sdělením</w:t>
      </w:r>
      <w:r>
        <w:rPr>
          <w:spacing w:val="-8"/>
          <w:sz w:val="24"/>
        </w:rPr>
        <w:t> </w:t>
      </w:r>
      <w:r>
        <w:rPr>
          <w:sz w:val="24"/>
        </w:rPr>
        <w:t>veškerých</w:t>
      </w:r>
    </w:p>
    <w:p>
      <w:pPr>
        <w:pStyle w:val="BodyText"/>
        <w:ind w:left="2260" w:right="568"/>
      </w:pPr>
      <w:r>
        <w:rPr/>
        <w:t>informací, které společnost The Company důvodně považuje za nutné sdělit pro účely dodržování požadavků na finanční transparentnost v souvislosti s touto dohodou.</w:t>
      </w:r>
    </w:p>
    <w:p>
      <w:pPr>
        <w:pStyle w:val="BodyText"/>
        <w:spacing w:before="10"/>
        <w:rPr>
          <w:sz w:val="20"/>
        </w:rPr>
      </w:pPr>
    </w:p>
    <w:p>
      <w:pPr>
        <w:pStyle w:val="ListParagraph"/>
        <w:numPr>
          <w:ilvl w:val="1"/>
          <w:numId w:val="1"/>
        </w:numPr>
        <w:tabs>
          <w:tab w:pos="1541" w:val="left" w:leader="none"/>
        </w:tabs>
        <w:spacing w:line="240" w:lineRule="auto" w:before="0" w:after="0"/>
        <w:ind w:left="1540" w:right="0" w:hanging="360"/>
        <w:jc w:val="left"/>
        <w:rPr>
          <w:sz w:val="24"/>
        </w:rPr>
      </w:pPr>
      <w:r>
        <w:rPr>
          <w:spacing w:val="-60"/>
          <w:sz w:val="24"/>
          <w:u w:val="single"/>
        </w:rPr>
        <w:t> </w:t>
      </w:r>
      <w:r>
        <w:rPr>
          <w:sz w:val="24"/>
          <w:u w:val="single"/>
        </w:rPr>
        <w:t>Protikorupční požadavky</w:t>
      </w:r>
      <w:r>
        <w:rPr>
          <w:spacing w:val="-1"/>
          <w:sz w:val="24"/>
        </w:rPr>
        <w:t> </w:t>
      </w:r>
      <w:r>
        <w:rPr>
          <w:sz w:val="24"/>
        </w:rPr>
        <w:t>.</w:t>
      </w:r>
    </w:p>
    <w:p>
      <w:pPr>
        <w:pStyle w:val="BodyText"/>
        <w:spacing w:before="10"/>
        <w:rPr>
          <w:sz w:val="20"/>
        </w:rPr>
      </w:pPr>
    </w:p>
    <w:p>
      <w:pPr>
        <w:pStyle w:val="ListParagraph"/>
        <w:numPr>
          <w:ilvl w:val="2"/>
          <w:numId w:val="1"/>
        </w:numPr>
        <w:tabs>
          <w:tab w:pos="2260" w:val="left" w:leader="none"/>
          <w:tab w:pos="2261" w:val="left" w:leader="none"/>
        </w:tabs>
        <w:spacing w:line="240" w:lineRule="auto" w:before="0" w:after="0"/>
        <w:ind w:left="2260" w:right="279" w:hanging="487"/>
        <w:jc w:val="left"/>
        <w:rPr>
          <w:sz w:val="24"/>
        </w:rPr>
      </w:pPr>
      <w:r>
        <w:rPr>
          <w:sz w:val="24"/>
        </w:rPr>
        <w:t>Činnosti popsané v žádosti nejsou a nebudou nijak vázány na </w:t>
      </w:r>
      <w:r>
        <w:rPr>
          <w:spacing w:val="-3"/>
          <w:sz w:val="24"/>
        </w:rPr>
        <w:t>poskytnutí, </w:t>
      </w:r>
      <w:r>
        <w:rPr>
          <w:sz w:val="24"/>
        </w:rPr>
        <w:t>požadování, závazek přijmout nebo souhlas s přijetím, ať již přímo či nepřímo prostřednictvím třetích stran, jakýchkoliv plateb, darů</w:t>
      </w:r>
      <w:r>
        <w:rPr>
          <w:spacing w:val="-5"/>
          <w:sz w:val="24"/>
        </w:rPr>
        <w:t> </w:t>
      </w:r>
      <w:r>
        <w:rPr>
          <w:sz w:val="24"/>
        </w:rPr>
        <w:t>nebo</w:t>
      </w:r>
    </w:p>
    <w:p>
      <w:pPr>
        <w:pStyle w:val="BodyText"/>
        <w:spacing w:before="1"/>
        <w:ind w:left="2260" w:right="242"/>
      </w:pPr>
      <w:r>
        <w:rPr/>
        <w:t>čehokoliv cenného s cílem si nezákonným způsobem zajistit, udržet nebo získat výhodu v podnikání ani nesmějí takový dojem vyvolávat.</w:t>
      </w:r>
    </w:p>
    <w:p>
      <w:pPr>
        <w:spacing w:after="0"/>
        <w:sectPr>
          <w:pgSz w:w="12240" w:h="15840"/>
          <w:pgMar w:top="1080" w:bottom="280" w:left="1340" w:right="1340"/>
        </w:sectPr>
      </w:pPr>
    </w:p>
    <w:p>
      <w:pPr>
        <w:pStyle w:val="BodyText"/>
        <w:spacing w:before="66"/>
        <w:ind w:left="2260" w:right="235"/>
      </w:pPr>
      <w:r>
        <w:rPr/>
        <w:t>Mezi takové platby nebo hodnotné věci patří mimo jiné minulé, současné či budoucí předepisování, nakupování nebo doporučování (včetně</w:t>
      </w:r>
    </w:p>
    <w:p>
      <w:pPr>
        <w:pStyle w:val="BodyText"/>
        <w:ind w:left="2260" w:right="88"/>
      </w:pPr>
      <w:r>
        <w:rPr/>
        <w:t>lékových doporučení) léků/produktů nebo zkoumané látky společnosti The Company, cenové úlevy či slevy na ně nebo jakékoliv jiné obchodní transakce.</w:t>
      </w:r>
    </w:p>
    <w:p>
      <w:pPr>
        <w:pStyle w:val="BodyText"/>
        <w:spacing w:before="10"/>
        <w:rPr>
          <w:sz w:val="20"/>
        </w:rPr>
      </w:pPr>
    </w:p>
    <w:p>
      <w:pPr>
        <w:pStyle w:val="ListParagraph"/>
        <w:numPr>
          <w:ilvl w:val="2"/>
          <w:numId w:val="1"/>
        </w:numPr>
        <w:tabs>
          <w:tab w:pos="2260" w:val="left" w:leader="none"/>
          <w:tab w:pos="2261" w:val="left" w:leader="none"/>
        </w:tabs>
        <w:spacing w:line="240" w:lineRule="auto" w:before="0" w:after="0"/>
        <w:ind w:left="2260" w:right="108" w:hanging="553"/>
        <w:jc w:val="left"/>
        <w:rPr>
          <w:sz w:val="24"/>
        </w:rPr>
      </w:pPr>
      <w:r>
        <w:rPr>
          <w:sz w:val="24"/>
        </w:rPr>
        <w:t>Příjemce nepodnikl ani nepodnikne žádné kroky a neprovede ani</w:t>
      </w:r>
      <w:r>
        <w:rPr>
          <w:spacing w:val="-13"/>
          <w:sz w:val="24"/>
        </w:rPr>
        <w:t> </w:t>
      </w:r>
      <w:r>
        <w:rPr>
          <w:sz w:val="24"/>
        </w:rPr>
        <w:t>nepřislíbí provést žádné platby, které by byly v rozporu – nebo v důsledku kterých by se společnost The Company či kterákoliv její přidružená osoba dostaly do rozporu – s jakýmkoliv platným právním předpisem, včetně zákazu uplácení nebo plateb státním úředníkům za úplatné získání či udržení zakázky.</w:t>
      </w:r>
    </w:p>
    <w:p>
      <w:pPr>
        <w:pStyle w:val="BodyText"/>
        <w:spacing w:before="10"/>
        <w:rPr>
          <w:sz w:val="20"/>
        </w:rPr>
      </w:pPr>
    </w:p>
    <w:p>
      <w:pPr>
        <w:pStyle w:val="ListParagraph"/>
        <w:numPr>
          <w:ilvl w:val="1"/>
          <w:numId w:val="1"/>
        </w:numPr>
        <w:tabs>
          <w:tab w:pos="1540" w:val="left" w:leader="none"/>
          <w:tab w:pos="1541" w:val="left" w:leader="none"/>
        </w:tabs>
        <w:spacing w:line="240" w:lineRule="auto" w:before="0" w:after="0"/>
        <w:ind w:left="1540" w:right="0" w:hanging="360"/>
        <w:jc w:val="left"/>
        <w:rPr>
          <w:sz w:val="24"/>
        </w:rPr>
      </w:pPr>
      <w:r>
        <w:rPr>
          <w:sz w:val="24"/>
          <w:u w:val="single"/>
        </w:rPr>
        <w:t>Zákaz lobbování</w:t>
      </w:r>
      <w:r>
        <w:rPr>
          <w:sz w:val="24"/>
        </w:rPr>
        <w:t> . Příjemce nebude tyto finanční prostředky používat za</w:t>
      </w:r>
      <w:r>
        <w:rPr>
          <w:spacing w:val="-10"/>
          <w:sz w:val="24"/>
        </w:rPr>
        <w:t> </w:t>
      </w:r>
      <w:r>
        <w:rPr>
          <w:sz w:val="24"/>
        </w:rPr>
        <w:t>účelem</w:t>
      </w:r>
    </w:p>
    <w:p>
      <w:pPr>
        <w:pStyle w:val="ListParagraph"/>
        <w:numPr>
          <w:ilvl w:val="0"/>
          <w:numId w:val="2"/>
        </w:numPr>
        <w:tabs>
          <w:tab w:pos="1868" w:val="left" w:leader="none"/>
        </w:tabs>
        <w:spacing w:line="240" w:lineRule="auto" w:before="0" w:after="0"/>
        <w:ind w:left="1867" w:right="0" w:hanging="327"/>
        <w:jc w:val="left"/>
        <w:rPr>
          <w:sz w:val="24"/>
        </w:rPr>
      </w:pPr>
      <w:r>
        <w:rPr>
          <w:sz w:val="24"/>
        </w:rPr>
        <w:t>ovlivnění legislativy ve smyslu definovaném právními nebo jinými</w:t>
      </w:r>
      <w:r>
        <w:rPr>
          <w:spacing w:val="-7"/>
          <w:sz w:val="24"/>
        </w:rPr>
        <w:t> </w:t>
      </w:r>
      <w:r>
        <w:rPr>
          <w:sz w:val="24"/>
        </w:rPr>
        <w:t>předpisy,</w:t>
      </w:r>
    </w:p>
    <w:p>
      <w:pPr>
        <w:pStyle w:val="ListParagraph"/>
        <w:numPr>
          <w:ilvl w:val="0"/>
          <w:numId w:val="2"/>
        </w:numPr>
        <w:tabs>
          <w:tab w:pos="1881" w:val="left" w:leader="none"/>
        </w:tabs>
        <w:spacing w:line="240" w:lineRule="auto" w:before="0" w:after="0"/>
        <w:ind w:left="1540" w:right="280" w:firstLine="0"/>
        <w:jc w:val="left"/>
        <w:rPr>
          <w:sz w:val="24"/>
        </w:rPr>
      </w:pPr>
      <w:r>
        <w:rPr>
          <w:sz w:val="24"/>
        </w:rPr>
        <w:t>jiného lobbování na podporu či proti nějaké legislativě, (c) podpory nebo oponování jakémukoliv kandidátovi na veřejnou funkci nebo (d) organizování </w:t>
      </w:r>
      <w:r>
        <w:rPr>
          <w:spacing w:val="-6"/>
          <w:sz w:val="24"/>
        </w:rPr>
        <w:t>či </w:t>
      </w:r>
      <w:r>
        <w:rPr>
          <w:sz w:val="24"/>
        </w:rPr>
        <w:t>jiného ovlivňování zadávání zakázek nebo doporučování používání či</w:t>
      </w:r>
      <w:r>
        <w:rPr>
          <w:spacing w:val="-5"/>
          <w:sz w:val="24"/>
        </w:rPr>
        <w:t> </w:t>
      </w:r>
      <w:r>
        <w:rPr>
          <w:sz w:val="24"/>
        </w:rPr>
        <w:t>nákupu</w:t>
      </w:r>
    </w:p>
    <w:p>
      <w:pPr>
        <w:pStyle w:val="BodyText"/>
        <w:ind w:left="1540"/>
      </w:pPr>
      <w:r>
        <w:rPr/>
        <w:t>jakýchkoliv produktů společnosti The Company.</w:t>
      </w:r>
    </w:p>
    <w:p>
      <w:pPr>
        <w:pStyle w:val="BodyText"/>
        <w:spacing w:before="10"/>
        <w:rPr>
          <w:sz w:val="20"/>
        </w:rPr>
      </w:pPr>
    </w:p>
    <w:p>
      <w:pPr>
        <w:pStyle w:val="ListParagraph"/>
        <w:numPr>
          <w:ilvl w:val="1"/>
          <w:numId w:val="1"/>
        </w:numPr>
        <w:tabs>
          <w:tab w:pos="1541" w:val="left" w:leader="none"/>
        </w:tabs>
        <w:spacing w:line="240" w:lineRule="auto" w:before="0" w:after="0"/>
        <w:ind w:left="1540" w:right="146" w:hanging="360"/>
        <w:jc w:val="left"/>
        <w:rPr>
          <w:sz w:val="24"/>
        </w:rPr>
      </w:pPr>
      <w:r>
        <w:rPr>
          <w:sz w:val="24"/>
          <w:u w:val="single"/>
        </w:rPr>
        <w:t>Rozhodné právo</w:t>
      </w:r>
      <w:r>
        <w:rPr>
          <w:sz w:val="24"/>
        </w:rPr>
        <w:t> . Tato dohoda se řídí právním řádem České republiky bez ohledu na jeho ustanovení o kolizních normách. Příjemce bude finanční prostředky používat k danému účelu v souladu se všemi příslušnými místními zákony, předpisy a zásadami</w:t>
      </w:r>
      <w:r>
        <w:rPr>
          <w:spacing w:val="-2"/>
          <w:sz w:val="24"/>
        </w:rPr>
        <w:t> </w:t>
      </w:r>
      <w:r>
        <w:rPr>
          <w:sz w:val="24"/>
        </w:rPr>
        <w:t>jednání.</w:t>
      </w:r>
    </w:p>
    <w:p>
      <w:pPr>
        <w:pStyle w:val="BodyText"/>
        <w:spacing w:before="11"/>
        <w:rPr>
          <w:sz w:val="20"/>
        </w:rPr>
      </w:pPr>
    </w:p>
    <w:p>
      <w:pPr>
        <w:pStyle w:val="ListParagraph"/>
        <w:numPr>
          <w:ilvl w:val="1"/>
          <w:numId w:val="1"/>
        </w:numPr>
        <w:tabs>
          <w:tab w:pos="1541" w:val="left" w:leader="none"/>
        </w:tabs>
        <w:spacing w:line="240" w:lineRule="auto" w:before="0" w:after="0"/>
        <w:ind w:left="1540" w:right="272" w:hanging="360"/>
        <w:jc w:val="both"/>
        <w:rPr>
          <w:sz w:val="24"/>
        </w:rPr>
      </w:pPr>
      <w:r>
        <w:rPr>
          <w:sz w:val="24"/>
          <w:u w:val="single"/>
        </w:rPr>
        <w:t>Účinnost</w:t>
      </w:r>
      <w:r>
        <w:rPr>
          <w:sz w:val="24"/>
        </w:rPr>
        <w:t> . Tato dohoda nebude účinná a nebude platit žádný závazek poskytnutí finančních prostředků, dokud tento dokument nepodepíše příjemce. Tato </w:t>
      </w:r>
      <w:r>
        <w:rPr>
          <w:spacing w:val="-3"/>
          <w:sz w:val="24"/>
        </w:rPr>
        <w:t>dohoda </w:t>
      </w:r>
      <w:r>
        <w:rPr>
          <w:sz w:val="24"/>
        </w:rPr>
        <w:t>nabývá účinnosti dnem uveřejnění.</w:t>
      </w:r>
    </w:p>
    <w:p>
      <w:pPr>
        <w:pStyle w:val="BodyText"/>
        <w:rPr>
          <w:sz w:val="20"/>
        </w:rPr>
      </w:pPr>
    </w:p>
    <w:p>
      <w:pPr>
        <w:pStyle w:val="BodyText"/>
        <w:spacing w:before="11"/>
        <w:rPr>
          <w:sz w:val="16"/>
        </w:rPr>
      </w:pPr>
    </w:p>
    <w:p>
      <w:pPr>
        <w:pStyle w:val="ListParagraph"/>
        <w:numPr>
          <w:ilvl w:val="1"/>
          <w:numId w:val="1"/>
        </w:numPr>
        <w:tabs>
          <w:tab w:pos="1540" w:val="left" w:leader="none"/>
          <w:tab w:pos="1541" w:val="left" w:leader="none"/>
        </w:tabs>
        <w:spacing w:line="240" w:lineRule="auto" w:before="90" w:after="0"/>
        <w:ind w:left="1540" w:right="513" w:hanging="360"/>
        <w:jc w:val="left"/>
        <w:rPr>
          <w:sz w:val="24"/>
        </w:rPr>
      </w:pPr>
      <w:r>
        <w:rPr>
          <w:spacing w:val="-60"/>
          <w:sz w:val="24"/>
          <w:u w:val="single"/>
        </w:rPr>
        <w:t> </w:t>
      </w:r>
      <w:r>
        <w:rPr>
          <w:sz w:val="24"/>
          <w:u w:val="single"/>
        </w:rPr>
        <w:t>Uzavření dohody</w:t>
      </w:r>
      <w:r>
        <w:rPr>
          <w:sz w:val="24"/>
        </w:rPr>
        <w:t> . Tuto dohodu lze uzavřít současně v jednom nebo více vyhotoveních, přičemž každé z nich bude považováno za originál a všechna dohromady budou tvořit jednu a tutéž listinu; faksimile podpisu připojeného</w:t>
      </w:r>
      <w:r>
        <w:rPr>
          <w:spacing w:val="-10"/>
          <w:sz w:val="24"/>
        </w:rPr>
        <w:t> </w:t>
      </w:r>
      <w:r>
        <w:rPr>
          <w:sz w:val="24"/>
        </w:rPr>
        <w:t>k této dohodě bude považována za originální</w:t>
      </w:r>
      <w:r>
        <w:rPr>
          <w:spacing w:val="-2"/>
          <w:sz w:val="24"/>
        </w:rPr>
        <w:t> </w:t>
      </w:r>
      <w:r>
        <w:rPr>
          <w:sz w:val="24"/>
        </w:rPr>
        <w:t>podpis.</w:t>
      </w:r>
    </w:p>
    <w:p>
      <w:pPr>
        <w:pStyle w:val="BodyText"/>
        <w:spacing w:before="10"/>
        <w:rPr>
          <w:sz w:val="20"/>
        </w:rPr>
      </w:pPr>
    </w:p>
    <w:p>
      <w:pPr>
        <w:pStyle w:val="ListParagraph"/>
        <w:numPr>
          <w:ilvl w:val="1"/>
          <w:numId w:val="1"/>
        </w:numPr>
        <w:tabs>
          <w:tab w:pos="1540" w:val="left" w:leader="none"/>
          <w:tab w:pos="1541" w:val="left" w:leader="none"/>
        </w:tabs>
        <w:spacing w:line="240" w:lineRule="auto" w:before="0" w:after="0"/>
        <w:ind w:left="1540" w:right="193" w:hanging="360"/>
        <w:jc w:val="left"/>
        <w:rPr>
          <w:sz w:val="24"/>
        </w:rPr>
      </w:pPr>
      <w:r>
        <w:rPr>
          <w:spacing w:val="-60"/>
          <w:sz w:val="24"/>
          <w:u w:val="single"/>
        </w:rPr>
        <w:t> </w:t>
      </w:r>
      <w:r>
        <w:rPr>
          <w:sz w:val="24"/>
          <w:u w:val="single"/>
        </w:rPr>
        <w:t>Oddělitelnost ustanovení</w:t>
      </w:r>
      <w:r>
        <w:rPr>
          <w:sz w:val="24"/>
        </w:rPr>
        <w:t>. Pokud bude kterákoliv část, podmínka nebo</w:t>
      </w:r>
      <w:r>
        <w:rPr>
          <w:spacing w:val="-20"/>
          <w:sz w:val="24"/>
        </w:rPr>
        <w:t> </w:t>
      </w:r>
      <w:r>
        <w:rPr>
          <w:sz w:val="24"/>
        </w:rPr>
        <w:t>ustanovení této dohody prohlášeno za neplatné, neúčinné nebo nevymahatelné, zůstanou všechny zbývající části, podmínky a ustanovení této dohody plně platné a účinné a nijak tím nebudou zneplatněny, oslabeny nebo</w:t>
      </w:r>
      <w:r>
        <w:rPr>
          <w:spacing w:val="-4"/>
          <w:sz w:val="24"/>
        </w:rPr>
        <w:t> </w:t>
      </w:r>
      <w:r>
        <w:rPr>
          <w:sz w:val="24"/>
        </w:rPr>
        <w:t>dotčeny.</w:t>
      </w:r>
    </w:p>
    <w:p>
      <w:pPr>
        <w:pStyle w:val="BodyText"/>
        <w:spacing w:before="10"/>
        <w:rPr>
          <w:sz w:val="20"/>
        </w:rPr>
      </w:pPr>
    </w:p>
    <w:p>
      <w:pPr>
        <w:pStyle w:val="ListParagraph"/>
        <w:numPr>
          <w:ilvl w:val="1"/>
          <w:numId w:val="1"/>
        </w:numPr>
        <w:tabs>
          <w:tab w:pos="1541" w:val="left" w:leader="none"/>
        </w:tabs>
        <w:spacing w:line="240" w:lineRule="auto" w:before="0" w:after="0"/>
        <w:ind w:left="1540" w:right="191" w:hanging="360"/>
        <w:jc w:val="left"/>
        <w:rPr>
          <w:sz w:val="24"/>
        </w:rPr>
      </w:pPr>
      <w:r>
        <w:rPr>
          <w:spacing w:val="-60"/>
          <w:sz w:val="24"/>
          <w:u w:val="single"/>
        </w:rPr>
        <w:t> </w:t>
      </w:r>
      <w:r>
        <w:rPr>
          <w:sz w:val="24"/>
          <w:u w:val="single"/>
        </w:rPr>
        <w:t>Změny</w:t>
      </w:r>
      <w:r>
        <w:rPr>
          <w:sz w:val="24"/>
        </w:rPr>
        <w:t> . Změny této dohody budou závazné nebo vymahatelné vůči kterékoliv </w:t>
      </w:r>
      <w:r>
        <w:rPr>
          <w:spacing w:val="-6"/>
          <w:sz w:val="24"/>
        </w:rPr>
        <w:t>ze </w:t>
      </w:r>
      <w:r>
        <w:rPr>
          <w:sz w:val="24"/>
        </w:rPr>
        <w:t>smluvních stran pouze tehdy, budou-li podepsány všemi smluvními</w:t>
      </w:r>
      <w:r>
        <w:rPr>
          <w:spacing w:val="-8"/>
          <w:sz w:val="24"/>
        </w:rPr>
        <w:t> </w:t>
      </w:r>
      <w:r>
        <w:rPr>
          <w:sz w:val="24"/>
        </w:rPr>
        <w:t>stranami.</w:t>
      </w:r>
    </w:p>
    <w:p>
      <w:pPr>
        <w:pStyle w:val="BodyText"/>
      </w:pPr>
    </w:p>
    <w:p>
      <w:pPr>
        <w:pStyle w:val="ListParagraph"/>
        <w:numPr>
          <w:ilvl w:val="1"/>
          <w:numId w:val="1"/>
        </w:numPr>
        <w:tabs>
          <w:tab w:pos="1540" w:val="left" w:leader="none"/>
          <w:tab w:pos="1541" w:val="left" w:leader="none"/>
        </w:tabs>
        <w:spacing w:line="240" w:lineRule="auto" w:before="0" w:after="0"/>
        <w:ind w:left="1540" w:right="122" w:hanging="360"/>
        <w:jc w:val="left"/>
        <w:rPr>
          <w:sz w:val="24"/>
        </w:rPr>
      </w:pPr>
      <w:r>
        <w:rPr>
          <w:sz w:val="24"/>
          <w:u w:val="single"/>
        </w:rPr>
        <w:t>Úplná dohoda</w:t>
      </w:r>
      <w:r>
        <w:rPr>
          <w:sz w:val="24"/>
        </w:rPr>
        <w:t> . Tato dohoda, včetně žádosti, obsahuje úplnou dohodu mezi smluvními stranami ohledně předmětu této dohody a nahrazuje všechna</w:t>
      </w:r>
      <w:r>
        <w:rPr>
          <w:spacing w:val="-11"/>
          <w:sz w:val="24"/>
        </w:rPr>
        <w:t> </w:t>
      </w:r>
      <w:r>
        <w:rPr>
          <w:sz w:val="24"/>
        </w:rPr>
        <w:t>předchozí písemná i ústní ujednání mezi smluvními</w:t>
      </w:r>
      <w:r>
        <w:rPr>
          <w:spacing w:val="-3"/>
          <w:sz w:val="24"/>
        </w:rPr>
        <w:t> </w:t>
      </w:r>
      <w:r>
        <w:rPr>
          <w:sz w:val="24"/>
        </w:rPr>
        <w:t>stranami.</w:t>
      </w:r>
    </w:p>
    <w:p>
      <w:pPr>
        <w:spacing w:after="0" w:line="240" w:lineRule="auto"/>
        <w:jc w:val="left"/>
        <w:rPr>
          <w:sz w:val="24"/>
        </w:rPr>
        <w:sectPr>
          <w:pgSz w:w="12240" w:h="15840"/>
          <w:pgMar w:top="1360" w:bottom="280" w:left="1340" w:right="1340"/>
        </w:sectPr>
      </w:pPr>
    </w:p>
    <w:p>
      <w:pPr>
        <w:pStyle w:val="Heading1"/>
        <w:spacing w:before="72"/>
        <w:ind w:firstLine="0"/>
      </w:pPr>
      <w:r>
        <w:rPr/>
        <w:t>ODSOUHLASENO A PŘIJATO:</w:t>
      </w:r>
    </w:p>
    <w:p>
      <w:pPr>
        <w:pStyle w:val="BodyText"/>
        <w:spacing w:before="3"/>
        <w:rPr>
          <w:b/>
        </w:rPr>
      </w:pPr>
    </w:p>
    <w:p>
      <w:pPr>
        <w:spacing w:before="1"/>
        <w:ind w:left="820" w:right="0" w:firstLine="0"/>
        <w:jc w:val="left"/>
        <w:rPr>
          <w:b/>
          <w:sz w:val="24"/>
        </w:rPr>
      </w:pPr>
      <w:r>
        <w:rPr>
          <w:b/>
          <w:sz w:val="24"/>
        </w:rPr>
        <w:t>Název organizace: Univerzita Karlova, 1. Lékařská fakulta, Ústav BIOCEV</w:t>
      </w:r>
    </w:p>
    <w:p>
      <w:pPr>
        <w:pStyle w:val="BodyText"/>
        <w:rPr>
          <w:b/>
          <w:sz w:val="20"/>
        </w:rPr>
      </w:pPr>
    </w:p>
    <w:p>
      <w:pPr>
        <w:pStyle w:val="BodyText"/>
        <w:spacing w:before="6"/>
        <w:rPr>
          <w:b/>
          <w:sz w:val="23"/>
        </w:rPr>
      </w:pPr>
      <w:r>
        <w:rPr/>
        <w:pict>
          <v:line style="position:absolute;mso-position-horizontal-relative:page;mso-position-vertical-relative:paragraph;z-index:-1024;mso-wrap-distance-left:0;mso-wrap-distance-right:0" from="108.019997pt,15.736509pt" to="276.020005pt,15.736509pt" stroked="true" strokeweight=".48pt" strokecolor="#000000">
            <v:stroke dashstyle="solid"/>
            <w10:wrap type="topAndBottom"/>
          </v:line>
        </w:pict>
      </w:r>
    </w:p>
    <w:p>
      <w:pPr>
        <w:pStyle w:val="BodyText"/>
        <w:spacing w:line="247" w:lineRule="exact"/>
        <w:ind w:left="820"/>
      </w:pPr>
      <w:r>
        <w:rPr/>
        <w:t>Podpis oprávněného zástupce</w:t>
      </w:r>
    </w:p>
    <w:p>
      <w:pPr>
        <w:pStyle w:val="BodyText"/>
        <w:rPr>
          <w:sz w:val="20"/>
        </w:rPr>
      </w:pPr>
    </w:p>
    <w:p>
      <w:pPr>
        <w:pStyle w:val="BodyText"/>
        <w:spacing w:before="9"/>
        <w:rPr>
          <w:sz w:val="23"/>
        </w:rPr>
      </w:pPr>
      <w:r>
        <w:rPr/>
        <w:pict>
          <v:line style="position:absolute;mso-position-horizontal-relative:page;mso-position-vertical-relative:paragraph;z-index:-1000;mso-wrap-distance-left:0;mso-wrap-distance-right:0" from="108.019997pt,15.877269pt" to="276.020005pt,15.877269pt" stroked="true" strokeweight=".48pt" strokecolor="#000000">
            <v:stroke dashstyle="solid"/>
            <w10:wrap type="topAndBottom"/>
          </v:line>
        </w:pict>
      </w:r>
    </w:p>
    <w:p>
      <w:pPr>
        <w:pStyle w:val="BodyText"/>
        <w:spacing w:line="247" w:lineRule="exact"/>
        <w:ind w:left="820"/>
      </w:pPr>
      <w:r>
        <w:rPr/>
        <w:t>Jméno (tiskacím písmem)</w:t>
      </w:r>
    </w:p>
    <w:p>
      <w:pPr>
        <w:pStyle w:val="BodyText"/>
        <w:rPr>
          <w:sz w:val="20"/>
        </w:rPr>
      </w:pPr>
    </w:p>
    <w:p>
      <w:pPr>
        <w:pStyle w:val="BodyText"/>
        <w:spacing w:before="8"/>
        <w:rPr>
          <w:sz w:val="23"/>
        </w:rPr>
      </w:pPr>
      <w:r>
        <w:rPr/>
        <w:pict>
          <v:line style="position:absolute;mso-position-horizontal-relative:page;mso-position-vertical-relative:paragraph;z-index:-976;mso-wrap-distance-left:0;mso-wrap-distance-right:0" from="108.019997pt,15.85731pt" to="276.020005pt,15.85731pt" stroked="true" strokeweight=".48pt" strokecolor="#000000">
            <v:stroke dashstyle="solid"/>
            <w10:wrap type="topAndBottom"/>
          </v:line>
        </w:pict>
      </w:r>
    </w:p>
    <w:p>
      <w:pPr>
        <w:pStyle w:val="BodyText"/>
        <w:spacing w:line="247" w:lineRule="exact"/>
        <w:ind w:left="820"/>
      </w:pPr>
      <w:r>
        <w:rPr/>
        <w:t>Funkce</w:t>
      </w:r>
    </w:p>
    <w:p>
      <w:pPr>
        <w:pStyle w:val="BodyText"/>
        <w:rPr>
          <w:sz w:val="20"/>
        </w:rPr>
      </w:pPr>
    </w:p>
    <w:p>
      <w:pPr>
        <w:pStyle w:val="BodyText"/>
        <w:spacing w:before="8"/>
        <w:rPr>
          <w:sz w:val="23"/>
        </w:rPr>
      </w:pPr>
      <w:r>
        <w:rPr/>
        <w:pict>
          <v:line style="position:absolute;mso-position-horizontal-relative:page;mso-position-vertical-relative:paragraph;z-index:-952;mso-wrap-distance-left:0;mso-wrap-distance-right:0" from="108.019997pt,15.857249pt" to="276.020005pt,15.857249pt" stroked="true" strokeweight=".48pt" strokecolor="#000000">
            <v:stroke dashstyle="solid"/>
            <w10:wrap type="topAndBottom"/>
          </v:line>
        </w:pict>
      </w:r>
    </w:p>
    <w:p>
      <w:pPr>
        <w:pStyle w:val="BodyText"/>
        <w:spacing w:line="247" w:lineRule="exact"/>
        <w:ind w:left="820"/>
      </w:pPr>
      <w:r>
        <w:rPr/>
        <w:t>Datum</w:t>
      </w:r>
    </w:p>
    <w:sectPr>
      <w:pgSz w:w="12240" w:h="15840"/>
      <w:pgMar w:top="108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867" w:hanging="328"/>
        <w:jc w:val="left"/>
      </w:pPr>
      <w:rPr>
        <w:rFonts w:hint="default" w:ascii="Times New Roman" w:hAnsi="Times New Roman" w:eastAsia="Times New Roman" w:cs="Times New Roman"/>
        <w:spacing w:val="-2"/>
        <w:w w:val="100"/>
        <w:sz w:val="24"/>
        <w:szCs w:val="24"/>
        <w:lang w:val="en-us" w:eastAsia="en-us" w:bidi="en-us"/>
      </w:rPr>
    </w:lvl>
    <w:lvl w:ilvl="1">
      <w:start w:val="0"/>
      <w:numFmt w:val="bullet"/>
      <w:lvlText w:val="•"/>
      <w:lvlJc w:val="left"/>
      <w:pPr>
        <w:ind w:left="2630" w:hanging="328"/>
      </w:pPr>
      <w:rPr>
        <w:rFonts w:hint="default"/>
        <w:lang w:val="en-us" w:eastAsia="en-us" w:bidi="en-us"/>
      </w:rPr>
    </w:lvl>
    <w:lvl w:ilvl="2">
      <w:start w:val="0"/>
      <w:numFmt w:val="bullet"/>
      <w:lvlText w:val="•"/>
      <w:lvlJc w:val="left"/>
      <w:pPr>
        <w:ind w:left="3400" w:hanging="328"/>
      </w:pPr>
      <w:rPr>
        <w:rFonts w:hint="default"/>
        <w:lang w:val="en-us" w:eastAsia="en-us" w:bidi="en-us"/>
      </w:rPr>
    </w:lvl>
    <w:lvl w:ilvl="3">
      <w:start w:val="0"/>
      <w:numFmt w:val="bullet"/>
      <w:lvlText w:val="•"/>
      <w:lvlJc w:val="left"/>
      <w:pPr>
        <w:ind w:left="4170" w:hanging="328"/>
      </w:pPr>
      <w:rPr>
        <w:rFonts w:hint="default"/>
        <w:lang w:val="en-us" w:eastAsia="en-us" w:bidi="en-us"/>
      </w:rPr>
    </w:lvl>
    <w:lvl w:ilvl="4">
      <w:start w:val="0"/>
      <w:numFmt w:val="bullet"/>
      <w:lvlText w:val="•"/>
      <w:lvlJc w:val="left"/>
      <w:pPr>
        <w:ind w:left="4940" w:hanging="328"/>
      </w:pPr>
      <w:rPr>
        <w:rFonts w:hint="default"/>
        <w:lang w:val="en-us" w:eastAsia="en-us" w:bidi="en-us"/>
      </w:rPr>
    </w:lvl>
    <w:lvl w:ilvl="5">
      <w:start w:val="0"/>
      <w:numFmt w:val="bullet"/>
      <w:lvlText w:val="•"/>
      <w:lvlJc w:val="left"/>
      <w:pPr>
        <w:ind w:left="5710" w:hanging="328"/>
      </w:pPr>
      <w:rPr>
        <w:rFonts w:hint="default"/>
        <w:lang w:val="en-us" w:eastAsia="en-us" w:bidi="en-us"/>
      </w:rPr>
    </w:lvl>
    <w:lvl w:ilvl="6">
      <w:start w:val="0"/>
      <w:numFmt w:val="bullet"/>
      <w:lvlText w:val="•"/>
      <w:lvlJc w:val="left"/>
      <w:pPr>
        <w:ind w:left="6480" w:hanging="328"/>
      </w:pPr>
      <w:rPr>
        <w:rFonts w:hint="default"/>
        <w:lang w:val="en-us" w:eastAsia="en-us" w:bidi="en-us"/>
      </w:rPr>
    </w:lvl>
    <w:lvl w:ilvl="7">
      <w:start w:val="0"/>
      <w:numFmt w:val="bullet"/>
      <w:lvlText w:val="•"/>
      <w:lvlJc w:val="left"/>
      <w:pPr>
        <w:ind w:left="7250" w:hanging="328"/>
      </w:pPr>
      <w:rPr>
        <w:rFonts w:hint="default"/>
        <w:lang w:val="en-us" w:eastAsia="en-us" w:bidi="en-us"/>
      </w:rPr>
    </w:lvl>
    <w:lvl w:ilvl="8">
      <w:start w:val="0"/>
      <w:numFmt w:val="bullet"/>
      <w:lvlText w:val="•"/>
      <w:lvlJc w:val="left"/>
      <w:pPr>
        <w:ind w:left="8020" w:hanging="328"/>
      </w:pPr>
      <w:rPr>
        <w:rFonts w:hint="default"/>
        <w:lang w:val="en-us" w:eastAsia="en-us" w:bidi="en-us"/>
      </w:rPr>
    </w:lvl>
  </w:abstractNum>
  <w:abstractNum w:abstractNumId="0">
    <w:multiLevelType w:val="hybridMultilevel"/>
    <w:lvl w:ilvl="0">
      <w:start w:val="1"/>
      <w:numFmt w:val="decimal"/>
      <w:lvlText w:val="%1."/>
      <w:lvlJc w:val="left"/>
      <w:pPr>
        <w:ind w:left="820" w:hanging="361"/>
        <w:jc w:val="left"/>
      </w:pPr>
      <w:rPr>
        <w:rFonts w:hint="default" w:ascii="Times New Roman" w:hAnsi="Times New Roman" w:eastAsia="Times New Roman" w:cs="Times New Roman"/>
        <w:spacing w:val="-2"/>
        <w:w w:val="100"/>
        <w:sz w:val="24"/>
        <w:szCs w:val="24"/>
        <w:lang w:val="en-us" w:eastAsia="en-us" w:bidi="en-us"/>
      </w:rPr>
    </w:lvl>
    <w:lvl w:ilvl="1">
      <w:start w:val="1"/>
      <w:numFmt w:val="lowerLetter"/>
      <w:lvlText w:val="%2."/>
      <w:lvlJc w:val="left"/>
      <w:pPr>
        <w:ind w:left="1540" w:hanging="360"/>
        <w:jc w:val="left"/>
      </w:pPr>
      <w:rPr>
        <w:rFonts w:hint="default" w:ascii="Times New Roman" w:hAnsi="Times New Roman" w:eastAsia="Times New Roman" w:cs="Times New Roman"/>
        <w:spacing w:val="-60"/>
        <w:w w:val="100"/>
        <w:sz w:val="24"/>
        <w:szCs w:val="24"/>
        <w:lang w:val="en-us" w:eastAsia="en-us" w:bidi="en-us"/>
      </w:rPr>
    </w:lvl>
    <w:lvl w:ilvl="2">
      <w:start w:val="1"/>
      <w:numFmt w:val="lowerRoman"/>
      <w:lvlText w:val="%3."/>
      <w:lvlJc w:val="left"/>
      <w:pPr>
        <w:ind w:left="2260" w:hanging="488"/>
        <w:jc w:val="right"/>
      </w:pPr>
      <w:rPr>
        <w:rFonts w:hint="default" w:ascii="Times New Roman" w:hAnsi="Times New Roman" w:eastAsia="Times New Roman" w:cs="Times New Roman"/>
        <w:spacing w:val="-2"/>
        <w:w w:val="100"/>
        <w:sz w:val="24"/>
        <w:szCs w:val="24"/>
        <w:lang w:val="en-us" w:eastAsia="en-us" w:bidi="en-us"/>
      </w:rPr>
    </w:lvl>
    <w:lvl w:ilvl="3">
      <w:start w:val="0"/>
      <w:numFmt w:val="bullet"/>
      <w:lvlText w:val="•"/>
      <w:lvlJc w:val="left"/>
      <w:pPr>
        <w:ind w:left="3172" w:hanging="488"/>
      </w:pPr>
      <w:rPr>
        <w:rFonts w:hint="default"/>
        <w:lang w:val="en-us" w:eastAsia="en-us" w:bidi="en-us"/>
      </w:rPr>
    </w:lvl>
    <w:lvl w:ilvl="4">
      <w:start w:val="0"/>
      <w:numFmt w:val="bullet"/>
      <w:lvlText w:val="•"/>
      <w:lvlJc w:val="left"/>
      <w:pPr>
        <w:ind w:left="4085" w:hanging="488"/>
      </w:pPr>
      <w:rPr>
        <w:rFonts w:hint="default"/>
        <w:lang w:val="en-us" w:eastAsia="en-us" w:bidi="en-us"/>
      </w:rPr>
    </w:lvl>
    <w:lvl w:ilvl="5">
      <w:start w:val="0"/>
      <w:numFmt w:val="bullet"/>
      <w:lvlText w:val="•"/>
      <w:lvlJc w:val="left"/>
      <w:pPr>
        <w:ind w:left="4997" w:hanging="488"/>
      </w:pPr>
      <w:rPr>
        <w:rFonts w:hint="default"/>
        <w:lang w:val="en-us" w:eastAsia="en-us" w:bidi="en-us"/>
      </w:rPr>
    </w:lvl>
    <w:lvl w:ilvl="6">
      <w:start w:val="0"/>
      <w:numFmt w:val="bullet"/>
      <w:lvlText w:val="•"/>
      <w:lvlJc w:val="left"/>
      <w:pPr>
        <w:ind w:left="5910" w:hanging="488"/>
      </w:pPr>
      <w:rPr>
        <w:rFonts w:hint="default"/>
        <w:lang w:val="en-us" w:eastAsia="en-us" w:bidi="en-us"/>
      </w:rPr>
    </w:lvl>
    <w:lvl w:ilvl="7">
      <w:start w:val="0"/>
      <w:numFmt w:val="bullet"/>
      <w:lvlText w:val="•"/>
      <w:lvlJc w:val="left"/>
      <w:pPr>
        <w:ind w:left="6822" w:hanging="488"/>
      </w:pPr>
      <w:rPr>
        <w:rFonts w:hint="default"/>
        <w:lang w:val="en-us" w:eastAsia="en-us" w:bidi="en-us"/>
      </w:rPr>
    </w:lvl>
    <w:lvl w:ilvl="8">
      <w:start w:val="0"/>
      <w:numFmt w:val="bullet"/>
      <w:lvlText w:val="•"/>
      <w:lvlJc w:val="left"/>
      <w:pPr>
        <w:ind w:left="7735" w:hanging="488"/>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820" w:hanging="36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154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Budnitska, Elena</dc:creator>
  <dcterms:created xsi:type="dcterms:W3CDTF">2020-11-30T14:36:19Z</dcterms:created>
  <dcterms:modified xsi:type="dcterms:W3CDTF">2020-11-30T14:36:19Z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2016</vt:lpwstr>
  </property>
  <property fmtid="{D5CDD505-2E9C-101B-9397-08002B2CF9AE}" pid="4" name="LastSaved">
    <vt:filetime>2020-11-30T00:00:00Z</vt:filetime>
  </property>
</Properties>
</file>