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jc w:val="left"/>
      </w:pPr>
      <w:r>
        <w:rPr>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ind w:right="0"/>
        <w:jc w:val="left"/>
      </w:pPr>
      <w:r>
        <w:rPr>
          <w:color w:val="000000"/>
          <w:spacing w:val="0"/>
          <w:w w:val="100"/>
          <w:position w:val="0"/>
          <w:shd w:val="clear" w:color="auto" w:fill="auto"/>
          <w:lang w:val="cs-CZ" w:eastAsia="cs-CZ" w:bidi="cs-CZ"/>
        </w:rPr>
        <w:t>SMLOUVA REGISTROVÁNA</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60"/>
        <w:ind w:right="0"/>
        <w:jc w:val="left"/>
      </w:pPr>
      <w:r>
        <w:rPr>
          <w:color w:val="000000"/>
          <w:spacing w:val="0"/>
          <w:w w:val="100"/>
          <w:position w:val="0"/>
          <w:shd w:val="clear" w:color="auto" w:fill="auto"/>
          <w:lang w:val="cs-CZ" w:eastAsia="cs-CZ" w:bidi="cs-CZ"/>
        </w:rPr>
        <w:t>pod číslem:</w:t>
      </w:r>
    </w:p>
    <w:p>
      <w:pPr>
        <w:pStyle w:val="Style6"/>
        <w:keepNext/>
        <w:keepLines/>
        <w:widowControl w:val="0"/>
        <w:pBdr>
          <w:bottom w:val="single" w:sz="4" w:space="0" w:color="auto"/>
        </w:pBdr>
        <w:shd w:val="clear" w:color="auto" w:fill="auto"/>
        <w:bidi w:val="0"/>
        <w:spacing w:before="0" w:after="108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VEŘEJNÁ ZAKÁZKA</w:t>
      </w:r>
      <w:bookmarkEnd w:id="0"/>
      <w:bookmarkEnd w:id="1"/>
    </w:p>
    <w:p>
      <w:pPr>
        <w:pStyle w:val="Style6"/>
        <w:keepNext/>
        <w:keepLines/>
        <w:widowControl w:val="0"/>
        <w:shd w:val="clear" w:color="auto" w:fill="auto"/>
        <w:bidi w:val="0"/>
        <w:spacing w:before="0" w:after="0" w:line="187" w:lineRule="auto"/>
        <w:ind w:left="3560" w:right="0" w:firstLine="0"/>
        <w:jc w:val="left"/>
      </w:pPr>
      <w:bookmarkStart w:id="2" w:name="bookmark2"/>
      <w:bookmarkStart w:id="3" w:name="bookmark3"/>
      <w:r>
        <w:rPr>
          <w:color w:val="000000"/>
          <w:spacing w:val="0"/>
          <w:w w:val="100"/>
          <w:position w:val="0"/>
          <w:shd w:val="clear" w:color="auto" w:fill="auto"/>
          <w:lang w:val="cs-CZ" w:eastAsia="cs-CZ" w:bidi="cs-CZ"/>
        </w:rPr>
        <w:t>SMLOUVA</w:t>
      </w:r>
      <w:bookmarkEnd w:id="2"/>
      <w:bookmarkEnd w:id="3"/>
    </w:p>
    <w:p>
      <w:pPr>
        <w:pStyle w:val="Style6"/>
        <w:keepNext/>
        <w:keepLines/>
        <w:widowControl w:val="0"/>
        <w:shd w:val="clear" w:color="auto" w:fill="auto"/>
        <w:bidi w:val="0"/>
        <w:spacing w:before="0"/>
        <w:ind w:left="0" w:right="0" w:firstLine="0"/>
        <w:jc w:val="center"/>
        <w:rPr>
          <w:sz w:val="19"/>
          <w:szCs w:val="19"/>
        </w:rPr>
      </w:pPr>
      <w:bookmarkStart w:id="4" w:name="bookmark4"/>
      <w:bookmarkStart w:id="5" w:name="bookmark5"/>
      <w:r>
        <w:rPr>
          <w:color w:val="000000"/>
          <w:spacing w:val="0"/>
          <w:w w:val="100"/>
          <w:position w:val="0"/>
          <w:sz w:val="38"/>
          <w:szCs w:val="38"/>
          <w:shd w:val="clear" w:color="auto" w:fill="auto"/>
          <w:lang w:val="cs-CZ" w:eastAsia="cs-CZ" w:bidi="cs-CZ"/>
        </w:rPr>
        <w:t>O SDRUŽENÝCH SLUŽBÁCH DODÁVKY</w:t>
        <w:br/>
        <w:t>ELEKTŘINY ZE SÍTÍ NÍZKÉHO NAPĚTÍ</w:t>
        <w:br/>
      </w:r>
      <w:r>
        <w:rPr>
          <w:color w:val="000000"/>
          <w:spacing w:val="0"/>
          <w:w w:val="100"/>
          <w:position w:val="0"/>
          <w:sz w:val="19"/>
          <w:szCs w:val="19"/>
          <w:shd w:val="clear" w:color="auto" w:fill="auto"/>
          <w:lang w:val="cs-CZ" w:eastAsia="cs-CZ" w:bidi="cs-CZ"/>
        </w:rPr>
        <w:t>(kategorie MALOODBĚRATEL / PODNIKATEL)</w:t>
      </w:r>
      <w:bookmarkEnd w:id="4"/>
      <w:bookmarkEnd w:id="5"/>
    </w:p>
    <w:p>
      <w:pPr>
        <w:pStyle w:val="Style2"/>
        <w:keepNext w:val="0"/>
        <w:keepLines w:val="0"/>
        <w:widowControl w:val="0"/>
        <w:shd w:val="clear" w:color="auto" w:fill="auto"/>
        <w:bidi w:val="0"/>
        <w:spacing w:before="0" w:after="300" w:line="240" w:lineRule="auto"/>
        <w:ind w:left="3720" w:right="0" w:firstLine="0"/>
        <w:jc w:val="left"/>
      </w:pPr>
      <w:r>
        <w:rPr>
          <w:b/>
          <w:bCs/>
          <w:color w:val="000000"/>
          <w:spacing w:val="0"/>
          <w:w w:val="100"/>
          <w:position w:val="0"/>
          <w:shd w:val="clear" w:color="auto" w:fill="auto"/>
          <w:lang w:val="cs-CZ" w:eastAsia="cs-CZ" w:bidi="cs-CZ"/>
        </w:rPr>
        <w:t>uzavřená mezi</w:t>
      </w:r>
    </w:p>
    <w:p>
      <w:pPr>
        <w:pStyle w:val="Style10"/>
        <w:keepNext/>
        <w:keepLines/>
        <w:widowControl w:val="0"/>
        <w:shd w:val="clear" w:color="auto" w:fill="auto"/>
        <w:bidi w:val="0"/>
        <w:spacing w:before="0" w:after="30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Pražská plynárenská, a. s.</w:t>
      </w:r>
      <w:bookmarkEnd w:id="6"/>
      <w:bookmarkEnd w:id="7"/>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a</w:t>
      </w:r>
    </w:p>
    <w:p>
      <w:pPr>
        <w:pStyle w:val="Style10"/>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Krajská správa a údržba silnic Vysočiny, příspěvková</w:t>
        <w:br/>
        <w:t>organizace</w:t>
      </w:r>
      <w:bookmarkEnd w:id="8"/>
      <w:bookmarkEnd w:id="9"/>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Jejíž obsah tvoří:</w:t>
      </w:r>
    </w:p>
    <w:p>
      <w:pPr>
        <w:pStyle w:val="Style2"/>
        <w:keepNext w:val="0"/>
        <w:keepLines w:val="0"/>
        <w:widowControl w:val="0"/>
        <w:numPr>
          <w:ilvl w:val="0"/>
          <w:numId w:val="1"/>
        </w:numPr>
        <w:shd w:val="clear" w:color="auto" w:fill="auto"/>
        <w:tabs>
          <w:tab w:pos="302" w:val="left"/>
        </w:tabs>
        <w:bidi w:val="0"/>
        <w:spacing w:before="0" w:after="0" w:line="240" w:lineRule="auto"/>
        <w:ind w:left="0" w:right="0" w:firstLine="0"/>
        <w:jc w:val="left"/>
      </w:pPr>
      <w:r>
        <w:rPr>
          <w:color w:val="000000"/>
          <w:spacing w:val="0"/>
          <w:w w:val="100"/>
          <w:position w:val="0"/>
          <w:shd w:val="clear" w:color="auto" w:fill="auto"/>
          <w:lang w:val="cs-CZ" w:eastAsia="cs-CZ" w:bidi="cs-CZ"/>
        </w:rPr>
        <w:t>Formulářová část smlouvy a její dále uvedené nedílné přílohy</w:t>
      </w:r>
    </w:p>
    <w:p>
      <w:pPr>
        <w:pStyle w:val="Style2"/>
        <w:keepNext w:val="0"/>
        <w:keepLines w:val="0"/>
        <w:widowControl w:val="0"/>
        <w:numPr>
          <w:ilvl w:val="0"/>
          <w:numId w:val="1"/>
        </w:numPr>
        <w:shd w:val="clear" w:color="auto" w:fill="auto"/>
        <w:tabs>
          <w:tab w:pos="341"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Příloha A - Specifikace Odběrných míst Zákazníka</w:t>
      </w:r>
    </w:p>
    <w:p>
      <w:pPr>
        <w:pStyle w:val="Style2"/>
        <w:keepNext w:val="0"/>
        <w:keepLines w:val="0"/>
        <w:widowControl w:val="0"/>
        <w:numPr>
          <w:ilvl w:val="0"/>
          <w:numId w:val="1"/>
        </w:numPr>
        <w:shd w:val="clear" w:color="auto" w:fill="auto"/>
        <w:tabs>
          <w:tab w:pos="341"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Příloha B - Cena za dodávku elektřiny</w:t>
      </w:r>
    </w:p>
    <w:p>
      <w:pPr>
        <w:pStyle w:val="Style2"/>
        <w:keepNext w:val="0"/>
        <w:keepLines w:val="0"/>
        <w:widowControl w:val="0"/>
        <w:numPr>
          <w:ilvl w:val="0"/>
          <w:numId w:val="1"/>
        </w:numPr>
        <w:shd w:val="clear" w:color="auto" w:fill="auto"/>
        <w:tabs>
          <w:tab w:pos="347" w:val="left"/>
        </w:tabs>
        <w:bidi w:val="0"/>
        <w:spacing w:before="0" w:after="300" w:line="240" w:lineRule="auto"/>
        <w:ind w:left="0" w:right="0" w:firstLine="0"/>
        <w:jc w:val="left"/>
      </w:pPr>
      <w:r>
        <w:rPr>
          <w:color w:val="000000"/>
          <w:spacing w:val="0"/>
          <w:w w:val="100"/>
          <w:position w:val="0"/>
          <w:shd w:val="clear" w:color="auto" w:fill="auto"/>
          <w:lang w:val="cs-CZ" w:eastAsia="cs-CZ" w:bidi="cs-CZ"/>
        </w:rPr>
        <w:t>Příloha C - Obchodní podmínky</w:t>
      </w:r>
    </w:p>
    <w:p>
      <w:pPr>
        <w:pStyle w:val="Style12"/>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Smlouva o sdružených službách dodávky elektřiny ze sítí nízkého napětí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Níže uvedené smluvní strany uzavírají podle ustanovení § 50 odst. 2 zákona č. 458/2000 Sb., energetického zákona, ve znění pozdějších právních předpisů (dále jen </w:t>
      </w:r>
      <w:r>
        <w:rPr>
          <w:b/>
          <w:bCs/>
          <w:color w:val="000000"/>
          <w:spacing w:val="0"/>
          <w:w w:val="100"/>
          <w:position w:val="0"/>
          <w:shd w:val="clear" w:color="auto" w:fill="auto"/>
          <w:lang w:val="cs-CZ" w:eastAsia="cs-CZ" w:bidi="cs-CZ"/>
        </w:rPr>
        <w:t xml:space="preserve">„energetický zákon“) </w:t>
      </w:r>
      <w:r>
        <w:rPr>
          <w:color w:val="000000"/>
          <w:spacing w:val="0"/>
          <w:w w:val="100"/>
          <w:position w:val="0"/>
          <w:shd w:val="clear" w:color="auto" w:fill="auto"/>
          <w:lang w:val="cs-CZ" w:eastAsia="cs-CZ" w:bidi="cs-CZ"/>
        </w:rPr>
        <w:t xml:space="preserve">a podle ustanovení zákona č. </w:t>
      </w:r>
      <w:r>
        <w:rPr>
          <w:b/>
          <w:bCs/>
          <w:color w:val="000000"/>
          <w:spacing w:val="0"/>
          <w:w w:val="100"/>
          <w:position w:val="0"/>
          <w:shd w:val="clear" w:color="auto" w:fill="auto"/>
          <w:lang w:val="cs-CZ" w:eastAsia="cs-CZ" w:bidi="cs-CZ"/>
        </w:rPr>
        <w:t>89/201</w:t>
      </w:r>
      <w:r>
        <w:rPr>
          <w:color w:val="000000"/>
          <w:spacing w:val="0"/>
          <w:w w:val="100"/>
          <w:position w:val="0"/>
          <w:shd w:val="clear" w:color="auto" w:fill="auto"/>
          <w:lang w:val="cs-CZ" w:eastAsia="cs-CZ" w:bidi="cs-CZ"/>
        </w:rPr>
        <w:t xml:space="preserve">2 Sb., občanského zákoníku, ve znění pozdějších právních předpisů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tuto smlouvu o sdružených službách dodávky elektřiny ze sítí nízkého napětí (dále jen </w:t>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Smlouva je uzavírána mezi:</w:t>
      </w:r>
    </w:p>
    <w:p>
      <w:pPr>
        <w:pStyle w:val="Style17"/>
        <w:keepNext/>
        <w:keepLines/>
        <w:widowControl w:val="0"/>
        <w:shd w:val="clear" w:color="auto" w:fill="auto"/>
        <w:bidi w:val="0"/>
        <w:spacing w:before="0" w:after="0" w:line="276"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Pražská plynárenská, a. s.</w:t>
      </w:r>
      <w:bookmarkEnd w:id="10"/>
      <w:bookmarkEnd w:id="11"/>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 sídlem: Praha I - Nové Město, Národní 37, PSČ 110 00</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IČO: 60193492, DIČ: CZ60193492</w:t>
      </w:r>
    </w:p>
    <w:p>
      <w:pPr>
        <w:pStyle w:val="Style2"/>
        <w:keepNext w:val="0"/>
        <w:keepLines w:val="0"/>
        <w:widowControl w:val="0"/>
        <w:shd w:val="clear" w:color="auto" w:fill="auto"/>
        <w:tabs>
          <w:tab w:pos="2811" w:val="left"/>
        </w:tabs>
        <w:bidi w:val="0"/>
        <w:spacing w:before="0" w:after="0"/>
        <w:ind w:left="0" w:right="0" w:firstLine="0"/>
        <w:jc w:val="both"/>
      </w:pPr>
      <w:r>
        <w:rPr>
          <w:color w:val="000000"/>
          <w:spacing w:val="0"/>
          <w:w w:val="100"/>
          <w:position w:val="0"/>
          <w:shd w:val="clear" w:color="auto" w:fill="auto"/>
          <w:lang w:val="cs-CZ" w:eastAsia="cs-CZ" w:bidi="cs-CZ"/>
        </w:rPr>
        <w:t>Zastoupená: _</w:t>
        <w:tab/>
        <w:t>manažer prodeje, na základě plné moci</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Zapsána v obchodním rejstříku, vedeném Městským soudem v Praze, oddíl B, vložka 2337 Bankovní spojení: Komerční banka, a.s.</w:t>
      </w:r>
    </w:p>
    <w:p>
      <w:pPr>
        <w:pStyle w:val="Style2"/>
        <w:keepNext w:val="0"/>
        <w:keepLines w:val="0"/>
        <w:widowControl w:val="0"/>
        <w:shd w:val="clear" w:color="auto" w:fill="auto"/>
        <w:tabs>
          <w:tab w:pos="4473" w:val="left"/>
        </w:tabs>
        <w:bidi w:val="0"/>
        <w:spacing w:before="0" w:after="0"/>
        <w:ind w:left="0" w:right="0" w:firstLine="0"/>
        <w:jc w:val="both"/>
      </w:pPr>
      <w:r>
        <w:rPr>
          <w:color w:val="000000"/>
          <w:spacing w:val="0"/>
          <w:w w:val="100"/>
          <w:position w:val="0"/>
          <w:shd w:val="clear" w:color="auto" w:fill="auto"/>
          <w:lang w:val="cs-CZ" w:eastAsia="cs-CZ" w:bidi="cs-CZ"/>
        </w:rPr>
        <w:t>Číslo účtu / kód banky:</w:t>
        <w:tab/>
        <w:t>(CZK)</w:t>
      </w:r>
    </w:p>
    <w:p>
      <w:pPr>
        <w:pStyle w:val="Style2"/>
        <w:keepNext w:val="0"/>
        <w:keepLines w:val="0"/>
        <w:widowControl w:val="0"/>
        <w:shd w:val="clear" w:color="auto" w:fill="auto"/>
        <w:tabs>
          <w:tab w:pos="2811" w:val="left"/>
          <w:tab w:pos="5031" w:val="left"/>
          <w:tab w:pos="7452" w:val="left"/>
        </w:tabs>
        <w:bidi w:val="0"/>
        <w:spacing w:before="0" w:after="0"/>
        <w:ind w:left="0" w:right="0" w:firstLine="0"/>
        <w:jc w:val="both"/>
      </w:pPr>
      <w:r>
        <w:rPr>
          <w:color w:val="000000"/>
          <w:spacing w:val="0"/>
          <w:w w:val="100"/>
          <w:position w:val="0"/>
          <w:shd w:val="clear" w:color="auto" w:fill="auto"/>
          <w:lang w:val="cs-CZ" w:eastAsia="cs-CZ" w:bidi="cs-CZ"/>
        </w:rPr>
        <w:t>Kontaktní osoba:</w:t>
        <w:tab/>
        <w:t>, tel:</w:t>
        <w:tab/>
        <w:t>, e-mail</w:t>
        <w:tab/>
        <w:t>®</w:t>
      </w:r>
      <w:r>
        <w:rPr>
          <w:color w:val="000000"/>
          <w:spacing w:val="0"/>
          <w:w w:val="100"/>
          <w:position w:val="0"/>
          <w:u w:val="single"/>
          <w:shd w:val="clear" w:color="auto" w:fill="auto"/>
          <w:lang w:val="cs-CZ" w:eastAsia="cs-CZ" w:bidi="cs-CZ"/>
        </w:rPr>
        <w:t>ppas.cz</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„Obchodník“)</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a</w:t>
      </w:r>
    </w:p>
    <w:p>
      <w:pPr>
        <w:pStyle w:val="Style17"/>
        <w:keepNext/>
        <w:keepLines/>
        <w:widowControl w:val="0"/>
        <w:shd w:val="clear" w:color="auto" w:fill="auto"/>
        <w:bidi w:val="0"/>
        <w:spacing w:before="0" w:after="0" w:line="240"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Krajská správa a údržba silnic Vysočiny, příspěvková organizace</w:t>
      </w:r>
      <w:bookmarkEnd w:id="12"/>
      <w:bookmarkEnd w:id="13"/>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 DIČ: CZ00090450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Zastoupená: Ing. Radovan Necid,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Komerční banka, a.s., Číslo účtu: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Adresa k zasílání fakturace a veškerých sdělení určených Zákazníkovi: Kosovská 1122/16, 586 01 Jihlava</w:t>
      </w:r>
    </w:p>
    <w:p>
      <w:pPr>
        <w:pStyle w:val="Style2"/>
        <w:keepNext w:val="0"/>
        <w:keepLines w:val="0"/>
        <w:widowControl w:val="0"/>
        <w:shd w:val="clear" w:color="auto" w:fill="auto"/>
        <w:tabs>
          <w:tab w:pos="3183" w:val="left"/>
          <w:tab w:pos="5943" w:val="left"/>
          <w:tab w:pos="7452" w:val="left"/>
        </w:tabs>
        <w:bidi w:val="0"/>
        <w:spacing w:before="0" w:after="0" w:line="240" w:lineRule="auto"/>
        <w:ind w:left="0" w:right="0" w:firstLine="0"/>
        <w:jc w:val="both"/>
      </w:pPr>
      <w:r>
        <w:rPr>
          <w:color w:val="000000"/>
          <w:spacing w:val="0"/>
          <w:w w:val="100"/>
          <w:position w:val="0"/>
          <w:shd w:val="clear" w:color="auto" w:fill="auto"/>
          <w:lang w:val="cs-CZ" w:eastAsia="cs-CZ" w:bidi="cs-CZ"/>
        </w:rPr>
        <w:t>Kontaktní osoba:</w:t>
        <w:tab/>
        <w:t>tel.:</w:t>
        <w:tab/>
        <w:t>email:</w:t>
        <w:tab/>
      </w: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en-US" w:eastAsia="en-US" w:bidi="en-US"/>
        </w:rPr>
        <w:t>ksusv.cz</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 xml:space="preserve">„Zákazník“) </w:t>
      </w:r>
      <w:r>
        <w:rPr>
          <w:color w:val="000000"/>
          <w:spacing w:val="0"/>
          <w:w w:val="100"/>
          <w:position w:val="0"/>
          <w:shd w:val="clear" w:color="auto" w:fill="auto"/>
          <w:lang w:val="cs-CZ" w:eastAsia="cs-CZ" w:bidi="cs-CZ"/>
        </w:rPr>
        <w:t xml:space="preserve">(Obchodník a Zákazník dále společně též jen </w:t>
      </w: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line="283" w:lineRule="auto"/>
        <w:ind w:left="0" w:right="0" w:firstLine="0"/>
        <w:jc w:val="both"/>
      </w:pPr>
      <w:r>
        <w:rPr>
          <w:color w:val="000000"/>
          <w:spacing w:val="0"/>
          <w:w w:val="100"/>
          <w:position w:val="0"/>
          <w:shd w:val="clear" w:color="auto" w:fill="auto"/>
          <w:lang w:val="cs-CZ" w:eastAsia="cs-CZ" w:bidi="cs-CZ"/>
        </w:rPr>
        <w:t>Předmětem této Smlouvy je sdružená služba dodávky elektřiny ze sítí nízkého napětí upravená v souladu s energetickým zákonem.</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Obchodník se Smlouvou zavazuje dodávat po dobu, na kterou je Smlouva uzavřena Zákazníkovi elektřinu, zajistit její přistavení k odběru v Odběrných místech Zákazníka a zajistit vlastním jménem a na vlastní účet distribuci elektřiny a Zákazník se zavazuje tuto elektřinu ve sjednaném množství, včetně souvisejících služeb odebrat a zaplatit za to Obchodníkovi dohodnutou cenu. Práva a povinnosti Smluvních stran se řídí obecně závaznými právními předpisy, zejména ustanovením § 50 odstavce 2 energetického zákona a touto Smlouvou zahrnující její formulářové znění a její nedílné přílohy - Příloha A, Příloha B, Příloha C. V případě rozporu Formulářové části smlouvy, její Přílohy A a Přílohy B na straně jedné a Přílohy C (Obchodní podmínky) na straně druhé, mají ustanovení obsažená ve Formulářové části smlouvy, Příloze A a Příloze B přednost před ustanoveními Přílohy C.</w:t>
      </w:r>
    </w:p>
    <w:p>
      <w:pPr>
        <w:pStyle w:val="Style2"/>
        <w:keepNext w:val="0"/>
        <w:keepLines w:val="0"/>
        <w:widowControl w:val="0"/>
        <w:shd w:val="clear" w:color="auto" w:fill="auto"/>
        <w:bidi w:val="0"/>
        <w:spacing w:before="0" w:line="283" w:lineRule="auto"/>
        <w:ind w:left="0" w:right="0" w:firstLine="0"/>
        <w:jc w:val="both"/>
      </w:pPr>
      <w:r>
        <w:rPr>
          <w:color w:val="000000"/>
          <w:spacing w:val="0"/>
          <w:w w:val="100"/>
          <w:position w:val="0"/>
          <w:shd w:val="clear" w:color="auto" w:fill="auto"/>
          <w:lang w:val="cs-CZ" w:eastAsia="cs-CZ" w:bidi="cs-CZ"/>
        </w:rPr>
        <w:t>Zákazník prohlašuje, že je srozuměn s tím, že je podstatná část obsahu této Smlouvy upravena v Obchodních podmínkách a výslovně přijímá ustanovení či. II. (cena), či. III. (fakturační a platební podmínky), čl. IV. (dodací podmínky), čl. V. (vznik a změna Smlouvy, doba platnosti Smlouvy), čl. VI. (omezení, přerušení nebo ukončení dodávky), čl. VII. (změna dodavatele a ukončení Smlouvy), čl. Vlil, (změna ceny a změna OP), čl. IX. (sankce, včetně smluvních pokut) a čl. XIV. (ostatní ujednání Obchodních podmínek Zákazník dále prohlašuje, že byl Obchodníkem v dostatečné míře srozuměn a vysvětlena mu všechna ustanovení Smlouvy a jejích nedílných příloh, především pak způsob stanovení celkové ceny za elektřinu a související služby jím hrazené na základě této Smlouvy.</w:t>
      </w:r>
    </w:p>
    <w:p>
      <w:pPr>
        <w:pStyle w:val="Style2"/>
        <w:keepNext w:val="0"/>
        <w:keepLines w:val="0"/>
        <w:widowControl w:val="0"/>
        <w:shd w:val="clear" w:color="auto" w:fill="auto"/>
        <w:bidi w:val="0"/>
        <w:spacing w:before="0" w:after="140"/>
        <w:ind w:left="0" w:right="0" w:firstLine="0"/>
        <w:jc w:val="both"/>
      </w:pPr>
      <w:r>
        <w:rPr>
          <w:color w:val="000000"/>
          <w:spacing w:val="0"/>
          <w:w w:val="100"/>
          <w:position w:val="0"/>
          <w:shd w:val="clear" w:color="auto" w:fill="auto"/>
          <w:lang w:val="cs-CZ" w:eastAsia="cs-CZ" w:bidi="cs-CZ"/>
        </w:rP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t>
      </w:r>
      <w:r>
        <w:fldChar w:fldCharType="begin"/>
      </w:r>
      <w:r>
        <w:rPr/>
        <w:instrText> HYPERLINK "http://www.ppas.cz/info" </w:instrText>
      </w:r>
      <w:r>
        <w:fldChar w:fldCharType="separate"/>
      </w:r>
      <w:r>
        <w:rPr>
          <w:color w:val="000000"/>
          <w:spacing w:val="0"/>
          <w:w w:val="100"/>
          <w:position w:val="0"/>
          <w:shd w:val="clear" w:color="auto" w:fill="auto"/>
          <w:lang w:val="en-US" w:eastAsia="en-US" w:bidi="en-US"/>
        </w:rPr>
        <w:t>www.ppas.cz/info</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a dále na vyžádání v obchodních kancelářích Obchodníka.</w:t>
      </w:r>
      <w:r>
        <w:br w:type="page"/>
      </w:r>
    </w:p>
    <w:p>
      <w:pPr>
        <w:pStyle w:val="Style2"/>
        <w:keepNext w:val="0"/>
        <w:keepLines w:val="0"/>
        <w:widowControl w:val="0"/>
        <w:shd w:val="clear" w:color="auto" w:fill="auto"/>
        <w:bidi w:val="0"/>
        <w:spacing w:before="0" w:after="760" w:line="288"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678815</wp:posOffset>
                </wp:positionH>
                <wp:positionV relativeFrom="paragraph">
                  <wp:posOffset>647700</wp:posOffset>
                </wp:positionV>
                <wp:extent cx="6084570" cy="870585"/>
                <wp:wrapSquare wrapText="right"/>
                <wp:docPr id="1" name="Shape 1"/>
                <a:graphic xmlns:a="http://schemas.openxmlformats.org/drawingml/2006/main">
                  <a:graphicData uri="http://schemas.microsoft.com/office/word/2010/wordprocessingShape">
                    <wps:wsp>
                      <wps:cNvSpPr txBox="1"/>
                      <wps:spPr>
                        <a:xfrm>
                          <a:ext cx="6084570" cy="870585"/>
                        </a:xfrm>
                        <a:prstGeom prst="rect"/>
                        <a:noFill/>
                      </wps:spPr>
                      <wps:txbx>
                        <w:txbxContent>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Nestanoví-li dohoda Smluvních stran jinak, Obchodník není povinen zahájit dodávku do Odběrného místa Zákazníka dle této Smlouvy v termínu dle předchozí věty, nebude-li</w:t>
                            </w:r>
                          </w:p>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b)</w:t>
                            </w:r>
                          </w:p>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c)</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450000000000003pt;margin-top:51.pt;width:479.10000000000002pt;height:68.549999999999997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Nestanoví-li dohoda Smluvních stran jinak, Obchodník není povinen zahájit dodávku do Odběrného místa Zákazníka dle této Smlouvy v termínu dle předchozí věty, nebude-li</w:t>
                      </w:r>
                    </w:p>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b)</w:t>
                      </w:r>
                    </w:p>
                    <w:p>
                      <w:pPr>
                        <w:pStyle w:val="Style2"/>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c)</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Nestanoví-li dohoda Smluvních stran jinak, Smlouva se uzavírá na dobu </w:t>
      </w:r>
      <w:r>
        <w:rPr>
          <w:b/>
          <w:bCs/>
          <w:color w:val="000000"/>
          <w:spacing w:val="0"/>
          <w:w w:val="100"/>
          <w:position w:val="0"/>
          <w:shd w:val="clear" w:color="auto" w:fill="auto"/>
          <w:lang w:val="cs-CZ" w:eastAsia="cs-CZ" w:bidi="cs-CZ"/>
        </w:rPr>
        <w:t xml:space="preserve">určitou od 01.01.2021 do 31.12.2021, </w:t>
      </w:r>
      <w:r>
        <w:rPr>
          <w:color w:val="000000"/>
          <w:spacing w:val="0"/>
          <w:w w:val="100"/>
          <w:position w:val="0"/>
          <w:shd w:val="clear" w:color="auto" w:fill="auto"/>
          <w:lang w:val="cs-CZ" w:eastAsia="cs-CZ" w:bidi="cs-CZ"/>
        </w:rPr>
        <w:t>bez možnosti automatické prolongace, s předpokládaným termínem dodávek zahájených od 01.01.2021.</w:t>
      </w:r>
    </w:p>
    <w:p>
      <w:pPr>
        <w:pStyle w:val="Style2"/>
        <w:keepNext w:val="0"/>
        <w:keepLines w:val="0"/>
        <w:widowControl w:val="0"/>
        <w:shd w:val="clear" w:color="auto" w:fill="auto"/>
        <w:bidi w:val="0"/>
        <w:spacing w:before="0"/>
        <w:ind w:left="0" w:right="0" w:firstLine="500"/>
        <w:jc w:val="left"/>
      </w:pPr>
      <w:r>
        <mc:AlternateContent>
          <mc:Choice Requires="wps">
            <w:drawing>
              <wp:anchor distT="0" distB="0" distL="101600" distR="101600" simplePos="0" relativeHeight="125829380" behindDoc="0" locked="0" layoutInCell="1" allowOverlap="1">
                <wp:simplePos x="0" y="0"/>
                <wp:positionH relativeFrom="page">
                  <wp:posOffset>676910</wp:posOffset>
                </wp:positionH>
                <wp:positionV relativeFrom="paragraph">
                  <wp:posOffset>647700</wp:posOffset>
                </wp:positionV>
                <wp:extent cx="160020" cy="182880"/>
                <wp:wrapSquare wrapText="right"/>
                <wp:docPr id="3" name="Shape 3"/>
                <a:graphic xmlns:a="http://schemas.openxmlformats.org/drawingml/2006/main">
                  <a:graphicData uri="http://schemas.microsoft.com/office/word/2010/wordprocessingShape">
                    <wps:wsp>
                      <wps:cNvSpPr txBox="1"/>
                      <wps:spPr>
                        <a:xfrm>
                          <a:ext cx="16002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w:t>
                            </w:r>
                          </w:p>
                        </w:txbxContent>
                      </wps:txbx>
                      <wps:bodyPr wrap="none" lIns="0" tIns="0" rIns="0" bIns="0">
                        <a:noAutoFit/>
                      </wps:bodyPr>
                    </wps:wsp>
                  </a:graphicData>
                </a:graphic>
              </wp:anchor>
            </w:drawing>
          </mc:Choice>
          <mc:Fallback>
            <w:pict>
              <v:shape id="_x0000_s1029" type="#_x0000_t202" style="position:absolute;margin-left:53.299999999999997pt;margin-top:51.pt;width:12.6pt;height:14.4pt;z-index:-125829373;mso-wrap-distance-left:8.pt;mso-wrap-distance-right: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w:t>
                      </w:r>
                    </w:p>
                  </w:txbxContent>
                </v:textbox>
                <w10:wrap type="square" side="right" anchorx="page"/>
              </v:shape>
            </w:pict>
          </mc:Fallback>
        </mc:AlternateContent>
      </w:r>
      <w:r>
        <w:rPr>
          <w:color w:val="000000"/>
          <w:spacing w:val="0"/>
          <w:w w:val="100"/>
          <w:position w:val="0"/>
          <w:shd w:val="clear" w:color="auto" w:fill="auto"/>
          <w:lang w:val="cs-CZ" w:eastAsia="cs-CZ" w:bidi="cs-CZ"/>
        </w:rPr>
        <w:t>Odběrné místo Zákazníka připojeno k distribuční soustavě, účinná smlouva o připojení Odběrného místa Zákazníka k distribuční soustavě s jejím provozovatelem, řádně ukončen smluvní vztah o dodávkách elektřiny do Odběrného místa Zákazníka s Obchodníkovi předcházejícím dodavatelem (v případě změny dodavatele elektřiny) nebo řádně ukončen proces změny dodavatele elektřiny do Odběrného místa Zákazníka ve smyslu obecně závazného právního předpisu, tj. v systému OTE, a.s. nebude coby dodavatel do Odběrného místa Zákazníka uveden Obchodník.</w:t>
      </w:r>
    </w:p>
    <w:p>
      <w:pPr>
        <w:pStyle w:val="Style2"/>
        <w:keepNext w:val="0"/>
        <w:keepLines w:val="0"/>
        <w:widowControl w:val="0"/>
        <w:shd w:val="clear" w:color="auto" w:fill="auto"/>
        <w:bidi w:val="0"/>
        <w:spacing w:before="0" w:line="283" w:lineRule="auto"/>
        <w:ind w:left="0" w:right="0" w:firstLine="0"/>
        <w:jc w:val="left"/>
      </w:pPr>
      <w:r>
        <w:rPr>
          <w:color w:val="000000"/>
          <w:spacing w:val="0"/>
          <w:w w:val="100"/>
          <w:position w:val="0"/>
          <w:shd w:val="clear" w:color="auto" w:fill="auto"/>
          <w:lang w:val="cs-CZ" w:eastAsia="cs-CZ" w:bidi="cs-CZ"/>
        </w:rPr>
        <w:t xml:space="preserve">Ujednání o </w:t>
      </w:r>
      <w:r>
        <w:rPr>
          <w:b/>
          <w:bCs/>
          <w:color w:val="000000"/>
          <w:spacing w:val="0"/>
          <w:w w:val="100"/>
          <w:position w:val="0"/>
          <w:u w:val="single"/>
          <w:shd w:val="clear" w:color="auto" w:fill="auto"/>
          <w:lang w:val="cs-CZ" w:eastAsia="cs-CZ" w:bidi="cs-CZ"/>
        </w:rPr>
        <w:t xml:space="preserve">celkovém množství elektřiny dodávané </w:t>
      </w:r>
      <w:r>
        <w:rPr>
          <w:color w:val="000000"/>
          <w:spacing w:val="0"/>
          <w:w w:val="100"/>
          <w:position w:val="0"/>
          <w:u w:val="single"/>
          <w:shd w:val="clear" w:color="auto" w:fill="auto"/>
          <w:lang w:val="cs-CZ" w:eastAsia="cs-CZ" w:bidi="cs-CZ"/>
        </w:rPr>
        <w:t>dle této Smlouvy,</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včetně.specifikace Odběrných míst Zákazníka </w:t>
      </w:r>
      <w:r>
        <w:rPr>
          <w:color w:val="000000"/>
          <w:spacing w:val="0"/>
          <w:w w:val="100"/>
          <w:position w:val="0"/>
          <w:shd w:val="clear" w:color="auto" w:fill="auto"/>
          <w:lang w:val="cs-CZ" w:eastAsia="cs-CZ" w:bidi="cs-CZ"/>
        </w:rPr>
        <w:t xml:space="preserve">je obsažena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Cena za dodávku elektřiny dle této Smlouvy </w:t>
      </w:r>
      <w:r>
        <w:rPr>
          <w:color w:val="000000"/>
          <w:spacing w:val="0"/>
          <w:w w:val="100"/>
          <w:position w:val="0"/>
          <w:shd w:val="clear" w:color="auto" w:fill="auto"/>
          <w:lang w:val="cs-CZ" w:eastAsia="cs-CZ" w:bidi="cs-CZ"/>
        </w:rPr>
        <w:t xml:space="preserve">je obsažena v </w:t>
      </w:r>
      <w:r>
        <w:rPr>
          <w:color w:val="000000"/>
          <w:spacing w:val="0"/>
          <w:w w:val="100"/>
          <w:position w:val="0"/>
          <w:u w:val="single"/>
          <w:shd w:val="clear" w:color="auto" w:fill="auto"/>
          <w:lang w:val="cs-CZ" w:eastAsia="cs-CZ" w:bidi="cs-CZ"/>
        </w:rPr>
        <w:t>Příloze B</w:t>
      </w:r>
      <w:r>
        <w:rPr>
          <w:color w:val="000000"/>
          <w:spacing w:val="0"/>
          <w:w w:val="100"/>
          <w:position w:val="0"/>
          <w:shd w:val="clear" w:color="auto" w:fill="auto"/>
          <w:lang w:val="cs-CZ" w:eastAsia="cs-CZ" w:bidi="cs-CZ"/>
        </w:rPr>
        <w:t xml:space="preserve"> této Smlouvy.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Smluvní strany sjednávají, že Zákazník je povinen hradit </w:t>
      </w:r>
      <w:r>
        <w:rPr>
          <w:b/>
          <w:bCs/>
          <w:color w:val="000000"/>
          <w:spacing w:val="0"/>
          <w:w w:val="100"/>
          <w:position w:val="0"/>
          <w:u w:val="single"/>
          <w:shd w:val="clear" w:color="auto" w:fill="auto"/>
          <w:lang w:val="cs-CZ" w:eastAsia="cs-CZ" w:bidi="cs-CZ"/>
        </w:rPr>
        <w:t>zálohy</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na cenu dodávky ve výši 100 % z předpokládané 1/12 roční platby za jednotlivé odběrné místo stanovené v Oznámení o výši záloh.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u w:val="single"/>
          <w:shd w:val="clear" w:color="auto" w:fill="auto"/>
          <w:lang w:val="cs-CZ" w:eastAsia="cs-CZ" w:bidi="cs-CZ"/>
        </w:rPr>
        <w:t>Splatnost záloh</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na cenu se sjednává jako měsíční tak, že každá záloha je splatná k 15. dni kalendářního měsíce.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Smluvní strany sjednávají </w:t>
      </w:r>
      <w:r>
        <w:rPr>
          <w:b/>
          <w:bCs/>
          <w:color w:val="000000"/>
          <w:spacing w:val="0"/>
          <w:w w:val="100"/>
          <w:position w:val="0"/>
          <w:u w:val="single"/>
          <w:shd w:val="clear" w:color="auto" w:fill="auto"/>
          <w:lang w:val="cs-CZ" w:eastAsia="cs-CZ" w:bidi="cs-CZ"/>
        </w:rPr>
        <w:t xml:space="preserve">splatnost faktur, přeplatků a nedoplatků </w:t>
      </w:r>
      <w:r>
        <w:rPr>
          <w:color w:val="000000"/>
          <w:spacing w:val="0"/>
          <w:w w:val="100"/>
          <w:position w:val="0"/>
          <w:u w:val="single"/>
          <w:shd w:val="clear" w:color="auto" w:fill="auto"/>
          <w:lang w:val="cs-CZ" w:eastAsia="cs-CZ" w:bidi="cs-CZ"/>
        </w:rPr>
        <w:t>v</w:t>
      </w:r>
      <w:r>
        <w:rPr>
          <w:color w:val="000000"/>
          <w:spacing w:val="0"/>
          <w:w w:val="100"/>
          <w:position w:val="0"/>
          <w:shd w:val="clear" w:color="auto" w:fill="auto"/>
          <w:lang w:val="cs-CZ" w:eastAsia="cs-CZ" w:bidi="cs-CZ"/>
        </w:rPr>
        <w:t>e lhůtě 30 dnů.</w:t>
      </w:r>
    </w:p>
    <w:p>
      <w:pPr>
        <w:pStyle w:val="Style2"/>
        <w:keepNext w:val="0"/>
        <w:keepLines w:val="0"/>
        <w:widowControl w:val="0"/>
        <w:shd w:val="clear" w:color="auto" w:fill="auto"/>
        <w:bidi w:val="0"/>
        <w:spacing w:before="0" w:line="283" w:lineRule="auto"/>
        <w:ind w:left="0" w:right="0" w:firstLine="0"/>
        <w:jc w:val="left"/>
      </w:pPr>
      <w:r>
        <w:rPr>
          <w:color w:val="000000"/>
          <w:spacing w:val="0"/>
          <w:w w:val="100"/>
          <w:position w:val="0"/>
          <w:shd w:val="clear" w:color="auto" w:fill="auto"/>
          <w:lang w:val="cs-CZ" w:eastAsia="cs-CZ" w:bidi="cs-CZ"/>
        </w:rPr>
        <w:t xml:space="preserve">Smluvní strany sjednávají, že veškeré </w:t>
      </w:r>
      <w:r>
        <w:rPr>
          <w:b/>
          <w:bCs/>
          <w:color w:val="000000"/>
          <w:spacing w:val="0"/>
          <w:w w:val="100"/>
          <w:position w:val="0"/>
          <w:u w:val="single"/>
          <w:shd w:val="clear" w:color="auto" w:fill="auto"/>
          <w:lang w:val="cs-CZ" w:eastAsia="cs-CZ" w:bidi="cs-CZ"/>
        </w:rPr>
        <w:t>úhrady peněžitých částek</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Zákazníkem Obchodníkovi budou prováděny bezhotovostní formou převodu na bankovní účet.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Smlouva je vyhotovena ve dvou stejnopisech, z nichž každá ze Smluvních stran obdrží jedno vyhotovení.</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Obchodník bude vystavovat jednotlivému zadavateli souhrnnou fakturu i předpis zálohových plateb za všechna jeho odběrná místa s přiloženým vyúčtováním jednotlivých odběrných míst.</w:t>
      </w:r>
    </w:p>
    <w:p>
      <w:pPr>
        <w:pStyle w:val="Style2"/>
        <w:keepNext w:val="0"/>
        <w:keepLines w:val="0"/>
        <w:widowControl w:val="0"/>
        <w:shd w:val="clear" w:color="auto" w:fill="auto"/>
        <w:bidi w:val="0"/>
        <w:spacing w:before="0" w:line="283" w:lineRule="auto"/>
        <w:ind w:left="0" w:right="0" w:firstLine="0"/>
        <w:jc w:val="left"/>
      </w:pPr>
      <w:r>
        <w:rPr>
          <w:color w:val="000000"/>
          <w:spacing w:val="0"/>
          <w:w w:val="100"/>
          <w:position w:val="0"/>
          <w:shd w:val="clear" w:color="auto" w:fill="auto"/>
          <w:lang w:val="cs-CZ" w:eastAsia="cs-CZ" w:bidi="cs-CZ"/>
        </w:rPr>
        <w:t>Zadavatel může požadovat a Obchodník se pro tento případ zavazuje zasílat veškeré vyúčtování a fakturaci formou elektronických prostředků.</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 případě zrušení odběrného místa, zejména z důvodu převodu vlastnických práv k odběrnému místu, odstranění odběrného místa, demolice, zničení živelnou pohromou, je zadavatel oprávněn ukončit smluvní vztah s Obchodníkem k odběrnému místu nej později do 30 dnů ode dne oznámení Obchodníkovi o zrušení odběrného místa, a to bez nároku na finanční kompenzaci ze strany Obchodníka.</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 důvodu provozních potřeb se může v průběhu smluvního období počet měřících nebo odběrných míst zadavatele změnit, a to jak zrušením stávajících, tak zřízením nových odběrných míst. Obchodník bude i pro tyto případy garantovat nabídnuté jednotkové ceny a neprodleně po oznámení o zřízení nového odběrného místa zahájí dodávku sdružených služeb za podmínek sjednaných v rámci předmětné veřejné zakázky.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Obchodník poskytne po skončení období plnění této veřejné zakázky centrálnímu zadavateli na jeho vyžádání soubor dat v elektronické podobě, obsahující kompletní údaje o realizované dodávce elektřiny v rozsahu fakturačních dokladů za celé období dodávky, a to do 30ti dnů ode dne písemného doručení vyžádání obchodníkovi. Sankce za nesplnění tohoto požadavku bude 1000 Kč za každý i započatý den prodlení.</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Obchodník si nebude nárokovat jakékoli sankce za překročení či neodebrání předpokládaného množství odběru silové elektřiny. Sankcí se rozumí rovněž navýšení smluvní ceny sjednané v dodavatelské smlouvě na základě výsledku elektronické aukce.</w:t>
      </w:r>
      <w:r>
        <w:br w:type="page"/>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Případné spory ze smlouvy mezi Obchodníkem a zadavatelem budou řešeny u obecného soudu, přičemž příslušnost se bude řídit ustanoveními zákona č. 99/1963 Sb., Občanský soudní řád, ve znění pozdějších předpisů. Rozhodčí doložka a prorogační doložka jsou ve smlouvě nepřípustné.</w:t>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DPH nebo další platby regulované Cenovým rozhodnutím ERÚ. Na změnu ceny se v takovém případě nebude uzavírat písemný dodatek a cena bude účtována podle předpisů platných v době uskutečnění zdanitelného plnění.</w:t>
      </w:r>
    </w:p>
    <w:p>
      <w:pPr>
        <w:pStyle w:val="Style2"/>
        <w:keepNext w:val="0"/>
        <w:keepLines w:val="0"/>
        <w:widowControl w:val="0"/>
        <w:shd w:val="clear" w:color="auto" w:fill="auto"/>
        <w:bidi w:val="0"/>
        <w:spacing w:before="0" w:after="240" w:line="283"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poskytovatele, který je správcem daně (finančním úřadem) zveřejněn způsobem umožňující dálkový přístup ve smyslu ustanovení § 109 odst. 2 písm. c) zákona č. 235/2004 Sb. O dani z přidané hodnoty, ve znění pozdějších předpisů (dále jen „zákon o DPH“).</w:t>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Pokud se pro dobou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Tato smlouva nabývá platnosti dnem podpisu a účinnosti dnem uveřejnění v informačním systému veřejné správy - Registru smluv.</w:t>
      </w:r>
    </w:p>
    <w:p>
      <w:pPr>
        <w:pStyle w:val="Style2"/>
        <w:keepNext w:val="0"/>
        <w:keepLines w:val="0"/>
        <w:widowControl w:val="0"/>
        <w:shd w:val="clear" w:color="auto" w:fill="auto"/>
        <w:bidi w:val="0"/>
        <w:spacing w:before="0" w:after="240" w:line="288" w:lineRule="auto"/>
        <w:ind w:left="0" w:right="0" w:firstLine="0"/>
        <w:jc w:val="both"/>
      </w:pPr>
      <w:r>
        <w:rPr>
          <w:color w:val="000000"/>
          <w:spacing w:val="0"/>
          <w:w w:val="100"/>
          <w:position w:val="0"/>
          <w:shd w:val="clear" w:color="auto" w:fill="auto"/>
          <w:lang w:val="cs-CZ" w:eastAsia="cs-CZ" w:bidi="cs-CZ"/>
        </w:rPr>
        <w:t>Obchodník výslovně souhlasí se zveřejněním celého textu této smlouvy včetně podpisů v informačním systému veřejné správy - Registru smluv.</w:t>
      </w:r>
    </w:p>
    <w:p>
      <w:pPr>
        <w:pStyle w:val="Style2"/>
        <w:keepNext w:val="0"/>
        <w:keepLines w:val="0"/>
        <w:widowControl w:val="0"/>
        <w:shd w:val="clear" w:color="auto" w:fill="auto"/>
        <w:bidi w:val="0"/>
        <w:spacing w:before="0" w:after="920"/>
        <w:ind w:left="0" w:right="0" w:firstLine="0"/>
        <w:jc w:val="both"/>
      </w:pPr>
      <w:r>
        <w:rPr>
          <w:color w:val="000000"/>
          <w:spacing w:val="0"/>
          <w:w w:val="100"/>
          <w:position w:val="0"/>
          <w:shd w:val="clear" w:color="auto" w:fill="auto"/>
          <w:lang w:val="cs-CZ" w:eastAsia="cs-CZ" w:bidi="cs-CZ"/>
        </w:rPr>
        <w:t>Smluvní strany se dohodly, že zákonnou povinnost dle § 5 odst. 2 zákona o registru smluv splní Kraj Vysočina a splnění této povinnosti doloží Obchodníkovi. Současně bere na vědomí, že v případě nesplnění zákonné povinnosti je smlouva do tří měsíců od jejího podpisu bez dalšího zrušena od samého počátku.</w:t>
      </w:r>
    </w:p>
    <w:p>
      <w:pPr>
        <w:pStyle w:val="Style2"/>
        <w:keepNext w:val="0"/>
        <w:keepLines w:val="0"/>
        <w:widowControl w:val="0"/>
        <w:shd w:val="clear" w:color="auto" w:fill="auto"/>
        <w:bidi w:val="0"/>
        <w:spacing w:before="0" w:after="60" w:line="240" w:lineRule="auto"/>
        <w:ind w:left="144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4128770</wp:posOffset>
                </wp:positionH>
                <wp:positionV relativeFrom="paragraph">
                  <wp:posOffset>203200</wp:posOffset>
                </wp:positionV>
                <wp:extent cx="752475" cy="190500"/>
                <wp:wrapSquare wrapText="left"/>
                <wp:docPr id="5" name="Shape 5"/>
                <a:graphic xmlns:a="http://schemas.openxmlformats.org/drawingml/2006/main">
                  <a:graphicData uri="http://schemas.microsoft.com/office/word/2010/wordprocessingShape">
                    <wps:wsp>
                      <wps:cNvSpPr txBox="1"/>
                      <wps:spPr>
                        <a:xfrm>
                          <a:ext cx="752475" cy="1905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31" type="#_x0000_t202" style="position:absolute;margin-left:325.10000000000002pt;margin-top:16.pt;width:59.25pt;height:1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side="left" anchorx="page"/>
              </v:shape>
            </w:pict>
          </mc:Fallback>
        </mc:AlternateContent>
      </w:r>
      <w:r>
        <w:rPr>
          <w:color w:val="000000"/>
          <w:spacing w:val="0"/>
          <w:w w:val="100"/>
          <w:position w:val="0"/>
          <w:shd w:val="clear" w:color="auto" w:fill="auto"/>
          <w:lang w:val="cs-CZ" w:eastAsia="cs-CZ" w:bidi="cs-CZ"/>
        </w:rPr>
        <w:t>24. 11. 2020</w:t>
      </w:r>
    </w:p>
    <w:p>
      <w:pPr>
        <w:pStyle w:val="Style2"/>
        <w:keepNext w:val="0"/>
        <w:keepLines w:val="0"/>
        <w:widowControl w:val="0"/>
        <w:shd w:val="clear" w:color="auto" w:fill="auto"/>
        <w:bidi w:val="0"/>
        <w:spacing w:before="0" w:after="1540" w:line="240" w:lineRule="auto"/>
        <w:ind w:left="0" w:right="0" w:firstLine="0"/>
        <w:jc w:val="both"/>
      </w:pPr>
      <w:r>
        <w:rPr>
          <w:color w:val="000000"/>
          <w:spacing w:val="0"/>
          <w:w w:val="100"/>
          <w:position w:val="0"/>
          <w:shd w:val="clear" w:color="auto" w:fill="auto"/>
          <w:lang w:val="cs-CZ" w:eastAsia="cs-CZ" w:bidi="cs-CZ"/>
        </w:rPr>
        <w:t>V Jihlavě</w:t>
      </w:r>
    </w:p>
    <w:p>
      <w:pPr>
        <w:pStyle w:val="Style2"/>
        <w:keepNext w:val="0"/>
        <w:keepLines w:val="0"/>
        <w:widowControl w:val="0"/>
        <w:shd w:val="clear" w:color="auto" w:fill="auto"/>
        <w:bidi w:val="0"/>
        <w:spacing w:before="0" w:after="240" w:line="240" w:lineRule="auto"/>
        <w:ind w:left="4500" w:right="0" w:firstLine="0"/>
        <w:jc w:val="left"/>
        <w:sectPr>
          <w:footerReference w:type="default" r:id="rId5"/>
          <w:footerReference w:type="even" r:id="rId6"/>
          <w:footerReference w:type="first" r:id="rId7"/>
          <w:footnotePr>
            <w:pos w:val="pageBottom"/>
            <w:numFmt w:val="decimal"/>
            <w:numRestart w:val="continuous"/>
          </w:footnotePr>
          <w:pgSz w:w="11900" w:h="16840"/>
          <w:pgMar w:top="618" w:left="1015" w:right="813" w:bottom="1099" w:header="0" w:footer="3" w:gutter="0"/>
          <w:pgNumType w:start="1"/>
          <w:cols w:space="720"/>
          <w:noEndnote/>
          <w:titlePg/>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1604645</wp:posOffset>
                </wp:positionH>
                <wp:positionV relativeFrom="paragraph">
                  <wp:posOffset>12700</wp:posOffset>
                </wp:positionV>
                <wp:extent cx="542925" cy="163830"/>
                <wp:wrapSquare wrapText="right"/>
                <wp:docPr id="11" name="Shape 11"/>
                <a:graphic xmlns:a="http://schemas.openxmlformats.org/drawingml/2006/main">
                  <a:graphicData uri="http://schemas.microsoft.com/office/word/2010/wordprocessingShape">
                    <wps:wsp>
                      <wps:cNvSpPr txBox="1"/>
                      <wps:spPr>
                        <a:xfrm>
                          <a:ext cx="542925" cy="1638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Zákazník</w:t>
                            </w:r>
                          </w:p>
                        </w:txbxContent>
                      </wps:txbx>
                      <wps:bodyPr wrap="none" lIns="0" tIns="0" rIns="0" bIns="0">
                        <a:noAutoFit/>
                      </wps:bodyPr>
                    </wps:wsp>
                  </a:graphicData>
                </a:graphic>
              </wp:anchor>
            </w:drawing>
          </mc:Choice>
          <mc:Fallback>
            <w:pict>
              <v:shape id="_x0000_s1037" type="#_x0000_t202" style="position:absolute;margin-left:126.34999999999999pt;margin-top:1.pt;width:42.75pt;height:12.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Zákazník</w:t>
                      </w:r>
                    </w:p>
                  </w:txbxContent>
                </v:textbox>
                <w10:wrap type="square" side="right" anchorx="page"/>
              </v:shape>
            </w:pict>
          </mc:Fallback>
        </mc:AlternateContent>
      </w:r>
      <w:r>
        <w:rPr>
          <w:color w:val="000000"/>
          <w:spacing w:val="0"/>
          <w:w w:val="100"/>
          <w:position w:val="0"/>
          <w:shd w:val="clear" w:color="auto" w:fill="auto"/>
          <w:lang w:val="cs-CZ" w:eastAsia="cs-CZ" w:bidi="cs-CZ"/>
        </w:rPr>
        <w:t>Obchodník</w:t>
      </w:r>
    </w:p>
    <w:p>
      <w:pPr>
        <w:pStyle w:val="Style21"/>
        <w:keepNext w:val="0"/>
        <w:keepLines w:val="0"/>
        <w:widowControl w:val="0"/>
        <w:shd w:val="clear" w:color="auto" w:fill="auto"/>
        <w:bidi w:val="0"/>
        <w:spacing w:before="0" w:after="0" w:line="240" w:lineRule="auto"/>
        <w:ind w:left="15" w:right="0" w:firstLine="0"/>
        <w:jc w:val="left"/>
        <w:rPr>
          <w:sz w:val="14"/>
          <w:szCs w:val="14"/>
        </w:rPr>
      </w:pPr>
      <w:r>
        <w:rPr>
          <w:b/>
          <w:bCs/>
          <w:color w:val="000000"/>
          <w:spacing w:val="0"/>
          <w:w w:val="100"/>
          <w:position w:val="0"/>
          <w:sz w:val="14"/>
          <w:szCs w:val="14"/>
          <w:shd w:val="clear" w:color="auto" w:fill="auto"/>
          <w:lang w:val="cs-CZ" w:eastAsia="cs-CZ" w:bidi="cs-CZ"/>
        </w:rPr>
        <w:t>Příloha A - Specifikace odběrných míst Zákazníka</w:t>
      </w:r>
    </w:p>
    <w:tbl>
      <w:tblPr>
        <w:tblOverlap w:val="never"/>
        <w:jc w:val="center"/>
        <w:tblLayout w:type="fixed"/>
      </w:tblPr>
      <w:tblGrid>
        <w:gridCol w:w="840"/>
        <w:gridCol w:w="1938"/>
        <w:gridCol w:w="720"/>
        <w:gridCol w:w="786"/>
        <w:gridCol w:w="2022"/>
        <w:gridCol w:w="1770"/>
        <w:gridCol w:w="702"/>
        <w:gridCol w:w="696"/>
        <w:gridCol w:w="1206"/>
        <w:gridCol w:w="870"/>
        <w:gridCol w:w="1248"/>
      </w:tblGrid>
      <w:tr>
        <w:trPr>
          <w:trHeight w:val="744" w:hRule="exact"/>
        </w:trPr>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č. poř.</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EAN</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64"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Distribuč ní sazba</w:t>
            </w:r>
          </w:p>
        </w:tc>
        <w:tc>
          <w:tcPr>
            <w:tcBorders>
              <w:top w:val="single" w:sz="4"/>
              <w:left w:val="single" w:sz="4"/>
            </w:tcBorders>
            <w:shd w:val="clear" w:color="auto" w:fill="ACDC98"/>
            <w:vAlign w:val="bottom"/>
          </w:tcPr>
          <w:p>
            <w:pPr>
              <w:pStyle w:val="Style24"/>
              <w:keepNext w:val="0"/>
              <w:keepLines w:val="0"/>
              <w:widowControl w:val="0"/>
              <w:shd w:val="clear" w:color="auto" w:fill="auto"/>
              <w:bidi w:val="0"/>
              <w:spacing w:before="0" w:after="0" w:line="271"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Hodnota hlavního jističe</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název obce</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název ulice</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č.p./č.o.</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psč</w:t>
            </w:r>
          </w:p>
        </w:tc>
        <w:tc>
          <w:tcPr>
            <w:tcBorders>
              <w:top w:val="single" w:sz="4"/>
              <w:left w:val="single" w:sz="4"/>
            </w:tcBorders>
            <w:shd w:val="clear" w:color="auto" w:fill="ACDC98"/>
            <w:vAlign w:val="bottom"/>
          </w:tcPr>
          <w:p>
            <w:pPr>
              <w:pStyle w:val="Style24"/>
              <w:keepNext w:val="0"/>
              <w:keepLines w:val="0"/>
              <w:widowControl w:val="0"/>
              <w:shd w:val="clear" w:color="auto" w:fill="auto"/>
              <w:bidi w:val="0"/>
              <w:spacing w:before="0" w:after="0" w:line="271"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plánovaná roční spotřeba VT v MWh</w:t>
            </w:r>
          </w:p>
        </w:tc>
        <w:tc>
          <w:tcPr>
            <w:tcBorders>
              <w:top w:val="single" w:sz="4"/>
              <w:left w:val="single" w:sz="4"/>
            </w:tcBorders>
            <w:shd w:val="clear" w:color="auto" w:fill="ACDC98"/>
            <w:vAlign w:val="bottom"/>
          </w:tcPr>
          <w:p>
            <w:pPr>
              <w:pStyle w:val="Style24"/>
              <w:keepNext w:val="0"/>
              <w:keepLines w:val="0"/>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plánovaná roční spotřeba NT v MWh</w:t>
            </w:r>
          </w:p>
        </w:tc>
        <w:tc>
          <w:tcPr>
            <w:tcBorders>
              <w:top w:val="single" w:sz="4"/>
              <w:left w:val="single" w:sz="4"/>
              <w:right w:val="single" w:sz="4"/>
            </w:tcBorders>
            <w:shd w:val="clear" w:color="auto" w:fill="ACDC98"/>
            <w:vAlign w:val="bottom"/>
          </w:tcPr>
          <w:p>
            <w:pPr>
              <w:pStyle w:val="Style24"/>
              <w:keepNext w:val="0"/>
              <w:keepLines w:val="0"/>
              <w:widowControl w:val="0"/>
              <w:shd w:val="clear" w:color="auto" w:fill="auto"/>
              <w:bidi w:val="0"/>
              <w:spacing w:before="0" w:after="0" w:line="271"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předpokládané datum zahájení dodávky</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859182400707538047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C45D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Herálec</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Herálec</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276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582 55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859182400707260771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C02D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3x40A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Ledeč nad Sázavou</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Na Pláckách</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1302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584 01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14</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859182400700358093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3x32A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Přibyslav</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Malínského</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428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582 22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14</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4</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859182400700355573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3x80A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Havlíčkův Brod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Žižkova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1018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580 01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38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859182400700339641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C02D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3x32A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Ledeč nad Sázavou</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Na Pláckách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584 01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859182400700316321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3x80A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Chotěboř</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Partyzánská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583 01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9</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859182400700310862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C02D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Habry</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Sázavská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399</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582 81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9</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859182400212686431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C01D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1x16A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Lavičky</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Lavičky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594 01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9</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859182400211970609</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3x63A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Velké Meziříčí</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Františky Stránecké</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594 01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6</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859182400211318531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C45D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3x40A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Košetice</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Košetice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394 22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859182400210800020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3x80A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Hrotovice</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Brněnská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600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675 55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4</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859182400210799911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3x63A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Náměšť nad Oslavou</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Ocmanická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93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675 71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4</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859182400210509268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C26D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Žďár nad Sázavou</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Brněnská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6842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595 01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14</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859182400201205896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C02D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3x63A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Polná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Malá cihelna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1146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588 13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859182400201033550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3x160A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Telč</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Radkovská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498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588 56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33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16</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859182400200945588</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Kamenice</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Kamenice</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588 23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74"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17</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859182400200889172</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C01D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1x16A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Třebíč</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Rafaelova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674 01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859182400200884597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C01D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1x16A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Třebíč</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Rafaelova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674 01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19</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859182400200881091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3x50A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Velká Bíteš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Kpt. Jaroše</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595 01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859182400200513589</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C01D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Třebíč</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Janáčkovo stromořadí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674 01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859182400200450396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3x80A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Bystřice nad Pernštejnem</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Nádražní</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470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593 01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12</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22</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859182400200417948</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Želetava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Znojemská</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79</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675 26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23</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859182400200348631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C02D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Jemnice</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U Černého mostu</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1125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675 31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24</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859182400200321511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3x32A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Okříšky</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U Cihelny</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675 21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859182400200283765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C26D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3x80A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Žďár nad Sázavou</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Jihlavská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591 01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12</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859182400200255694</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C02D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3x80A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Moravské Budějovice</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Partyzánská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368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676 02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27</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859182400200159107</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C45D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Sněžné</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Sněžné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592 03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28</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859182400200143090</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Jimramov</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Jimramov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592 42</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29</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859182400200133619</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C45D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3x32A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Nové Město na Moravě</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Pohledec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592 31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30</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859182400200116940</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3x25A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Rudíkov</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Rudíkov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675 05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4</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859182400100795962</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C45D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3x32A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Košetice</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5. května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85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394 22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859182400100626495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3x40A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Počátky</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Nádražní</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K/00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394 64</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859182400100571986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3x250A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Pelhřimov</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Myslotínská</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1887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393 01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47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34</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859182400100469665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3x100A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Horní Cerekev</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Havlíčkova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k/1542/i</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394 03</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859182400100322397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3x37A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Pacov</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Jetřichovská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395 01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36</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859182400100256357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3x250A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Kamenice nad Lipou</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Gabrielka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28</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394 70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15</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48</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0"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859182400100247423</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3x60A</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Humpolec</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Spojovací</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1622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396 01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12</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86" w:hRule="exact"/>
        </w:trPr>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38</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859182400100219666</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C25D</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3x60A</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Pacov</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Nádražní</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1065</w:t>
            </w: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395 01</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10</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6</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r>
        <w:trPr>
          <w:trHeight w:val="19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859182400100180737</w:t>
            </w:r>
          </w:p>
        </w:tc>
        <w:tc>
          <w:tcPr>
            <w:tcBorders>
              <w:top w:val="single" w:sz="4"/>
              <w:left w:val="single" w:sz="4"/>
              <w:bottom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C01D</w:t>
            </w:r>
          </w:p>
        </w:tc>
        <w:tc>
          <w:tcPr>
            <w:tcBorders>
              <w:top w:val="single" w:sz="4"/>
              <w:left w:val="single" w:sz="4"/>
              <w:bottom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1x16A</w:t>
            </w:r>
          </w:p>
        </w:tc>
        <w:tc>
          <w:tcPr>
            <w:tcBorders>
              <w:top w:val="single" w:sz="4"/>
              <w:left w:val="single" w:sz="4"/>
              <w:bottom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shd w:val="clear" w:color="auto" w:fill="auto"/>
                <w:lang w:val="cs-CZ" w:eastAsia="cs-CZ" w:bidi="cs-CZ"/>
              </w:rPr>
              <w:t>Svépravice</w:t>
            </w:r>
          </w:p>
        </w:tc>
        <w:tc>
          <w:tcPr>
            <w:tcBorders>
              <w:top w:val="single" w:sz="4"/>
              <w:left w:val="single" w:sz="4"/>
              <w:bottom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shd w:val="clear" w:color="auto" w:fill="auto"/>
                <w:lang w:val="cs-CZ" w:eastAsia="cs-CZ" w:bidi="cs-CZ"/>
              </w:rPr>
              <w:t>Svépravice</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shd w:val="clear" w:color="auto" w:fill="auto"/>
                <w:lang w:val="cs-CZ" w:eastAsia="cs-CZ" w:bidi="cs-CZ"/>
              </w:rPr>
              <w:t>393 01</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0</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01.01.2021</w:t>
            </w:r>
          </w:p>
        </w:tc>
      </w:tr>
    </w:tbl>
    <w:p>
      <w:pPr>
        <w:sectPr>
          <w:footerReference w:type="default" r:id="rId8"/>
          <w:footerReference w:type="even" r:id="rId9"/>
          <w:footnotePr>
            <w:pos w:val="pageBottom"/>
            <w:numFmt w:val="decimal"/>
            <w:numRestart w:val="continuous"/>
          </w:footnotePr>
          <w:pgSz w:w="16840" w:h="11900" w:orient="landscape"/>
          <w:pgMar w:top="1111" w:left="380" w:right="3662" w:bottom="1111" w:header="683" w:footer="683" w:gutter="0"/>
          <w:cols w:space="720"/>
          <w:noEndnote/>
          <w:rtlGutter w:val="0"/>
          <w:docGrid w:linePitch="360"/>
        </w:sectPr>
      </w:pPr>
    </w:p>
    <w:p>
      <w:pPr>
        <w:pStyle w:val="Style2"/>
        <w:keepNext w:val="0"/>
        <w:keepLines w:val="0"/>
        <w:widowControl w:val="0"/>
        <w:shd w:val="clear" w:color="auto" w:fill="auto"/>
        <w:bidi w:val="0"/>
        <w:spacing w:before="0" w:after="740" w:line="240" w:lineRule="auto"/>
        <w:ind w:left="0" w:right="0" w:firstLine="480"/>
        <w:jc w:val="left"/>
      </w:pPr>
      <w:r>
        <w:rPr>
          <w:b/>
          <w:bCs/>
          <w:color w:val="000000"/>
          <w:spacing w:val="0"/>
          <w:w w:val="100"/>
          <w:position w:val="0"/>
          <w:shd w:val="clear" w:color="auto" w:fill="auto"/>
          <w:lang w:val="cs-CZ" w:eastAsia="cs-CZ" w:bidi="cs-CZ"/>
        </w:rPr>
        <w:t>Příloha B - Cena za dodávku elektřiny</w:t>
      </w:r>
    </w:p>
    <w:p>
      <w:pPr>
        <w:pStyle w:val="Style17"/>
        <w:keepNext/>
        <w:keepLines/>
        <w:widowControl w:val="0"/>
        <w:shd w:val="clear" w:color="auto" w:fill="auto"/>
        <w:bidi w:val="0"/>
        <w:spacing w:before="0" w:after="240" w:line="266"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Cena za dodávku elektřiny</w:t>
      </w:r>
      <w:bookmarkEnd w:id="14"/>
      <w:bookmarkEnd w:id="15"/>
    </w:p>
    <w:p>
      <w:pPr>
        <w:pStyle w:val="Style2"/>
        <w:keepNext w:val="0"/>
        <w:keepLines w:val="0"/>
        <w:widowControl w:val="0"/>
        <w:shd w:val="clear" w:color="auto" w:fill="auto"/>
        <w:bidi w:val="0"/>
        <w:spacing w:before="0" w:after="240" w:line="266" w:lineRule="auto"/>
        <w:ind w:left="480" w:right="0" w:firstLine="0"/>
        <w:jc w:val="left"/>
      </w:pPr>
      <w:r>
        <w:rPr>
          <w:color w:val="000000"/>
          <w:spacing w:val="0"/>
          <w:w w:val="100"/>
          <w:position w:val="0"/>
          <w:shd w:val="clear" w:color="auto" w:fill="auto"/>
          <w:lang w:val="cs-CZ" w:eastAsia="cs-CZ" w:bidi="cs-CZ"/>
        </w:rPr>
        <w:t xml:space="preserve">Cena za plnění Obchodníka je tvořena regulovanou složkou ceny, kterou zveřejňuje Energetický regulační úřad formou cenového rozhodnutí, neregulovanou složkou ceny (dále jen </w:t>
      </w:r>
      <w:r>
        <w:rPr>
          <w:b/>
          <w:bCs/>
          <w:color w:val="000000"/>
          <w:spacing w:val="0"/>
          <w:w w:val="100"/>
          <w:position w:val="0"/>
          <w:shd w:val="clear" w:color="auto" w:fill="auto"/>
          <w:lang w:val="cs-CZ" w:eastAsia="cs-CZ" w:bidi="cs-CZ"/>
        </w:rPr>
        <w:t xml:space="preserve">„Cena za dodávku elektřiny“) </w:t>
      </w:r>
      <w:r>
        <w:rPr>
          <w:color w:val="000000"/>
          <w:spacing w:val="0"/>
          <w:w w:val="100"/>
          <w:position w:val="0"/>
          <w:shd w:val="clear" w:color="auto" w:fill="auto"/>
          <w:lang w:val="cs-CZ" w:eastAsia="cs-CZ" w:bidi="cs-CZ"/>
        </w:rPr>
        <w:t>a příslušnými daněmi.</w:t>
      </w:r>
    </w:p>
    <w:p>
      <w:pPr>
        <w:pStyle w:val="Style2"/>
        <w:keepNext w:val="0"/>
        <w:keepLines w:val="0"/>
        <w:widowControl w:val="0"/>
        <w:shd w:val="clear" w:color="auto" w:fill="auto"/>
        <w:bidi w:val="0"/>
        <w:spacing w:before="0" w:after="240" w:line="264" w:lineRule="auto"/>
        <w:ind w:left="880" w:right="0" w:hanging="400"/>
        <w:jc w:val="left"/>
      </w:pPr>
      <w:r>
        <w:rPr>
          <w:b/>
          <w:bCs/>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xml:space="preserve">Obchodník se Zákazníkem sjednávají individuální fixní cenu za dodávku elektřiny pro období od 01.01.2021 do 31.12.2021 (pro účely této Přílohy B jen </w:t>
      </w:r>
      <w:r>
        <w:rPr>
          <w:b/>
          <w:bCs/>
          <w:color w:val="000000"/>
          <w:spacing w:val="0"/>
          <w:w w:val="100"/>
          <w:position w:val="0"/>
          <w:shd w:val="clear" w:color="auto" w:fill="auto"/>
          <w:lang w:val="cs-CZ" w:eastAsia="cs-CZ" w:bidi="cs-CZ"/>
        </w:rPr>
        <w:t xml:space="preserve">„Cenové období“), </w:t>
      </w:r>
      <w:r>
        <w:rPr>
          <w:color w:val="000000"/>
          <w:spacing w:val="0"/>
          <w:w w:val="100"/>
          <w:position w:val="0"/>
          <w:shd w:val="clear" w:color="auto" w:fill="auto"/>
          <w:lang w:val="cs-CZ" w:eastAsia="cs-CZ" w:bidi="cs-CZ"/>
        </w:rPr>
        <w:t>která činí:</w:t>
      </w:r>
    </w:p>
    <w:tbl>
      <w:tblPr>
        <w:tblOverlap w:val="never"/>
        <w:jc w:val="center"/>
        <w:tblLayout w:type="fixed"/>
      </w:tblPr>
      <w:tblGrid>
        <w:gridCol w:w="2094"/>
        <w:gridCol w:w="2712"/>
        <w:gridCol w:w="2442"/>
        <w:gridCol w:w="1776"/>
      </w:tblGrid>
      <w:tr>
        <w:trPr>
          <w:trHeight w:val="1056" w:hRule="exact"/>
        </w:trPr>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distribuční sazba</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vysoký tarif (VT) v Kč/MWh bez DPH</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nízký tarif (NT) v Kč/MWh bez DPH</w:t>
            </w:r>
          </w:p>
        </w:tc>
        <w:tc>
          <w:tcPr>
            <w:tcBorders>
              <w:top w:val="single" w:sz="4"/>
              <w:left w:val="single" w:sz="4"/>
              <w:righ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stálý měsíční plat v Kč/měsíc</w:t>
            </w:r>
          </w:p>
        </w:tc>
      </w:tr>
      <w:tr>
        <w:trPr>
          <w:trHeight w:val="324"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C01d, C02d, C03d</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1 287,-</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r>
        <w:trPr>
          <w:trHeight w:val="312"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C25d, C26d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1 287,-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1 287,-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r>
        <w:trPr>
          <w:trHeight w:val="318"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C35d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1 287,-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1 287,-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r>
        <w:trPr>
          <w:trHeight w:val="330" w:hRule="exact"/>
        </w:trPr>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C45d, C46d</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1 287,-</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1 287,-</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bl>
    <w:p>
      <w:pPr>
        <w:widowControl w:val="0"/>
        <w:spacing w:after="459" w:line="1" w:lineRule="exact"/>
      </w:pP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Částka DPH v Kč/MWh pro jednotlivé distribuční sazby činí:</w:t>
      </w:r>
    </w:p>
    <w:tbl>
      <w:tblPr>
        <w:tblOverlap w:val="never"/>
        <w:jc w:val="center"/>
        <w:tblLayout w:type="fixed"/>
      </w:tblPr>
      <w:tblGrid>
        <w:gridCol w:w="2100"/>
        <w:gridCol w:w="2712"/>
        <w:gridCol w:w="2442"/>
        <w:gridCol w:w="1860"/>
      </w:tblGrid>
      <w:tr>
        <w:trPr>
          <w:trHeight w:val="1056" w:hRule="exact"/>
        </w:trPr>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distribuční sazba</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vysoký tarif (VT) v Kč/MWh bez DPH</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nízký tarif (NT) v Kč/MWh bez DPH</w:t>
            </w:r>
          </w:p>
        </w:tc>
        <w:tc>
          <w:tcPr>
            <w:tcBorders>
              <w:top w:val="single" w:sz="4"/>
              <w:left w:val="single" w:sz="4"/>
              <w:righ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stálý měsíční plat v Kč/měsíc</w:t>
            </w:r>
          </w:p>
        </w:tc>
      </w:tr>
      <w:tr>
        <w:trPr>
          <w:trHeight w:val="324"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C01d, C02d, C03d</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270,27,-</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740"/>
              <w:jc w:val="left"/>
              <w:rPr>
                <w:sz w:val="19"/>
                <w:szCs w:val="19"/>
              </w:rPr>
            </w:pPr>
            <w:r>
              <w:rPr>
                <w:color w:val="000000"/>
                <w:spacing w:val="0"/>
                <w:w w:val="100"/>
                <w:position w:val="0"/>
                <w:sz w:val="19"/>
                <w:szCs w:val="19"/>
                <w:shd w:val="clear" w:color="auto" w:fill="auto"/>
                <w:lang w:val="cs-CZ" w:eastAsia="cs-CZ" w:bidi="cs-CZ"/>
              </w:rPr>
              <w:t>0,-</w:t>
            </w:r>
          </w:p>
        </w:tc>
      </w:tr>
      <w:tr>
        <w:trPr>
          <w:trHeight w:val="318"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C25d, C26d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270,27,-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270,27,-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740"/>
              <w:jc w:val="left"/>
              <w:rPr>
                <w:sz w:val="19"/>
                <w:szCs w:val="19"/>
              </w:rPr>
            </w:pPr>
            <w:r>
              <w:rPr>
                <w:color w:val="000000"/>
                <w:spacing w:val="0"/>
                <w:w w:val="100"/>
                <w:position w:val="0"/>
                <w:sz w:val="19"/>
                <w:szCs w:val="19"/>
                <w:shd w:val="clear" w:color="auto" w:fill="auto"/>
                <w:lang w:val="cs-CZ" w:eastAsia="cs-CZ" w:bidi="cs-CZ"/>
              </w:rPr>
              <w:t>0,-</w:t>
            </w:r>
          </w:p>
        </w:tc>
      </w:tr>
      <w:tr>
        <w:trPr>
          <w:trHeight w:val="312"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C35d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270,27,-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270,27,-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740"/>
              <w:jc w:val="left"/>
              <w:rPr>
                <w:sz w:val="19"/>
                <w:szCs w:val="19"/>
              </w:rPr>
            </w:pPr>
            <w:r>
              <w:rPr>
                <w:color w:val="000000"/>
                <w:spacing w:val="0"/>
                <w:w w:val="100"/>
                <w:position w:val="0"/>
                <w:sz w:val="19"/>
                <w:szCs w:val="19"/>
                <w:shd w:val="clear" w:color="auto" w:fill="auto"/>
                <w:lang w:val="cs-CZ" w:eastAsia="cs-CZ" w:bidi="cs-CZ"/>
              </w:rPr>
              <w:t>0,-</w:t>
            </w:r>
          </w:p>
        </w:tc>
      </w:tr>
      <w:tr>
        <w:trPr>
          <w:trHeight w:val="330" w:hRule="exact"/>
        </w:trPr>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C45d, C46d</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270,27,-</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270,27,-</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740"/>
              <w:jc w:val="left"/>
              <w:rPr>
                <w:sz w:val="19"/>
                <w:szCs w:val="19"/>
              </w:rPr>
            </w:pPr>
            <w:r>
              <w:rPr>
                <w:color w:val="000000"/>
                <w:spacing w:val="0"/>
                <w:w w:val="100"/>
                <w:position w:val="0"/>
                <w:sz w:val="19"/>
                <w:szCs w:val="19"/>
                <w:shd w:val="clear" w:color="auto" w:fill="auto"/>
                <w:lang w:val="cs-CZ" w:eastAsia="cs-CZ" w:bidi="cs-CZ"/>
              </w:rPr>
              <w:t>0,-</w:t>
            </w:r>
          </w:p>
        </w:tc>
      </w:tr>
    </w:tbl>
    <w:p>
      <w:pPr>
        <w:widowControl w:val="0"/>
        <w:spacing w:after="459" w:line="1" w:lineRule="exact"/>
      </w:pP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Cena vč. DPH v Kč/MWh pro jednotlivé distribuční sazby činí:</w:t>
      </w:r>
    </w:p>
    <w:tbl>
      <w:tblPr>
        <w:tblOverlap w:val="never"/>
        <w:jc w:val="center"/>
        <w:tblLayout w:type="fixed"/>
      </w:tblPr>
      <w:tblGrid>
        <w:gridCol w:w="2100"/>
        <w:gridCol w:w="2706"/>
        <w:gridCol w:w="2442"/>
        <w:gridCol w:w="1782"/>
      </w:tblGrid>
      <w:tr>
        <w:trPr>
          <w:trHeight w:val="1050" w:hRule="exact"/>
        </w:trPr>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distribuční sazba</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vysoký tarif (VT) v Kč/MWh bez DPH</w:t>
            </w:r>
          </w:p>
        </w:tc>
        <w:tc>
          <w:tcPr>
            <w:tcBorders>
              <w:top w:val="single" w:sz="4"/>
              <w:lef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nízký tarif (NT) v Kč/MWh bez DPH</w:t>
            </w:r>
          </w:p>
        </w:tc>
        <w:tc>
          <w:tcPr>
            <w:tcBorders>
              <w:top w:val="single" w:sz="4"/>
              <w:left w:val="single" w:sz="4"/>
              <w:right w:val="single" w:sz="4"/>
            </w:tcBorders>
            <w:shd w:val="clear" w:color="auto" w:fill="ACDC98"/>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stálý měsíční plat v Kč/měsíc</w:t>
            </w:r>
          </w:p>
        </w:tc>
      </w:tr>
      <w:tr>
        <w:trPr>
          <w:trHeight w:val="324" w:hRule="exact"/>
        </w:trPr>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C01d, C02d, C03d</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1 557,27,-</w:t>
            </w:r>
          </w:p>
        </w:tc>
        <w:tc>
          <w:tcPr>
            <w:tcBorders>
              <w:top w:val="single" w:sz="4"/>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r>
        <w:trPr>
          <w:trHeight w:val="312"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C25d, C26d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1 557,27,-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1 557,27,-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r>
        <w:trPr>
          <w:trHeight w:val="318" w:hRule="exact"/>
        </w:trPr>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C35d</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1 557,27,-</w:t>
            </w:r>
          </w:p>
        </w:tc>
        <w:tc>
          <w:tcPr>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1 557,27,-</w:t>
            </w:r>
          </w:p>
        </w:tc>
        <w:tc>
          <w:tcPr>
            <w:tcBorders>
              <w:top w:val="single" w:sz="4"/>
              <w:left w:val="single" w:sz="4"/>
              <w:righ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r>
        <w:trPr>
          <w:trHeight w:val="324" w:hRule="exact"/>
        </w:trPr>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C45d, C46d</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1 557,27,-</w:t>
            </w:r>
          </w:p>
        </w:tc>
        <w:tc>
          <w:tcPr>
            <w:tcBorders>
              <w:top w:val="single" w:sz="4"/>
              <w:left w:val="single" w:sz="4"/>
              <w:bottom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1 557,27,-</w:t>
            </w:r>
          </w:p>
        </w:tc>
        <w:tc>
          <w:tcPr>
            <w:tcBorders>
              <w:top w:val="single" w:sz="4"/>
              <w:left w:val="single" w:sz="4"/>
              <w:bottom w:val="single" w:sz="4"/>
              <w:righ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0,-</w:t>
            </w:r>
          </w:p>
        </w:tc>
      </w:tr>
    </w:tbl>
    <w:p>
      <w:pPr>
        <w:sectPr>
          <w:footnotePr>
            <w:pos w:val="pageBottom"/>
            <w:numFmt w:val="decimal"/>
            <w:numRestart w:val="continuous"/>
          </w:footnotePr>
          <w:pgSz w:w="11900" w:h="16840"/>
          <w:pgMar w:top="1467" w:left="952" w:right="943" w:bottom="1467" w:header="1039" w:footer="1039" w:gutter="0"/>
          <w:cols w:space="720"/>
          <w:noEndnote/>
          <w:rtlGutter w:val="0"/>
          <w:docGrid w:linePitch="360"/>
        </w:sectPr>
      </w:pPr>
    </w:p>
    <w:p>
      <w:pPr>
        <w:pStyle w:val="Style31"/>
        <w:keepNext w:val="0"/>
        <w:keepLines w:val="0"/>
        <w:widowControl w:val="0"/>
        <w:shd w:val="clear" w:color="auto" w:fill="auto"/>
        <w:bidi w:val="0"/>
        <w:spacing w:before="0" w:line="240" w:lineRule="auto"/>
        <w:ind w:right="0" w:firstLine="0"/>
        <w:jc w:val="left"/>
      </w:pPr>
      <w:r>
        <w:rPr>
          <w:color w:val="F5A024"/>
          <w:spacing w:val="0"/>
          <w:w w:val="100"/>
          <w:position w:val="0"/>
          <w:shd w:val="clear" w:color="auto" w:fill="auto"/>
          <w:lang w:val="cs-CZ" w:eastAsia="cs-CZ" w:bidi="cs-CZ"/>
        </w:rPr>
        <w:t xml:space="preserve">PRAŽSKA </w:t>
      </w:r>
      <w:r>
        <w:rPr>
          <w:spacing w:val="0"/>
          <w:w w:val="100"/>
          <w:position w:val="0"/>
          <w:shd w:val="clear" w:color="auto" w:fill="auto"/>
          <w:lang w:val="cs-CZ" w:eastAsia="cs-CZ" w:bidi="cs-CZ"/>
        </w:rPr>
        <w:t>PLYNÁRENSKÁ</w:t>
      </w:r>
    </w:p>
    <w:p>
      <w:pPr>
        <w:pStyle w:val="Style35"/>
        <w:keepNext w:val="0"/>
        <w:keepLines w:val="0"/>
        <w:widowControl w:val="0"/>
        <w:shd w:val="clear" w:color="auto" w:fill="auto"/>
        <w:bidi w:val="0"/>
        <w:spacing w:before="0" w:after="0" w:line="240" w:lineRule="auto"/>
        <w:ind w:left="0" w:right="0" w:firstLine="0"/>
        <w:jc w:val="center"/>
        <w:sectPr>
          <w:footerReference w:type="default" r:id="rId10"/>
          <w:footerReference w:type="even" r:id="rId11"/>
          <w:footnotePr>
            <w:pos w:val="pageBottom"/>
            <w:numFmt w:val="decimal"/>
            <w:numRestart w:val="continuous"/>
          </w:footnotePr>
          <w:pgSz w:w="11900" w:h="16840"/>
          <w:pgMar w:top="1242" w:left="993" w:right="902" w:bottom="1009" w:header="814" w:footer="3" w:gutter="0"/>
          <w:cols w:space="720"/>
          <w:noEndnote/>
          <w:rtlGutter w:val="0"/>
          <w:docGrid w:linePitch="360"/>
        </w:sectPr>
      </w:pPr>
      <w:r>
        <w:rPr>
          <w:color w:val="000000"/>
          <w:spacing w:val="0"/>
          <w:w w:val="100"/>
          <w:position w:val="0"/>
          <w:shd w:val="clear" w:color="auto" w:fill="auto"/>
          <w:lang w:val="cs-CZ" w:eastAsia="cs-CZ" w:bidi="cs-CZ"/>
        </w:rPr>
        <w:t>OBCHODNÍ PODMÍNKY DODÁVKY ELEKTŘINY ZE SÍTÍ NÍZKÉHO NAPĚTÍ</w:t>
      </w:r>
    </w:p>
    <w:p>
      <w:pPr>
        <w:pStyle w:val="Style17"/>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I. Úvodní ustanovení</w:t>
      </w:r>
      <w:bookmarkEnd w:id="16"/>
      <w:bookmarkEnd w:id="17"/>
    </w:p>
    <w:p>
      <w:pPr>
        <w:pStyle w:val="Style37"/>
        <w:keepNext w:val="0"/>
        <w:keepLines w:val="0"/>
        <w:widowControl w:val="0"/>
        <w:numPr>
          <w:ilvl w:val="0"/>
          <w:numId w:val="3"/>
        </w:numPr>
        <w:shd w:val="clear" w:color="auto" w:fill="auto"/>
        <w:tabs>
          <w:tab w:pos="260" w:val="left"/>
        </w:tabs>
        <w:bidi w:val="0"/>
        <w:spacing w:before="0" w:line="262" w:lineRule="auto"/>
        <w:ind w:left="0" w:right="0" w:firstLine="0"/>
        <w:jc w:val="both"/>
      </w:pPr>
      <w:r>
        <w:rPr>
          <w:color w:val="000000"/>
          <w:spacing w:val="0"/>
          <w:w w:val="100"/>
          <w:position w:val="0"/>
          <w:shd w:val="clear" w:color="auto" w:fill="auto"/>
          <w:lang w:val="cs-CZ" w:eastAsia="cs-CZ" w:bidi="cs-CZ"/>
        </w:rPr>
        <w:t>Tyto obchodní podmínky dodávky elektřiny ze sítí nízkého napětí (dále jen „OP“) jsou nedílnou součástí Smlouvy o sdružených služ</w:t>
        <w:softHyphen/>
        <w:t xml:space="preserve">bách dodávky elektřiny ze sítí nízkého napětí (dále jen </w:t>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která bude uzavřená po 1.1. 2016. OP upravují další vzájemná prá</w:t>
        <w:softHyphen/>
        <w:t xml:space="preserve">va a povinnosti Pražské plynárenské, a. s., (dále jen </w:t>
      </w:r>
      <w:r>
        <w:rPr>
          <w:b/>
          <w:bCs/>
          <w:color w:val="000000"/>
          <w:spacing w:val="0"/>
          <w:w w:val="100"/>
          <w:position w:val="0"/>
          <w:shd w:val="clear" w:color="auto" w:fill="auto"/>
          <w:lang w:val="cs-CZ" w:eastAsia="cs-CZ" w:bidi="cs-CZ"/>
        </w:rPr>
        <w:t xml:space="preserve">„Obchodník“) </w:t>
      </w:r>
      <w:r>
        <w:rPr>
          <w:color w:val="000000"/>
          <w:spacing w:val="0"/>
          <w:w w:val="100"/>
          <w:position w:val="0"/>
          <w:shd w:val="clear" w:color="auto" w:fill="auto"/>
          <w:lang w:val="cs-CZ" w:eastAsia="cs-CZ" w:bidi="cs-CZ"/>
        </w:rPr>
        <w:t xml:space="preserve">a zákazníka v kategorii Maloodběratel - Domácnost nebo v kategorii Maloodběratel - Podnikatel (dále jen </w:t>
      </w:r>
      <w:r>
        <w:rPr>
          <w:b/>
          <w:bCs/>
          <w:color w:val="000000"/>
          <w:spacing w:val="0"/>
          <w:w w:val="100"/>
          <w:position w:val="0"/>
          <w:shd w:val="clear" w:color="auto" w:fill="auto"/>
          <w:lang w:val="cs-CZ" w:eastAsia="cs-CZ" w:bidi="cs-CZ"/>
        </w:rPr>
        <w:t>„Zákazník“).</w:t>
      </w:r>
    </w:p>
    <w:p>
      <w:pPr>
        <w:pStyle w:val="Style37"/>
        <w:keepNext w:val="0"/>
        <w:keepLines w:val="0"/>
        <w:widowControl w:val="0"/>
        <w:numPr>
          <w:ilvl w:val="0"/>
          <w:numId w:val="3"/>
        </w:numPr>
        <w:shd w:val="clear" w:color="auto" w:fill="auto"/>
        <w:tabs>
          <w:tab w:pos="257" w:val="left"/>
        </w:tabs>
        <w:bidi w:val="0"/>
        <w:spacing w:before="0"/>
        <w:ind w:left="0" w:right="0" w:firstLine="0"/>
        <w:jc w:val="both"/>
      </w:pPr>
      <w:r>
        <w:rPr>
          <w:color w:val="000000"/>
          <w:spacing w:val="0"/>
          <w:w w:val="100"/>
          <w:position w:val="0"/>
          <w:shd w:val="clear" w:color="auto" w:fill="auto"/>
          <w:lang w:val="cs-CZ" w:eastAsia="cs-CZ" w:bidi="cs-CZ"/>
        </w:rPr>
        <w:t>Práva a povinnosti smluvních stran se řídí obecné závaznými práv</w:t>
        <w:softHyphen/>
        <w:t>ními předpisy České republiky, především zákonem číslo 89/2012 Sb., občanským zákoníkem, v platném znění (dále jen „NOZ“), a zákonem číslo 458/2000 Sb., o podmínkách podnikání a o výkonu státní sprá</w:t>
        <w:softHyphen/>
        <w:t xml:space="preserve">vy v energetických odvětvích, ve znění pozdějších předpisů (dále jen </w:t>
      </w:r>
      <w:r>
        <w:rPr>
          <w:b/>
          <w:bCs/>
          <w:color w:val="000000"/>
          <w:spacing w:val="0"/>
          <w:w w:val="100"/>
          <w:position w:val="0"/>
          <w:shd w:val="clear" w:color="auto" w:fill="auto"/>
          <w:lang w:val="cs-CZ" w:eastAsia="cs-CZ" w:bidi="cs-CZ"/>
        </w:rPr>
        <w:t>„energetický zákon“ nebo „EZ“).</w:t>
      </w:r>
    </w:p>
    <w:p>
      <w:pPr>
        <w:pStyle w:val="Style37"/>
        <w:keepNext w:val="0"/>
        <w:keepLines w:val="0"/>
        <w:widowControl w:val="0"/>
        <w:numPr>
          <w:ilvl w:val="0"/>
          <w:numId w:val="3"/>
        </w:numPr>
        <w:shd w:val="clear" w:color="auto" w:fill="auto"/>
        <w:tabs>
          <w:tab w:pos="260" w:val="left"/>
        </w:tabs>
        <w:bidi w:val="0"/>
        <w:spacing w:before="0"/>
        <w:ind w:left="0" w:right="0" w:firstLine="0"/>
        <w:jc w:val="both"/>
      </w:pPr>
      <w:r>
        <w:rPr>
          <w:color w:val="000000"/>
          <w:spacing w:val="0"/>
          <w:w w:val="100"/>
          <w:position w:val="0"/>
          <w:shd w:val="clear" w:color="auto" w:fill="auto"/>
          <w:lang w:val="cs-CZ" w:eastAsia="cs-CZ" w:bidi="cs-CZ"/>
        </w:rPr>
        <w:t>Zákazníkem kategorie Maloodběratel - Domácnost je fyzická osoba, která elektřinu odebírá pro svou osobní potřebu související s bydlením či potřebu členů její domácnosti. Zákazníkem kategorie Maloodběratel - Podnikatel je fýzická či právnická osoba, která elektřinu odebírá pro účely podnikání.</w:t>
      </w:r>
    </w:p>
    <w:p>
      <w:pPr>
        <w:pStyle w:val="Style37"/>
        <w:keepNext w:val="0"/>
        <w:keepLines w:val="0"/>
        <w:widowControl w:val="0"/>
        <w:numPr>
          <w:ilvl w:val="0"/>
          <w:numId w:val="3"/>
        </w:numPr>
        <w:shd w:val="clear" w:color="auto" w:fill="auto"/>
        <w:tabs>
          <w:tab w:pos="269" w:val="left"/>
        </w:tabs>
        <w:bidi w:val="0"/>
        <w:spacing w:before="0"/>
        <w:ind w:left="0" w:right="0" w:firstLine="0"/>
        <w:jc w:val="both"/>
      </w:pPr>
      <w:r>
        <w:rPr>
          <w:color w:val="000000"/>
          <w:spacing w:val="0"/>
          <w:w w:val="100"/>
          <w:position w:val="0"/>
          <w:shd w:val="clear" w:color="auto" w:fill="auto"/>
          <w:lang w:val="cs-CZ" w:eastAsia="cs-CZ" w:bidi="cs-CZ"/>
        </w:rPr>
        <w:t xml:space="preserve">Distribuční služby jsou poskytovány Obchodníkem v souladu se smlouvou o připojení k distribuční soustavě, kterou Zákazník uzavírá s místně příslušným provozovatelem distribuční soustavy (dále jen </w:t>
      </w:r>
      <w:r>
        <w:rPr>
          <w:b/>
          <w:bCs/>
          <w:color w:val="000000"/>
          <w:spacing w:val="0"/>
          <w:w w:val="100"/>
          <w:position w:val="0"/>
          <w:shd w:val="clear" w:color="auto" w:fill="auto"/>
          <w:lang w:val="cs-CZ" w:eastAsia="cs-CZ" w:bidi="cs-CZ"/>
        </w:rPr>
        <w:t xml:space="preserve">„PDS“), </w:t>
      </w:r>
      <w:r>
        <w:rPr>
          <w:color w:val="000000"/>
          <w:spacing w:val="0"/>
          <w:w w:val="100"/>
          <w:position w:val="0"/>
          <w:shd w:val="clear" w:color="auto" w:fill="auto"/>
          <w:lang w:val="cs-CZ" w:eastAsia="cs-CZ" w:bidi="cs-CZ"/>
        </w:rPr>
        <w:t xml:space="preserve">a v souladu s Řádem provozovatele distribuční soustavy (dále jen </w:t>
      </w:r>
      <w:r>
        <w:rPr>
          <w:b/>
          <w:bCs/>
          <w:color w:val="000000"/>
          <w:spacing w:val="0"/>
          <w:w w:val="100"/>
          <w:position w:val="0"/>
          <w:shd w:val="clear" w:color="auto" w:fill="auto"/>
          <w:lang w:val="cs-CZ" w:eastAsia="cs-CZ" w:bidi="cs-CZ"/>
        </w:rPr>
        <w:t>„ŘPDS“).</w:t>
      </w:r>
    </w:p>
    <w:p>
      <w:pPr>
        <w:pStyle w:val="Style17"/>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II. Cena</w:t>
      </w:r>
      <w:bookmarkEnd w:id="18"/>
      <w:bookmarkEnd w:id="19"/>
    </w:p>
    <w:p>
      <w:pPr>
        <w:pStyle w:val="Style37"/>
        <w:keepNext w:val="0"/>
        <w:keepLines w:val="0"/>
        <w:widowControl w:val="0"/>
        <w:numPr>
          <w:ilvl w:val="0"/>
          <w:numId w:val="5"/>
        </w:numPr>
        <w:shd w:val="clear" w:color="auto" w:fill="auto"/>
        <w:tabs>
          <w:tab w:pos="242" w:val="left"/>
        </w:tabs>
        <w:bidi w:val="0"/>
        <w:spacing w:before="0"/>
        <w:ind w:left="0" w:right="0" w:firstLine="0"/>
        <w:jc w:val="both"/>
      </w:pPr>
      <w:r>
        <w:rPr>
          <w:color w:val="000000"/>
          <w:spacing w:val="0"/>
          <w:w w:val="100"/>
          <w:position w:val="0"/>
          <w:shd w:val="clear" w:color="auto" w:fill="auto"/>
          <w:lang w:val="cs-CZ" w:eastAsia="cs-CZ" w:bidi="cs-CZ"/>
        </w:rPr>
        <w:t>Cenou se rozumí cena sdružené dodávky elektřiny, která je tvořena</w:t>
      </w:r>
    </w:p>
    <w:p>
      <w:pPr>
        <w:pStyle w:val="Style37"/>
        <w:keepNext w:val="0"/>
        <w:keepLines w:val="0"/>
        <w:widowControl w:val="0"/>
        <w:numPr>
          <w:ilvl w:val="0"/>
          <w:numId w:val="7"/>
        </w:numPr>
        <w:shd w:val="clear" w:color="auto" w:fill="auto"/>
        <w:tabs>
          <w:tab w:pos="520" w:val="left"/>
        </w:tabs>
        <w:bidi w:val="0"/>
        <w:spacing w:before="0"/>
        <w:ind w:left="0" w:right="0" w:firstLine="260"/>
        <w:jc w:val="both"/>
      </w:pPr>
      <w:r>
        <w:rPr>
          <w:b/>
          <w:bCs/>
          <w:color w:val="000000"/>
          <w:spacing w:val="0"/>
          <w:w w:val="100"/>
          <w:position w:val="0"/>
          <w:shd w:val="clear" w:color="auto" w:fill="auto"/>
          <w:lang w:val="cs-CZ" w:eastAsia="cs-CZ" w:bidi="cs-CZ"/>
        </w:rPr>
        <w:t>regulovanou složkou ceny, která se skládá z:</w:t>
      </w:r>
    </w:p>
    <w:p>
      <w:pPr>
        <w:pStyle w:val="Style37"/>
        <w:keepNext w:val="0"/>
        <w:keepLines w:val="0"/>
        <w:widowControl w:val="0"/>
        <w:shd w:val="clear" w:color="auto" w:fill="auto"/>
        <w:tabs>
          <w:tab w:pos="787" w:val="left"/>
        </w:tabs>
        <w:bidi w:val="0"/>
        <w:spacing w:before="0"/>
        <w:ind w:left="700" w:right="0" w:hanging="260"/>
        <w:jc w:val="both"/>
      </w:pPr>
      <w:r>
        <w:rPr>
          <w:color w:val="000000"/>
          <w:spacing w:val="0"/>
          <w:w w:val="100"/>
          <w:position w:val="0"/>
          <w:shd w:val="clear" w:color="auto" w:fill="auto"/>
          <w:lang w:val="cs-CZ" w:eastAsia="cs-CZ" w:bidi="cs-CZ"/>
        </w:rPr>
        <w:t>aa)</w:t>
        <w:tab/>
        <w:t>ceny za zajišťování distribuce elektřiny, která se skládá z: ceny za příkon podle jmenovité proudové hodnoty hlav</w:t>
        <w:softHyphen/>
        <w:t>ního jističe před elektroměrem, ceny za distribuované množ</w:t>
        <w:softHyphen/>
        <w:t>ství elektřiny ve vysokém tarifu v Kč/MWh a ceny za distribu</w:t>
        <w:softHyphen/>
        <w:t>ované množství elektřiny v nízkém tarifu v Kč/MWh.</w:t>
      </w:r>
    </w:p>
    <w:p>
      <w:pPr>
        <w:pStyle w:val="Style37"/>
        <w:keepNext w:val="0"/>
        <w:keepLines w:val="0"/>
        <w:widowControl w:val="0"/>
        <w:shd w:val="clear" w:color="auto" w:fill="auto"/>
        <w:bidi w:val="0"/>
        <w:spacing w:before="0" w:line="254" w:lineRule="auto"/>
        <w:ind w:left="420" w:right="0" w:firstLine="20"/>
        <w:jc w:val="both"/>
      </w:pPr>
      <w:r>
        <w:rPr>
          <w:color w:val="000000"/>
          <w:spacing w:val="0"/>
          <w:w w:val="100"/>
          <w:position w:val="0"/>
          <w:shd w:val="clear" w:color="auto" w:fill="auto"/>
          <w:lang w:val="cs-CZ" w:eastAsia="cs-CZ" w:bidi="cs-CZ"/>
        </w:rPr>
        <w:t>Výše uvedené položky zveřejňuje Energetický regulační úřad (dále jen „ERÚ“) formou cenového rozhodnutí. Tyto položky se u jednotlivých distribučních společností mohou lišit.</w:t>
      </w:r>
    </w:p>
    <w:p>
      <w:pPr>
        <w:pStyle w:val="Style37"/>
        <w:keepNext w:val="0"/>
        <w:keepLines w:val="0"/>
        <w:widowControl w:val="0"/>
        <w:shd w:val="clear" w:color="auto" w:fill="auto"/>
        <w:tabs>
          <w:tab w:pos="787" w:val="left"/>
        </w:tabs>
        <w:bidi w:val="0"/>
        <w:spacing w:before="0" w:line="264" w:lineRule="auto"/>
        <w:ind w:left="700" w:right="0" w:hanging="260"/>
        <w:jc w:val="both"/>
      </w:pPr>
      <w:r>
        <w:rPr>
          <w:color w:val="000000"/>
          <w:spacing w:val="0"/>
          <w:w w:val="100"/>
          <w:position w:val="0"/>
          <w:shd w:val="clear" w:color="auto" w:fill="auto"/>
          <w:lang w:val="cs-CZ" w:eastAsia="cs-CZ" w:bidi="cs-CZ"/>
        </w:rPr>
        <w:t>ab)</w:t>
        <w:tab/>
        <w:t>ceny za systémové služby stanovené jako cena pevná v Kč/MWh,</w:t>
      </w:r>
    </w:p>
    <w:p>
      <w:pPr>
        <w:pStyle w:val="Style37"/>
        <w:keepNext w:val="0"/>
        <w:keepLines w:val="0"/>
        <w:widowControl w:val="0"/>
        <w:shd w:val="clear" w:color="auto" w:fill="auto"/>
        <w:tabs>
          <w:tab w:pos="787" w:val="left"/>
        </w:tabs>
        <w:bidi w:val="0"/>
        <w:spacing w:before="0"/>
        <w:ind w:left="700" w:right="0" w:hanging="260"/>
        <w:jc w:val="both"/>
      </w:pPr>
      <w:r>
        <w:rPr>
          <w:color w:val="000000"/>
          <w:spacing w:val="0"/>
          <w:w w:val="100"/>
          <w:position w:val="0"/>
          <w:shd w:val="clear" w:color="auto" w:fill="auto"/>
          <w:lang w:val="cs-CZ" w:eastAsia="cs-CZ" w:bidi="cs-CZ"/>
        </w:rPr>
        <w:t>ac)</w:t>
        <w:tab/>
        <w:t>ceny za činnost operátora trhu OTE, a. s. v elektroenergeti- ce, stanovené jako cena pevná v Kč/odběmé místo/měsíc,</w:t>
      </w:r>
    </w:p>
    <w:p>
      <w:pPr>
        <w:pStyle w:val="Style37"/>
        <w:keepNext w:val="0"/>
        <w:keepLines w:val="0"/>
        <w:widowControl w:val="0"/>
        <w:shd w:val="clear" w:color="auto" w:fill="auto"/>
        <w:tabs>
          <w:tab w:pos="787" w:val="left"/>
        </w:tabs>
        <w:bidi w:val="0"/>
        <w:spacing w:before="0" w:line="257" w:lineRule="auto"/>
        <w:ind w:left="700" w:right="0" w:hanging="260"/>
        <w:jc w:val="both"/>
      </w:pPr>
      <w:r>
        <w:rPr>
          <w:color w:val="000000"/>
          <w:spacing w:val="0"/>
          <w:w w:val="100"/>
          <w:position w:val="0"/>
          <w:shd w:val="clear" w:color="auto" w:fill="auto"/>
          <w:lang w:val="cs-CZ" w:eastAsia="cs-CZ" w:bidi="cs-CZ"/>
        </w:rPr>
        <w:t>ad)</w:t>
        <w:tab/>
        <w:t>složku ceny na podporu elektřiny z podporovaných zdrojů energie pro odběrná a předávací místa připojená k distri</w:t>
        <w:softHyphen/>
        <w:t>buční soustavě na napěťové hladině nízkého napětí NN na základě jmenovité proudové hodnoty hlavního jističe před elektroměrem a všech distribučních sazeb v Kč/A/měsíc.</w:t>
      </w:r>
    </w:p>
    <w:p>
      <w:pPr>
        <w:pStyle w:val="Style37"/>
        <w:keepNext w:val="0"/>
        <w:keepLines w:val="0"/>
        <w:widowControl w:val="0"/>
        <w:shd w:val="clear" w:color="auto" w:fill="auto"/>
        <w:bidi w:val="0"/>
        <w:spacing w:before="0" w:line="264" w:lineRule="auto"/>
        <w:ind w:left="420" w:right="0" w:firstLine="20"/>
        <w:jc w:val="both"/>
      </w:pPr>
      <w:r>
        <w:rPr>
          <w:color w:val="000000"/>
          <w:spacing w:val="0"/>
          <w:w w:val="100"/>
          <w:position w:val="0"/>
          <w:shd w:val="clear" w:color="auto" w:fill="auto"/>
          <w:lang w:val="cs-CZ" w:eastAsia="cs-CZ" w:bidi="cs-CZ"/>
        </w:rPr>
        <w:t xml:space="preserve">Výši těchto cen zveřejňuje ERÚ formou cenových rozhodnutí. Znění cenových rozhodnutí je uveřejněno na </w:t>
      </w:r>
      <w:r>
        <w:fldChar w:fldCharType="begin"/>
      </w:r>
      <w:r>
        <w:rPr/>
        <w:instrText> HYPERLINK "http://www.eru.cz" </w:instrText>
      </w:r>
      <w:r>
        <w:fldChar w:fldCharType="separate"/>
      </w:r>
      <w:r>
        <w:rPr>
          <w:color w:val="000000"/>
          <w:spacing w:val="0"/>
          <w:w w:val="100"/>
          <w:position w:val="0"/>
          <w:shd w:val="clear" w:color="auto" w:fill="auto"/>
          <w:lang w:val="en-US" w:eastAsia="en-US" w:bidi="en-US"/>
        </w:rPr>
        <w:t>www.eru.cz</w:t>
      </w:r>
      <w:r>
        <w:fldChar w:fldCharType="end"/>
      </w:r>
      <w:r>
        <w:rPr>
          <w:color w:val="000000"/>
          <w:spacing w:val="0"/>
          <w:w w:val="100"/>
          <w:position w:val="0"/>
          <w:shd w:val="clear" w:color="auto" w:fill="auto"/>
          <w:lang w:val="en-US" w:eastAsia="en-US" w:bidi="en-US"/>
        </w:rPr>
        <w:t>.</w:t>
      </w:r>
    </w:p>
    <w:p>
      <w:pPr>
        <w:pStyle w:val="Style37"/>
        <w:keepNext w:val="0"/>
        <w:keepLines w:val="0"/>
        <w:widowControl w:val="0"/>
        <w:numPr>
          <w:ilvl w:val="0"/>
          <w:numId w:val="7"/>
        </w:numPr>
        <w:shd w:val="clear" w:color="auto" w:fill="auto"/>
        <w:tabs>
          <w:tab w:pos="540" w:val="left"/>
        </w:tabs>
        <w:bidi w:val="0"/>
        <w:spacing w:before="0" w:line="254" w:lineRule="auto"/>
        <w:ind w:left="420" w:right="0" w:hanging="140"/>
        <w:jc w:val="both"/>
      </w:pPr>
      <w:r>
        <w:rPr>
          <w:color w:val="000000"/>
          <w:spacing w:val="0"/>
          <w:w w:val="100"/>
          <w:position w:val="0"/>
          <w:shd w:val="clear" w:color="auto" w:fill="auto"/>
          <w:lang w:val="cs-CZ" w:eastAsia="cs-CZ" w:bidi="cs-CZ"/>
        </w:rPr>
        <w:t>neregulovanou složkou ceny označovanou jako cena za do</w:t>
        <w:softHyphen/>
        <w:t>dávku elektřiny, která se skládá z:</w:t>
      </w:r>
    </w:p>
    <w:p>
      <w:pPr>
        <w:pStyle w:val="Style37"/>
        <w:keepNext w:val="0"/>
        <w:keepLines w:val="0"/>
        <w:widowControl w:val="0"/>
        <w:shd w:val="clear" w:color="auto" w:fill="auto"/>
        <w:tabs>
          <w:tab w:pos="764" w:val="left"/>
        </w:tabs>
        <w:bidi w:val="0"/>
        <w:spacing w:before="0"/>
        <w:ind w:left="0" w:right="0" w:firstLine="420"/>
        <w:jc w:val="both"/>
      </w:pPr>
      <w:r>
        <w:rPr>
          <w:color w:val="000000"/>
          <w:spacing w:val="0"/>
          <w:w w:val="100"/>
          <w:position w:val="0"/>
          <w:shd w:val="clear" w:color="auto" w:fill="auto"/>
          <w:lang w:val="cs-CZ" w:eastAsia="cs-CZ" w:bidi="cs-CZ"/>
        </w:rPr>
        <w:t>ba)</w:t>
        <w:tab/>
        <w:t>stálého měsíčního platu za odběrné místo v Kč/měsíc,</w:t>
      </w:r>
    </w:p>
    <w:p>
      <w:pPr>
        <w:pStyle w:val="Style37"/>
        <w:keepNext w:val="0"/>
        <w:keepLines w:val="0"/>
        <w:widowControl w:val="0"/>
        <w:shd w:val="clear" w:color="auto" w:fill="auto"/>
        <w:tabs>
          <w:tab w:pos="787" w:val="left"/>
        </w:tabs>
        <w:bidi w:val="0"/>
        <w:spacing w:before="0"/>
        <w:ind w:left="700" w:right="0" w:hanging="260"/>
        <w:jc w:val="both"/>
      </w:pPr>
      <w:r>
        <w:rPr>
          <w:color w:val="000000"/>
          <w:spacing w:val="0"/>
          <w:w w:val="100"/>
          <w:position w:val="0"/>
          <w:shd w:val="clear" w:color="auto" w:fill="auto"/>
          <w:lang w:val="cs-CZ" w:eastAsia="cs-CZ" w:bidi="cs-CZ"/>
        </w:rPr>
        <w:t>bb)</w:t>
        <w:tab/>
        <w:t>ceny za dodávku elektřiny, tedy ceny za spotřebovanou elek</w:t>
        <w:softHyphen/>
        <w:t>třinu ve vysokém tarifu v Kč/MWh a ceny za spotřebovanou elektřinu v nízkém tarifu v Kč/MWh.</w:t>
      </w:r>
    </w:p>
    <w:p>
      <w:pPr>
        <w:pStyle w:val="Style37"/>
        <w:keepNext w:val="0"/>
        <w:keepLines w:val="0"/>
        <w:widowControl w:val="0"/>
        <w:shd w:val="clear" w:color="auto" w:fill="auto"/>
        <w:bidi w:val="0"/>
        <w:spacing w:before="0"/>
        <w:ind w:left="420" w:right="0" w:firstLine="20"/>
        <w:jc w:val="both"/>
      </w:pPr>
      <w:r>
        <w:rPr>
          <w:color w:val="000000"/>
          <w:spacing w:val="0"/>
          <w:w w:val="100"/>
          <w:position w:val="0"/>
          <w:shd w:val="clear" w:color="auto" w:fill="auto"/>
          <w:lang w:val="cs-CZ" w:eastAsia="cs-CZ" w:bidi="cs-CZ"/>
        </w:rPr>
        <w:t xml:space="preserve">Cena za dodávku elektřiny je uvedena v ceníku Obchodníka, ve kterém jsou uvedeny aktuální prodejní ceny elektřiny (dále jen </w:t>
      </w:r>
      <w:r>
        <w:rPr>
          <w:b/>
          <w:bCs/>
          <w:color w:val="000000"/>
          <w:spacing w:val="0"/>
          <w:w w:val="100"/>
          <w:position w:val="0"/>
          <w:shd w:val="clear" w:color="auto" w:fill="auto"/>
          <w:lang w:val="cs-CZ" w:eastAsia="cs-CZ" w:bidi="cs-CZ"/>
        </w:rPr>
        <w:t>„Ceník").</w:t>
      </w:r>
    </w:p>
    <w:p>
      <w:pPr>
        <w:pStyle w:val="Style37"/>
        <w:keepNext w:val="0"/>
        <w:keepLines w:val="0"/>
        <w:widowControl w:val="0"/>
        <w:numPr>
          <w:ilvl w:val="0"/>
          <w:numId w:val="7"/>
        </w:numPr>
        <w:shd w:val="clear" w:color="auto" w:fill="auto"/>
        <w:tabs>
          <w:tab w:pos="540" w:val="left"/>
        </w:tabs>
        <w:bidi w:val="0"/>
        <w:spacing w:before="0" w:line="254" w:lineRule="auto"/>
        <w:ind w:left="420" w:right="0" w:hanging="140"/>
        <w:jc w:val="both"/>
      </w:pPr>
      <w:r>
        <w:rPr>
          <w:b/>
          <w:bCs/>
          <w:color w:val="000000"/>
          <w:spacing w:val="0"/>
          <w:w w:val="100"/>
          <w:position w:val="0"/>
          <w:shd w:val="clear" w:color="auto" w:fill="auto"/>
          <w:lang w:val="cs-CZ" w:eastAsia="cs-CZ" w:bidi="cs-CZ"/>
        </w:rPr>
        <w:t xml:space="preserve">daněmi, </w:t>
      </w:r>
      <w:r>
        <w:rPr>
          <w:color w:val="000000"/>
          <w:spacing w:val="0"/>
          <w:w w:val="100"/>
          <w:position w:val="0"/>
          <w:shd w:val="clear" w:color="auto" w:fill="auto"/>
          <w:lang w:val="cs-CZ" w:eastAsia="cs-CZ" w:bidi="cs-CZ"/>
        </w:rPr>
        <w:t>kterými jsou daň z elektřiny a daň z přidané hodnoty (dále jen „DPH“) ve výši dle obecně závazných právních předpisů.</w:t>
      </w:r>
    </w:p>
    <w:p>
      <w:pPr>
        <w:pStyle w:val="Style37"/>
        <w:keepNext w:val="0"/>
        <w:keepLines w:val="0"/>
        <w:widowControl w:val="0"/>
        <w:numPr>
          <w:ilvl w:val="0"/>
          <w:numId w:val="5"/>
        </w:numPr>
        <w:shd w:val="clear" w:color="auto" w:fill="auto"/>
        <w:tabs>
          <w:tab w:pos="257" w:val="left"/>
        </w:tabs>
        <w:bidi w:val="0"/>
        <w:spacing w:before="0"/>
        <w:ind w:left="0" w:right="0" w:firstLine="0"/>
        <w:jc w:val="both"/>
      </w:pPr>
      <w:r>
        <w:rPr>
          <w:color w:val="000000"/>
          <w:spacing w:val="0"/>
          <w:w w:val="100"/>
          <w:position w:val="0"/>
          <w:shd w:val="clear" w:color="auto" w:fill="auto"/>
          <w:lang w:val="cs-CZ" w:eastAsia="cs-CZ" w:bidi="cs-CZ"/>
        </w:rPr>
        <w:t>Cena sdružené dodávky elektřiny se vypočte způsobem uvedeným v Ceníku.</w:t>
      </w:r>
    </w:p>
    <w:p>
      <w:pPr>
        <w:pStyle w:val="Style37"/>
        <w:keepNext w:val="0"/>
        <w:keepLines w:val="0"/>
        <w:widowControl w:val="0"/>
        <w:numPr>
          <w:ilvl w:val="0"/>
          <w:numId w:val="5"/>
        </w:numPr>
        <w:shd w:val="clear" w:color="auto" w:fill="auto"/>
        <w:tabs>
          <w:tab w:pos="260" w:val="left"/>
        </w:tabs>
        <w:bidi w:val="0"/>
        <w:spacing w:before="0" w:line="262" w:lineRule="auto"/>
        <w:ind w:left="0" w:right="0" w:firstLine="0"/>
        <w:jc w:val="both"/>
      </w:pPr>
      <w:r>
        <w:rPr>
          <w:color w:val="000000"/>
          <w:spacing w:val="0"/>
          <w:w w:val="100"/>
          <w:position w:val="0"/>
          <w:shd w:val="clear" w:color="auto" w:fill="auto"/>
          <w:lang w:val="cs-CZ" w:eastAsia="cs-CZ" w:bidi="cs-CZ"/>
        </w:rPr>
        <w:t>Zákazník má právo po dohodě s příslušným PDS zvolit sazbu dis</w:t>
        <w:softHyphen/>
        <w:t>tribuce za předpokladu splnění stanovených podmínek dle platného cenového rozhodnutí ERÚ.</w:t>
      </w:r>
    </w:p>
    <w:p>
      <w:pPr>
        <w:pStyle w:val="Style37"/>
        <w:keepNext w:val="0"/>
        <w:keepLines w:val="0"/>
        <w:widowControl w:val="0"/>
        <w:numPr>
          <w:ilvl w:val="0"/>
          <w:numId w:val="5"/>
        </w:numPr>
        <w:shd w:val="clear" w:color="auto" w:fill="auto"/>
        <w:tabs>
          <w:tab w:pos="297" w:val="left"/>
        </w:tabs>
        <w:bidi w:val="0"/>
        <w:spacing w:before="0" w:after="60" w:line="266" w:lineRule="auto"/>
        <w:ind w:left="0" w:right="0" w:firstLine="0"/>
        <w:jc w:val="both"/>
      </w:pPr>
      <w:r>
        <w:rPr>
          <w:color w:val="000000"/>
          <w:spacing w:val="0"/>
          <w:w w:val="100"/>
          <w:position w:val="0"/>
          <w:shd w:val="clear" w:color="auto" w:fill="auto"/>
          <w:lang w:val="cs-CZ" w:eastAsia="cs-CZ" w:bidi="cs-CZ"/>
        </w:rPr>
        <w:t>Zákazník kategorie Maloodběratel - Podnikatel je povinen předložit Obchodníkovi povolení k nabytí elektřiny osvobozené od daně z elek</w:t>
        <w:softHyphen/>
        <w:t xml:space="preserve">třiny, je-li jeho držitelem a uplatňuje-li osvobození od této daně (dále jen </w:t>
      </w:r>
      <w:r>
        <w:rPr>
          <w:b/>
          <w:bCs/>
          <w:color w:val="000000"/>
          <w:spacing w:val="0"/>
          <w:w w:val="100"/>
          <w:position w:val="0"/>
          <w:shd w:val="clear" w:color="auto" w:fill="auto"/>
          <w:lang w:val="cs-CZ" w:eastAsia="cs-CZ" w:bidi="cs-CZ"/>
        </w:rPr>
        <w:t xml:space="preserve">„Povolení“). </w:t>
      </w:r>
      <w:r>
        <w:rPr>
          <w:color w:val="000000"/>
          <w:spacing w:val="0"/>
          <w:w w:val="100"/>
          <w:position w:val="0"/>
          <w:shd w:val="clear" w:color="auto" w:fill="auto"/>
          <w:lang w:val="cs-CZ" w:eastAsia="cs-CZ" w:bidi="cs-CZ"/>
        </w:rPr>
        <w:t>Zároveň je tento Zákazník povinen v případě zániku či zrušení Povolení tuto skutečnost oznámit Obchodníkovi nejdéle do druhého pracovního dne ode dne zániku nebo zrušení Povolení. Vznik- ne-li porušením těchto povinností Obchodníkovi škoda, je Zákazník povinen tuto škodu Obchodníkovi uhradit.</w:t>
      </w:r>
    </w:p>
    <w:p>
      <w:pPr>
        <w:pStyle w:val="Style17"/>
        <w:keepNext/>
        <w:keepLines/>
        <w:widowControl w:val="0"/>
        <w:shd w:val="clear" w:color="auto" w:fill="auto"/>
        <w:bidi w:val="0"/>
        <w:spacing w:before="0" w:after="6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III. Fakturační a platební podmínky</w:t>
      </w:r>
      <w:bookmarkEnd w:id="20"/>
      <w:bookmarkEnd w:id="21"/>
    </w:p>
    <w:p>
      <w:pPr>
        <w:pStyle w:val="Style37"/>
        <w:keepNext w:val="0"/>
        <w:keepLines w:val="0"/>
        <w:widowControl w:val="0"/>
        <w:numPr>
          <w:ilvl w:val="0"/>
          <w:numId w:val="9"/>
        </w:numPr>
        <w:shd w:val="clear" w:color="auto" w:fill="auto"/>
        <w:tabs>
          <w:tab w:pos="297" w:val="left"/>
        </w:tabs>
        <w:bidi w:val="0"/>
        <w:spacing w:before="0" w:after="60" w:line="293" w:lineRule="auto"/>
        <w:ind w:left="0" w:right="0" w:firstLine="0"/>
        <w:jc w:val="both"/>
      </w:pPr>
      <w:r>
        <w:rPr>
          <w:color w:val="000000"/>
          <w:spacing w:val="0"/>
          <w:w w:val="100"/>
          <w:position w:val="0"/>
          <w:shd w:val="clear" w:color="auto" w:fill="auto"/>
          <w:lang w:val="cs-CZ" w:eastAsia="cs-CZ" w:bidi="cs-CZ"/>
        </w:rPr>
        <w:t>Cenu sdružené dodávky elektřiny je Zákazník povinen hradit prů</w:t>
        <w:softHyphen/>
        <w:t>běžné zálohovým způsobem.</w:t>
      </w:r>
    </w:p>
    <w:p>
      <w:pPr>
        <w:pStyle w:val="Style37"/>
        <w:keepNext w:val="0"/>
        <w:keepLines w:val="0"/>
        <w:widowControl w:val="0"/>
        <w:numPr>
          <w:ilvl w:val="0"/>
          <w:numId w:val="9"/>
        </w:numPr>
        <w:shd w:val="clear" w:color="auto" w:fill="auto"/>
        <w:tabs>
          <w:tab w:pos="297" w:val="left"/>
        </w:tabs>
        <w:bidi w:val="0"/>
        <w:spacing w:before="0" w:after="60" w:line="293" w:lineRule="auto"/>
        <w:ind w:left="0" w:right="0" w:firstLine="0"/>
        <w:jc w:val="both"/>
      </w:pPr>
      <w:r>
        <w:rPr>
          <w:color w:val="000000"/>
          <w:spacing w:val="0"/>
          <w:w w:val="100"/>
          <w:position w:val="0"/>
          <w:shd w:val="clear" w:color="auto" w:fill="auto"/>
          <w:lang w:val="cs-CZ" w:eastAsia="cs-CZ" w:bidi="cs-CZ"/>
        </w:rPr>
        <w:t>Pro první zúčtovací období výši zálohy stanovuje Obchodník v roz</w:t>
        <w:softHyphen/>
        <w:t>sahu důvodně předpokládané spotřeby za příslušné zúčtovací období, minimálně však ve výši součtu měsíčních platů za příkon a stálých platů za dodávku v příslušném zúčtovacím období a je stanovena ve Smlouvě.</w:t>
      </w:r>
    </w:p>
    <w:p>
      <w:pPr>
        <w:pStyle w:val="Style37"/>
        <w:keepNext w:val="0"/>
        <w:keepLines w:val="0"/>
        <w:widowControl w:val="0"/>
        <w:numPr>
          <w:ilvl w:val="0"/>
          <w:numId w:val="9"/>
        </w:numPr>
        <w:shd w:val="clear" w:color="auto" w:fill="auto"/>
        <w:tabs>
          <w:tab w:pos="305" w:val="left"/>
        </w:tabs>
        <w:bidi w:val="0"/>
        <w:spacing w:before="0" w:after="60" w:line="290" w:lineRule="auto"/>
        <w:ind w:left="0" w:right="0" w:firstLine="0"/>
        <w:jc w:val="both"/>
      </w:pPr>
      <w:r>
        <w:rPr>
          <w:color w:val="000000"/>
          <w:spacing w:val="0"/>
          <w:w w:val="100"/>
          <w:position w:val="0"/>
          <w:shd w:val="clear" w:color="auto" w:fill="auto"/>
          <w:lang w:val="cs-CZ" w:eastAsia="cs-CZ" w:bidi="cs-CZ"/>
        </w:rPr>
        <w:t>Obchodník je oprávněn stanovit frekvenci placení záloh, provést úpravu jejich výše na základě skutečné spotřeby elektřiny v předcho</w:t>
        <w:softHyphen/>
        <w:t>zích zúčtovacích obdobích, nebo jestliže nastaly skutečnosti, které ovlivní výši zúčtování (například změna ceny nebo daňových předpi</w:t>
        <w:softHyphen/>
        <w:t>sů), pokud se smluvní strany nedohodnou jinak.</w:t>
      </w:r>
    </w:p>
    <w:p>
      <w:pPr>
        <w:pStyle w:val="Style37"/>
        <w:keepNext w:val="0"/>
        <w:keepLines w:val="0"/>
        <w:widowControl w:val="0"/>
        <w:numPr>
          <w:ilvl w:val="0"/>
          <w:numId w:val="9"/>
        </w:numPr>
        <w:shd w:val="clear" w:color="auto" w:fill="auto"/>
        <w:tabs>
          <w:tab w:pos="297" w:val="left"/>
        </w:tabs>
        <w:bidi w:val="0"/>
        <w:spacing w:before="0" w:after="60" w:line="290" w:lineRule="auto"/>
        <w:ind w:left="0" w:right="0" w:firstLine="0"/>
        <w:jc w:val="both"/>
      </w:pPr>
      <w:r>
        <w:rPr>
          <w:color w:val="000000"/>
          <w:spacing w:val="0"/>
          <w:w w:val="100"/>
          <w:position w:val="0"/>
          <w:shd w:val="clear" w:color="auto" w:fill="auto"/>
          <w:lang w:val="cs-CZ" w:eastAsia="cs-CZ" w:bidi="cs-CZ"/>
        </w:rPr>
        <w:t>Výše a termíny splatnosti záloh jsou uvedeny v Oznámení o výši záloh, které Obchodník přikládá ke Smlouvě. V případě, že Zákazník uzavře Smlouvu z důvodu změny dodavatele, Obchodník zasílá Zá</w:t>
        <w:softHyphen/>
        <w:t>kazníkovi Oznámení o výši záloh po ukončení procesu změny do</w:t>
        <w:softHyphen/>
        <w:t>davatele ve smyslu obecné závazného právního předpisu. Obchodník zasílá Zákazníkovi po každém vyúčtování Oznámení o výši záloh v ka</w:t>
        <w:softHyphen/>
        <w:t>tegorii Maloodběratel - Podnikatel jako samostatnou zásilku a v ka</w:t>
        <w:softHyphen/>
        <w:t xml:space="preserve">tegorii Maloodběratel - Domácnost je výše a četnost záloh uvedena přímo na daňovém dokladu (dále jen </w:t>
      </w:r>
      <w:r>
        <w:rPr>
          <w:b/>
          <w:bCs/>
          <w:color w:val="000000"/>
          <w:spacing w:val="0"/>
          <w:w w:val="100"/>
          <w:position w:val="0"/>
          <w:shd w:val="clear" w:color="auto" w:fill="auto"/>
          <w:lang w:val="cs-CZ" w:eastAsia="cs-CZ" w:bidi="cs-CZ"/>
        </w:rPr>
        <w:t>„faktura“).</w:t>
      </w:r>
    </w:p>
    <w:p>
      <w:pPr>
        <w:pStyle w:val="Style37"/>
        <w:keepNext w:val="0"/>
        <w:keepLines w:val="0"/>
        <w:widowControl w:val="0"/>
        <w:numPr>
          <w:ilvl w:val="0"/>
          <w:numId w:val="9"/>
        </w:numPr>
        <w:shd w:val="clear" w:color="auto" w:fill="auto"/>
        <w:tabs>
          <w:tab w:pos="297" w:val="left"/>
        </w:tabs>
        <w:bidi w:val="0"/>
        <w:spacing w:before="0" w:after="60" w:line="290" w:lineRule="auto"/>
        <w:ind w:left="0" w:right="0" w:firstLine="0"/>
        <w:jc w:val="both"/>
      </w:pPr>
      <w:r>
        <w:rPr>
          <w:color w:val="000000"/>
          <w:spacing w:val="0"/>
          <w:w w:val="100"/>
          <w:position w:val="0"/>
          <w:shd w:val="clear" w:color="auto" w:fill="auto"/>
          <w:lang w:val="cs-CZ" w:eastAsia="cs-CZ" w:bidi="cs-CZ"/>
        </w:rPr>
        <w:t>Podkladem pro vyúčtování ceny sdružené dodávky elektřiny jsou údaje naměřené měřícím zařízením (dále jen „elektroměr“) předané Obchodníkovi příslušným PDS v souladu s obecně závaznými právní</w:t>
        <w:softHyphen/>
        <w:t>mi předpisy, kterými se stanoví podrobnosti měření elektřiny a předá</w:t>
        <w:softHyphen/>
        <w:t xml:space="preserve">vání technických údajů (dále jen </w:t>
      </w:r>
      <w:r>
        <w:rPr>
          <w:b/>
          <w:bCs/>
          <w:color w:val="000000"/>
          <w:spacing w:val="0"/>
          <w:w w:val="100"/>
          <w:position w:val="0"/>
          <w:shd w:val="clear" w:color="auto" w:fill="auto"/>
          <w:lang w:val="cs-CZ" w:eastAsia="cs-CZ" w:bidi="cs-CZ"/>
        </w:rPr>
        <w:t>„odečet elektřiny“).</w:t>
      </w:r>
    </w:p>
    <w:p>
      <w:pPr>
        <w:pStyle w:val="Style37"/>
        <w:keepNext w:val="0"/>
        <w:keepLines w:val="0"/>
        <w:widowControl w:val="0"/>
        <w:numPr>
          <w:ilvl w:val="0"/>
          <w:numId w:val="9"/>
        </w:numPr>
        <w:shd w:val="clear" w:color="auto" w:fill="auto"/>
        <w:tabs>
          <w:tab w:pos="299" w:val="left"/>
        </w:tabs>
        <w:bidi w:val="0"/>
        <w:spacing w:before="0" w:after="60" w:line="290" w:lineRule="auto"/>
        <w:ind w:left="0" w:right="0" w:firstLine="0"/>
        <w:jc w:val="both"/>
      </w:pPr>
      <w:r>
        <w:rPr>
          <w:color w:val="000000"/>
          <w:spacing w:val="0"/>
          <w:w w:val="100"/>
          <w:position w:val="0"/>
          <w:shd w:val="clear" w:color="auto" w:fill="auto"/>
          <w:lang w:val="cs-CZ" w:eastAsia="cs-CZ" w:bidi="cs-CZ"/>
        </w:rPr>
        <w:t>Pokud se v případě, že tuto službu PDS umožňuje, Obchodník se Zákazníkem dohodne na mimořádné fakturaci sdružené služby do</w:t>
        <w:softHyphen/>
        <w:t>dávky elektřiny prováděné na základě samoodečtu spotřeby elektřiny Zákazníka za jiné období, než je období ukončené řádným odečtem elektřiny s odesláním podkladu pro fakturaci (DUF), avšak Zákazník nedodá samoodečet v PDS stanoveném formátu, v termínu nejpozději první pracovní den do 24.00 hodin po skončení posledního kalendářní</w:t>
        <w:softHyphen/>
        <w:t xml:space="preserve">ho měsíce v období, pro které bude mimořádná fakturace dohodnuta, nebo budou PDS požadované údaje takovýmto Zákazníkem uvedeny chybně či neúplně, není Obchodník povinen vystavit fakturu za jiné než řádné odečtové období prováděné PDS. Podklady pro fakturaci na základě samoodečtu dle tohoto odstavce zasílá Zákazník na e-mailovou adresu Obchodníka </w:t>
      </w:r>
      <w:r>
        <w:fldChar w:fldCharType="begin"/>
      </w:r>
      <w:r>
        <w:rPr/>
        <w:instrText> HYPERLINK "mailto:samoodecet@ppas.cz" </w:instrText>
      </w:r>
      <w:r>
        <w:fldChar w:fldCharType="separate"/>
      </w:r>
      <w:r>
        <w:rPr>
          <w:color w:val="000000"/>
          <w:spacing w:val="0"/>
          <w:w w:val="100"/>
          <w:position w:val="0"/>
          <w:shd w:val="clear" w:color="auto" w:fill="auto"/>
          <w:lang w:val="en-US" w:eastAsia="en-US" w:bidi="en-US"/>
        </w:rPr>
        <w:t>samoodecet@ppas.cz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prostřednictvím on-line formuláře nebo telefonicky na Zákaznickou linku 800 134 134.</w:t>
      </w:r>
    </w:p>
    <w:p>
      <w:pPr>
        <w:pStyle w:val="Style37"/>
        <w:keepNext w:val="0"/>
        <w:keepLines w:val="0"/>
        <w:widowControl w:val="0"/>
        <w:numPr>
          <w:ilvl w:val="0"/>
          <w:numId w:val="9"/>
        </w:numPr>
        <w:shd w:val="clear" w:color="auto" w:fill="auto"/>
        <w:tabs>
          <w:tab w:pos="302" w:val="left"/>
        </w:tabs>
        <w:bidi w:val="0"/>
        <w:spacing w:before="0" w:after="60" w:line="290" w:lineRule="auto"/>
        <w:ind w:left="0" w:right="0" w:firstLine="0"/>
        <w:jc w:val="both"/>
      </w:pPr>
      <w:r>
        <w:rPr>
          <w:color w:val="000000"/>
          <w:spacing w:val="0"/>
          <w:w w:val="100"/>
          <w:position w:val="0"/>
          <w:shd w:val="clear" w:color="auto" w:fill="auto"/>
          <w:lang w:val="cs-CZ" w:eastAsia="cs-CZ" w:bidi="cs-CZ"/>
        </w:rPr>
        <w:t>Dodávka elektřiny za uplynulé zúčtovací období bude Zákazníkovi vyúčtována fakturou, která bude obsahovat náležitosti dle obecně závazných právních předpisů. Zúčtovací období je vymezeno pravidel</w:t>
        <w:softHyphen/>
        <w:t>nými a mimořádnými odečty prováděnými příslušným PDS ve smyslu obecně závazných právních předpisů.</w:t>
      </w:r>
    </w:p>
    <w:p>
      <w:pPr>
        <w:pStyle w:val="Style37"/>
        <w:keepNext w:val="0"/>
        <w:keepLines w:val="0"/>
        <w:widowControl w:val="0"/>
        <w:numPr>
          <w:ilvl w:val="0"/>
          <w:numId w:val="9"/>
        </w:numPr>
        <w:shd w:val="clear" w:color="auto" w:fill="auto"/>
        <w:tabs>
          <w:tab w:pos="297" w:val="left"/>
        </w:tabs>
        <w:bidi w:val="0"/>
        <w:spacing w:before="0" w:after="60" w:line="290" w:lineRule="auto"/>
        <w:ind w:left="0" w:right="0" w:firstLine="0"/>
        <w:jc w:val="both"/>
      </w:pPr>
      <w:r>
        <w:rPr>
          <w:color w:val="000000"/>
          <w:spacing w:val="0"/>
          <w:w w:val="100"/>
          <w:position w:val="0"/>
          <w:shd w:val="clear" w:color="auto" w:fill="auto"/>
          <w:lang w:val="cs-CZ" w:eastAsia="cs-CZ" w:bidi="cs-CZ"/>
        </w:rPr>
        <w:t>Faktura nemusí obsahovat razítko ani podpis Obchodníka a je vy</w:t>
        <w:softHyphen/>
        <w:t>stavena v písemné formě nebo se souhlasem Zákazníka též elektro</w:t>
        <w:softHyphen/>
        <w:t>nicky.</w:t>
      </w:r>
    </w:p>
    <w:p>
      <w:pPr>
        <w:pStyle w:val="Style37"/>
        <w:keepNext w:val="0"/>
        <w:keepLines w:val="0"/>
        <w:widowControl w:val="0"/>
        <w:numPr>
          <w:ilvl w:val="0"/>
          <w:numId w:val="9"/>
        </w:numPr>
        <w:shd w:val="clear" w:color="auto" w:fill="auto"/>
        <w:tabs>
          <w:tab w:pos="263" w:val="left"/>
        </w:tabs>
        <w:bidi w:val="0"/>
        <w:spacing w:before="0" w:line="288" w:lineRule="auto"/>
        <w:ind w:left="0" w:right="0" w:firstLine="0"/>
        <w:jc w:val="both"/>
      </w:pPr>
      <w:r>
        <w:rPr>
          <w:color w:val="000000"/>
          <w:spacing w:val="0"/>
          <w:w w:val="100"/>
          <w:position w:val="0"/>
          <w:shd w:val="clear" w:color="auto" w:fill="auto"/>
          <w:lang w:val="cs-CZ" w:eastAsia="cs-CZ" w:bidi="cs-CZ"/>
        </w:rPr>
        <w:t>Fakturou budou vyúčtovány všechny zálohy zaplacené Zákazníkem do data odečtu elektřiny uvedeného na faktuře. Vznikne-li po vyúčtová</w:t>
        <w:softHyphen/>
        <w:t>ní záloh nedoplatek, je Zákazník povinen zaplatit ho Obchodníkovi nej</w:t>
        <w:softHyphen/>
        <w:t>později do data splatnosti vyznačeného na faktuře. Datem splatnosti se pro účely Smlouvy rozumí den, do kterého musí být částka připsána na bankovní účet Obchodníka, uvedený na faktuře, pod variabilním symbolem předmětné faktury. Vznikne-li přeplatek, vrátí jej Obchodník Zákazníkovi do data splatnosti uvedeného na faktuře za předpokladu, že Zákazník má zaplaceny všechny finančn závazky vůči Obchodní</w:t>
        <w:softHyphen/>
        <w:t>kovi. V případě neuhrazených finančnic závazků, bude přeplatek po</w:t>
        <w:softHyphen/>
        <w:t>užit k započtení těchto závazků, nedohodnou-li se smluvní strany jinak. Nepřesáhne-li přeplatek částku 100,- Kč, může ho Obchodník zúčtovat v následujícím zúčtovacím období.</w:t>
      </w:r>
    </w:p>
    <w:p>
      <w:pPr>
        <w:pStyle w:val="Style37"/>
        <w:keepNext w:val="0"/>
        <w:keepLines w:val="0"/>
        <w:widowControl w:val="0"/>
        <w:numPr>
          <w:ilvl w:val="0"/>
          <w:numId w:val="9"/>
        </w:numPr>
        <w:shd w:val="clear" w:color="auto" w:fill="auto"/>
        <w:tabs>
          <w:tab w:pos="353" w:val="left"/>
        </w:tabs>
        <w:bidi w:val="0"/>
        <w:spacing w:before="0" w:line="288" w:lineRule="auto"/>
        <w:ind w:left="0" w:right="0" w:firstLine="0"/>
        <w:jc w:val="both"/>
      </w:pPr>
      <w:r>
        <w:rPr>
          <w:color w:val="000000"/>
          <w:spacing w:val="0"/>
          <w:w w:val="100"/>
          <w:position w:val="0"/>
          <w:shd w:val="clear" w:color="auto" w:fill="auto"/>
          <w:lang w:val="cs-CZ" w:eastAsia="cs-CZ" w:bidi="cs-CZ"/>
        </w:rPr>
        <w:t>V bankovním styku se používá variabilní symbol a číslo účtu uvede</w:t>
        <w:softHyphen/>
        <w:t>né na příslušné faktuře nebo na Oznámení o výši záloh. Zaplatí-li Zá</w:t>
        <w:softHyphen/>
        <w:t>kazník platbu s nesprávným variabilním symbolem nebojí poukáže na jiný bankovní účet Obchodníka, než je uveden na faktuře, je Obchod</w:t>
        <w:softHyphen/>
        <w:t>ník oprávněn Zákazníkovi platbu vrátit. Dostane-li se proto Zákazník do prodlení s úhradou faktury nebo zálohy, je Zákazník povinen zaplatit Obchodníkovi úrok z prodlení podle čl. IX. bod 1. OP, až do řádného zaplacení.</w:t>
      </w:r>
    </w:p>
    <w:p>
      <w:pPr>
        <w:pStyle w:val="Style37"/>
        <w:keepNext w:val="0"/>
        <w:keepLines w:val="0"/>
        <w:widowControl w:val="0"/>
        <w:numPr>
          <w:ilvl w:val="0"/>
          <w:numId w:val="9"/>
        </w:numPr>
        <w:shd w:val="clear" w:color="auto" w:fill="auto"/>
        <w:tabs>
          <w:tab w:pos="338" w:val="left"/>
        </w:tabs>
        <w:bidi w:val="0"/>
        <w:spacing w:before="0" w:line="283" w:lineRule="auto"/>
        <w:ind w:left="0" w:right="0" w:firstLine="0"/>
        <w:jc w:val="both"/>
      </w:pPr>
      <w:r>
        <w:rPr>
          <w:color w:val="000000"/>
          <w:spacing w:val="0"/>
          <w:w w:val="100"/>
          <w:position w:val="0"/>
          <w:shd w:val="clear" w:color="auto" w:fill="auto"/>
          <w:lang w:val="cs-CZ" w:eastAsia="cs-CZ" w:bidi="cs-CZ"/>
        </w:rPr>
        <w:t>V případě změny intervalů a způsobu provádění odečtů spotřeby elektřiny nebo změny ceny je Obchodník oprávněn i bez souhlasu Zá</w:t>
        <w:softHyphen/>
        <w:t>kazníka změnit délku zúčtovacího období v rámci zákonné Ihúty.</w:t>
      </w:r>
    </w:p>
    <w:p>
      <w:pPr>
        <w:pStyle w:val="Style37"/>
        <w:keepNext w:val="0"/>
        <w:keepLines w:val="0"/>
        <w:widowControl w:val="0"/>
        <w:numPr>
          <w:ilvl w:val="0"/>
          <w:numId w:val="9"/>
        </w:numPr>
        <w:shd w:val="clear" w:color="auto" w:fill="auto"/>
        <w:tabs>
          <w:tab w:pos="353" w:val="left"/>
        </w:tabs>
        <w:bidi w:val="0"/>
        <w:spacing w:before="0" w:line="290" w:lineRule="auto"/>
        <w:ind w:left="0" w:right="0" w:firstLine="0"/>
        <w:jc w:val="both"/>
      </w:pPr>
      <w:r>
        <w:rPr>
          <w:color w:val="000000"/>
          <w:spacing w:val="0"/>
          <w:w w:val="100"/>
          <w:position w:val="0"/>
          <w:shd w:val="clear" w:color="auto" w:fill="auto"/>
          <w:lang w:val="cs-CZ" w:eastAsia="cs-CZ" w:bidi="cs-CZ"/>
        </w:rPr>
        <w:t>Obchodník je oprávněn vystavit opravný daňový doklad k původ</w:t>
        <w:softHyphen/>
        <w:t>ní faktuře (daňový dobropis nebo daňový vrubopis), pokud obsahu</w:t>
        <w:softHyphen/>
        <w:t>je chyby vzniklé nesprávným odečtem elektřiny, chybou způsobenou nesprávným Chodem elektroměru, použitím nesprávné ceny, chybou v psaní či v počtech, nesprávným uvedením zúčtovacího období nebo nesprávné uvedenou regulovanou složkou ceny.</w:t>
      </w:r>
    </w:p>
    <w:p>
      <w:pPr>
        <w:pStyle w:val="Style37"/>
        <w:keepNext w:val="0"/>
        <w:keepLines w:val="0"/>
        <w:widowControl w:val="0"/>
        <w:numPr>
          <w:ilvl w:val="0"/>
          <w:numId w:val="9"/>
        </w:numPr>
        <w:shd w:val="clear" w:color="auto" w:fill="auto"/>
        <w:tabs>
          <w:tab w:pos="341" w:val="left"/>
        </w:tabs>
        <w:bidi w:val="0"/>
        <w:spacing w:before="0" w:line="288" w:lineRule="auto"/>
        <w:ind w:left="0" w:right="0" w:firstLine="0"/>
        <w:jc w:val="both"/>
      </w:pPr>
      <w:r>
        <w:rPr>
          <w:color w:val="000000"/>
          <w:spacing w:val="0"/>
          <w:w w:val="100"/>
          <w:position w:val="0"/>
          <w:shd w:val="clear" w:color="auto" w:fill="auto"/>
          <w:lang w:val="cs-CZ" w:eastAsia="cs-CZ" w:bidi="cs-CZ"/>
        </w:rPr>
        <w:t>V případě, že má Zákazník pochybnosti o správnosti faktury, je oprávněn uplatnit u Obchodníka reklamaci písemně nebo osobně do třiceti dnů od jejího doručení. Neuplatní-li Zákazník reklamaci ve Ihů- tě zde uvedené, může Obchodník reklamaci odmítnout. Obchodník je povinen vyřídit reklamaci Zákazníka bez zbytečného odkladu. Rekla</w:t>
        <w:softHyphen/>
        <w:t>mace nemá odkladný účinek na splatnost faktury, nedohodnou-li se smluvní strany jinak. Reklamace musí obsahovat především:</w:t>
      </w:r>
    </w:p>
    <w:p>
      <w:pPr>
        <w:pStyle w:val="Style37"/>
        <w:keepNext w:val="0"/>
        <w:keepLines w:val="0"/>
        <w:widowControl w:val="0"/>
        <w:numPr>
          <w:ilvl w:val="0"/>
          <w:numId w:val="11"/>
        </w:numPr>
        <w:shd w:val="clear" w:color="auto" w:fill="auto"/>
        <w:tabs>
          <w:tab w:pos="543" w:val="left"/>
        </w:tabs>
        <w:bidi w:val="0"/>
        <w:spacing w:before="0" w:line="288" w:lineRule="auto"/>
        <w:ind w:left="440" w:right="0" w:hanging="160"/>
        <w:jc w:val="both"/>
      </w:pPr>
      <w:r>
        <w:rPr>
          <w:color w:val="000000"/>
          <w:spacing w:val="0"/>
          <w:w w:val="100"/>
          <w:position w:val="0"/>
          <w:shd w:val="clear" w:color="auto" w:fill="auto"/>
          <w:lang w:val="cs-CZ" w:eastAsia="cs-CZ" w:bidi="cs-CZ"/>
        </w:rPr>
        <w:t>identifikac osoby, která reklamaci činí, včetně jejího vlastnoruč</w:t>
        <w:softHyphen/>
        <w:t>ního podpisu,</w:t>
      </w:r>
    </w:p>
    <w:p>
      <w:pPr>
        <w:pStyle w:val="Style37"/>
        <w:keepNext w:val="0"/>
        <w:keepLines w:val="0"/>
        <w:widowControl w:val="0"/>
        <w:numPr>
          <w:ilvl w:val="0"/>
          <w:numId w:val="11"/>
        </w:numPr>
        <w:shd w:val="clear" w:color="auto" w:fill="auto"/>
        <w:tabs>
          <w:tab w:pos="543" w:val="left"/>
        </w:tabs>
        <w:bidi w:val="0"/>
        <w:spacing w:before="0" w:line="288" w:lineRule="auto"/>
        <w:ind w:left="0" w:right="0" w:firstLine="280"/>
        <w:jc w:val="both"/>
      </w:pPr>
      <w:r>
        <w:rPr>
          <w:color w:val="000000"/>
          <w:spacing w:val="0"/>
          <w:w w:val="100"/>
          <w:position w:val="0"/>
          <w:shd w:val="clear" w:color="auto" w:fill="auto"/>
          <w:lang w:val="cs-CZ" w:eastAsia="cs-CZ" w:bidi="cs-CZ"/>
        </w:rPr>
        <w:t>údaje týkající se reklamované faktury,</w:t>
      </w:r>
    </w:p>
    <w:p>
      <w:pPr>
        <w:pStyle w:val="Style37"/>
        <w:keepNext w:val="0"/>
        <w:keepLines w:val="0"/>
        <w:widowControl w:val="0"/>
        <w:numPr>
          <w:ilvl w:val="0"/>
          <w:numId w:val="11"/>
        </w:numPr>
        <w:shd w:val="clear" w:color="auto" w:fill="auto"/>
        <w:tabs>
          <w:tab w:pos="543" w:val="left"/>
        </w:tabs>
        <w:bidi w:val="0"/>
        <w:spacing w:before="0" w:line="288" w:lineRule="auto"/>
        <w:ind w:left="0" w:right="0" w:firstLine="280"/>
        <w:jc w:val="both"/>
      </w:pPr>
      <w:r>
        <w:rPr>
          <w:color w:val="000000"/>
          <w:spacing w:val="0"/>
          <w:w w:val="100"/>
          <w:position w:val="0"/>
          <w:shd w:val="clear" w:color="auto" w:fill="auto"/>
          <w:lang w:val="cs-CZ" w:eastAsia="cs-CZ" w:bidi="cs-CZ"/>
        </w:rPr>
        <w:t>popis reklamované skutečnosti včetně odůvodnění reklamace.</w:t>
      </w:r>
    </w:p>
    <w:p>
      <w:pPr>
        <w:pStyle w:val="Style37"/>
        <w:keepNext w:val="0"/>
        <w:keepLines w:val="0"/>
        <w:widowControl w:val="0"/>
        <w:shd w:val="clear" w:color="auto" w:fill="auto"/>
        <w:bidi w:val="0"/>
        <w:spacing w:before="0" w:line="293" w:lineRule="auto"/>
        <w:ind w:left="0" w:right="0" w:firstLine="0"/>
        <w:jc w:val="both"/>
      </w:pPr>
      <w:r>
        <w:rPr>
          <w:color w:val="000000"/>
          <w:spacing w:val="0"/>
          <w:w w:val="100"/>
          <w:position w:val="0"/>
          <w:shd w:val="clear" w:color="auto" w:fill="auto"/>
          <w:lang w:val="cs-CZ" w:eastAsia="cs-CZ" w:bidi="cs-CZ"/>
        </w:rPr>
        <w:t>Písemná reklamace se uplatňuje jejím doručením na adresu Obchod</w:t>
        <w:softHyphen/>
        <w:t>níka uvedenou ve Smlouvě.</w:t>
      </w:r>
    </w:p>
    <w:p>
      <w:pPr>
        <w:pStyle w:val="Style37"/>
        <w:keepNext w:val="0"/>
        <w:keepLines w:val="0"/>
        <w:widowControl w:val="0"/>
        <w:numPr>
          <w:ilvl w:val="0"/>
          <w:numId w:val="9"/>
        </w:numPr>
        <w:shd w:val="clear" w:color="auto" w:fill="auto"/>
        <w:tabs>
          <w:tab w:pos="338" w:val="left"/>
        </w:tabs>
        <w:bidi w:val="0"/>
        <w:spacing w:before="0" w:line="288" w:lineRule="auto"/>
        <w:ind w:left="0" w:right="0" w:firstLine="0"/>
        <w:jc w:val="both"/>
      </w:pPr>
      <w:r>
        <w:rPr>
          <w:color w:val="000000"/>
          <w:spacing w:val="0"/>
          <w:w w:val="100"/>
          <w:position w:val="0"/>
          <w:shd w:val="clear" w:color="auto" w:fill="auto"/>
          <w:lang w:val="cs-CZ" w:eastAsia="cs-CZ" w:bidi="cs-CZ"/>
        </w:rPr>
        <w:t>Obchodník je oprávněn při uzavření Smlouvy od Zákazníka poža</w:t>
        <w:softHyphen/>
        <w:t>dovat složení kauce nebo s ohledem k okolnostem i po jejím uzavření. Obchodník je oprávněn výši kauce stanovit až do výše trojnásobku měsíční zálohy.</w:t>
      </w:r>
    </w:p>
    <w:p>
      <w:pPr>
        <w:pStyle w:val="Style37"/>
        <w:keepNext w:val="0"/>
        <w:keepLines w:val="0"/>
        <w:widowControl w:val="0"/>
        <w:shd w:val="clear" w:color="auto" w:fill="auto"/>
        <w:bidi w:val="0"/>
        <w:spacing w:before="0" w:line="288" w:lineRule="auto"/>
        <w:ind w:left="0" w:right="0" w:firstLine="0"/>
        <w:jc w:val="both"/>
      </w:pPr>
      <w:r>
        <w:rPr>
          <w:color w:val="000000"/>
          <w:spacing w:val="0"/>
          <w:w w:val="100"/>
          <w:position w:val="0"/>
          <w:shd w:val="clear" w:color="auto" w:fill="auto"/>
          <w:lang w:val="cs-CZ" w:eastAsia="cs-CZ" w:bidi="cs-CZ"/>
        </w:rPr>
        <w:t>Kauce je obchodník oprávněn požadovat zejména v případech, když Zákazník projevil platební nekázeň v rámci dřívějšího smluvního vzta</w:t>
        <w:softHyphen/>
        <w:t>hu s Obchodníkem nebo se opakované dostane do prodlení s platbami podle Smlouvy, je-li Zákazník dlužníkem jiných fyzických či právnic</w:t>
        <w:softHyphen/>
        <w:t>kých osob, má-li Zákazník trvalé bydliště nebo sídlo v jiném státě apod. Obchodník o složení kauce vydá Zákazníkovi potvrzení. Případné ban</w:t>
        <w:softHyphen/>
        <w:t>kovní úroky z poskytnuté kauce připadají Obchodníkovi na úhradu ná</w:t>
        <w:softHyphen/>
        <w:t>kladů spojených s vedením účtu.</w:t>
      </w:r>
    </w:p>
    <w:p>
      <w:pPr>
        <w:pStyle w:val="Style37"/>
        <w:keepNext w:val="0"/>
        <w:keepLines w:val="0"/>
        <w:widowControl w:val="0"/>
        <w:shd w:val="clear" w:color="auto" w:fill="auto"/>
        <w:bidi w:val="0"/>
        <w:spacing w:before="0" w:line="288" w:lineRule="auto"/>
        <w:ind w:left="0" w:right="0" w:firstLine="0"/>
        <w:jc w:val="both"/>
      </w:pPr>
      <w:r>
        <w:rPr>
          <w:color w:val="000000"/>
          <w:spacing w:val="0"/>
          <w:w w:val="100"/>
          <w:position w:val="0"/>
          <w:shd w:val="clear" w:color="auto" w:fill="auto"/>
          <w:lang w:val="cs-CZ" w:eastAsia="cs-CZ" w:bidi="cs-CZ"/>
        </w:rPr>
        <w:t>Kauce dle tohoto bodu slouží jako zajištění pro případ, kdy Zákazník nedodrží platební podmínky a Obchodníkovi vznikne za Zákazníkem pohledávka po splatnosti. Nesložení kauce se považuje za podstat</w:t>
        <w:softHyphen/>
        <w:t>né porušení povinnosti vyplývající ze Smlouvy. V případě, že byla mezi smluvními stranami sjednána povinnost Zákazníka složit kauci Obchodníkovi před započetím dodávky elektřiny, vzniká povinnost Obchodníka zahájit dodávky elektřiny až po zaplacení kauce. Kauce nemá charakter závdavku ve smyslu ustanovení § 1808 NOZ. Obchod</w:t>
        <w:softHyphen/>
        <w:t>ník je oprávněn započíst kauci dle tohoto bodu na svoji splatnou po</w:t>
        <w:softHyphen/>
        <w:t xml:space="preserve">hledávku za Zákazníkem. Obchodník provede započtení v případě, že dojde k ukončení smluvního vztahu z důvodu uvedeného v čl VI. bod 3. písm b) OP nebo z jiného důvodu, vznikne-li po konečném vyúčtování </w:t>
      </w:r>
      <w:r>
        <w:rPr>
          <w:color w:val="000000"/>
          <w:spacing w:val="0"/>
          <w:w w:val="100"/>
          <w:position w:val="0"/>
          <w:shd w:val="clear" w:color="auto" w:fill="auto"/>
          <w:lang w:val="cs-CZ" w:eastAsia="cs-CZ" w:bidi="cs-CZ"/>
        </w:rPr>
        <w:t>záloh nedoplatek. Započtení bude Zákazníkovi oznámeno v konečné zúčtovací faktuře. Kauce resp. její nezapočtená část bude Zákazníkovi vrácena po ukončení smluvního vztahu ve Ihútě do 30 dnů po vysta</w:t>
        <w:softHyphen/>
        <w:t>vení konečné zúčtovací faktury, V průběhu smluvního vztahu si mohou smluvní strany ujednat změnu výše kauce. Obchodník může vrátit kau</w:t>
        <w:softHyphen/>
        <w:t>ci zákazníkovi kdykoli v průběhu smluvního vztahu.</w:t>
      </w:r>
    </w:p>
    <w:p>
      <w:pPr>
        <w:pStyle w:val="Style17"/>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IV. Dodací podmínky</w:t>
      </w:r>
      <w:bookmarkEnd w:id="22"/>
      <w:bookmarkEnd w:id="23"/>
    </w:p>
    <w:p>
      <w:pPr>
        <w:pStyle w:val="Style37"/>
        <w:keepNext w:val="0"/>
        <w:keepLines w:val="0"/>
        <w:widowControl w:val="0"/>
        <w:numPr>
          <w:ilvl w:val="0"/>
          <w:numId w:val="13"/>
        </w:numPr>
        <w:shd w:val="clear" w:color="auto" w:fill="auto"/>
        <w:tabs>
          <w:tab w:pos="260" w:val="left"/>
        </w:tabs>
        <w:bidi w:val="0"/>
        <w:spacing w:before="0" w:line="262" w:lineRule="auto"/>
        <w:ind w:left="0" w:right="0" w:firstLine="0"/>
        <w:jc w:val="both"/>
      </w:pPr>
      <w:r>
        <w:rPr>
          <w:color w:val="000000"/>
          <w:spacing w:val="0"/>
          <w:w w:val="100"/>
          <w:position w:val="0"/>
          <w:shd w:val="clear" w:color="auto" w:fill="auto"/>
          <w:lang w:val="cs-CZ" w:eastAsia="cs-CZ" w:bidi="cs-CZ"/>
        </w:rPr>
        <w:t>Dodávka elektřiny je prováděna podle podmínek Smlouvy a potřeb Zákazníka v souladu s rezervovaným příkonem podle jmenovité prou</w:t>
        <w:softHyphen/>
        <w:t>dové hodnoty hlavního jističe před elektroměrem sjednanou Zákazní</w:t>
        <w:softHyphen/>
        <w:t>kem s PDS a je splněna přechodem elektřiny z příslušné distribuční soustavy přes elektroměr, který je ve vlastnictví příslušného PDS, do místa spotřeby Zákazníka. Dodávka elektřiny se měří od počátečního stavu elektroměru stanoveného příslušným PDS nebo od zjištěného stavu elektroměru při změně dodavatele elektřiny nebo od zjištěného stavu elektroměru při změně osoby odebírající elektřinu v daném od</w:t>
        <w:softHyphen/>
        <w:t>běrném místě.</w:t>
      </w:r>
    </w:p>
    <w:p>
      <w:pPr>
        <w:pStyle w:val="Style37"/>
        <w:keepNext w:val="0"/>
        <w:keepLines w:val="0"/>
        <w:widowControl w:val="0"/>
        <w:numPr>
          <w:ilvl w:val="0"/>
          <w:numId w:val="13"/>
        </w:numPr>
        <w:shd w:val="clear" w:color="auto" w:fill="auto"/>
        <w:tabs>
          <w:tab w:pos="257" w:val="left"/>
        </w:tabs>
        <w:bidi w:val="0"/>
        <w:spacing w:before="0" w:line="264" w:lineRule="auto"/>
        <w:ind w:left="0" w:right="0" w:firstLine="0"/>
        <w:jc w:val="both"/>
      </w:pPr>
      <w:r>
        <w:rPr>
          <w:color w:val="000000"/>
          <w:spacing w:val="0"/>
          <w:w w:val="100"/>
          <w:position w:val="0"/>
          <w:shd w:val="clear" w:color="auto" w:fill="auto"/>
          <w:lang w:val="cs-CZ" w:eastAsia="cs-CZ" w:bidi="cs-CZ"/>
        </w:rPr>
        <w:t>Měření dodávky elektřiny, vyhodnocování a předávání výsledků měření a dalších informací nezbytných pro vyúčtování dodávky elek</w:t>
        <w:softHyphen/>
        <w:t>třiny zajišťuje příslušný PDS dle EZ a příslušných obecně závazných právních a technických předpisů, kterými se stanoví podrobnosti měře</w:t>
        <w:softHyphen/>
        <w:t>ní elektřiny a předávání technických údajů.</w:t>
      </w:r>
    </w:p>
    <w:p>
      <w:pPr>
        <w:pStyle w:val="Style37"/>
        <w:keepNext w:val="0"/>
        <w:keepLines w:val="0"/>
        <w:widowControl w:val="0"/>
        <w:numPr>
          <w:ilvl w:val="0"/>
          <w:numId w:val="13"/>
        </w:numPr>
        <w:shd w:val="clear" w:color="auto" w:fill="auto"/>
        <w:tabs>
          <w:tab w:pos="257" w:val="left"/>
        </w:tabs>
        <w:bidi w:val="0"/>
        <w:spacing w:before="0"/>
        <w:ind w:left="0" w:right="0" w:firstLine="0"/>
        <w:jc w:val="both"/>
      </w:pPr>
      <w:r>
        <w:rPr>
          <w:color w:val="000000"/>
          <w:spacing w:val="0"/>
          <w:w w:val="100"/>
          <w:position w:val="0"/>
          <w:shd w:val="clear" w:color="auto" w:fill="auto"/>
          <w:lang w:val="cs-CZ" w:eastAsia="cs-CZ" w:bidi="cs-CZ"/>
        </w:rPr>
        <w:t>Zákazník je oprávněn zvolit si libovolný produkt, pokud splňuje pod</w:t>
        <w:softHyphen/>
        <w:t>mínky pro jeho přiznání, uvedený v Ceníku. Změna produktu se prove</w:t>
        <w:softHyphen/>
        <w:t>de po splnění všech podmínek.</w:t>
      </w:r>
    </w:p>
    <w:p>
      <w:pPr>
        <w:pStyle w:val="Style37"/>
        <w:keepNext w:val="0"/>
        <w:keepLines w:val="0"/>
        <w:widowControl w:val="0"/>
        <w:numPr>
          <w:ilvl w:val="0"/>
          <w:numId w:val="13"/>
        </w:numPr>
        <w:shd w:val="clear" w:color="auto" w:fill="auto"/>
        <w:tabs>
          <w:tab w:pos="257" w:val="left"/>
        </w:tabs>
        <w:bidi w:val="0"/>
        <w:spacing w:before="0" w:line="264" w:lineRule="auto"/>
        <w:ind w:left="0" w:right="0" w:firstLine="0"/>
        <w:jc w:val="both"/>
      </w:pPr>
      <w:r>
        <w:rPr>
          <w:color w:val="000000"/>
          <w:spacing w:val="0"/>
          <w:w w:val="100"/>
          <w:position w:val="0"/>
          <w:shd w:val="clear" w:color="auto" w:fill="auto"/>
          <w:lang w:val="cs-CZ" w:eastAsia="cs-CZ" w:bidi="cs-CZ"/>
        </w:rPr>
        <w:t>Obchodník je povinen:</w:t>
      </w:r>
    </w:p>
    <w:p>
      <w:pPr>
        <w:pStyle w:val="Style37"/>
        <w:keepNext w:val="0"/>
        <w:keepLines w:val="0"/>
        <w:widowControl w:val="0"/>
        <w:numPr>
          <w:ilvl w:val="0"/>
          <w:numId w:val="15"/>
        </w:numPr>
        <w:shd w:val="clear" w:color="auto" w:fill="auto"/>
        <w:tabs>
          <w:tab w:pos="506" w:val="left"/>
        </w:tabs>
        <w:bidi w:val="0"/>
        <w:spacing w:before="0" w:line="262" w:lineRule="auto"/>
        <w:ind w:left="360" w:right="0" w:hanging="120"/>
        <w:jc w:val="both"/>
      </w:pPr>
      <w:r>
        <w:rPr>
          <w:color w:val="000000"/>
          <w:spacing w:val="0"/>
          <w:w w:val="100"/>
          <w:position w:val="0"/>
          <w:shd w:val="clear" w:color="auto" w:fill="auto"/>
          <w:lang w:val="cs-CZ" w:eastAsia="cs-CZ" w:bidi="cs-CZ"/>
        </w:rPr>
        <w:t>dodávat elektřinu do odběrného místa Zákazníka specifikován - ho ve Smlouvě v kvalitě stanovené obecně závazným právním předpisem,</w:t>
      </w:r>
    </w:p>
    <w:p>
      <w:pPr>
        <w:pStyle w:val="Style37"/>
        <w:keepNext w:val="0"/>
        <w:keepLines w:val="0"/>
        <w:widowControl w:val="0"/>
        <w:numPr>
          <w:ilvl w:val="0"/>
          <w:numId w:val="15"/>
        </w:numPr>
        <w:shd w:val="clear" w:color="auto" w:fill="auto"/>
        <w:tabs>
          <w:tab w:pos="506" w:val="left"/>
        </w:tabs>
        <w:bidi w:val="0"/>
        <w:spacing w:before="0" w:line="266" w:lineRule="auto"/>
        <w:ind w:left="360" w:right="0" w:hanging="120"/>
        <w:jc w:val="both"/>
      </w:pPr>
      <w:r>
        <w:rPr>
          <w:color w:val="000000"/>
          <w:spacing w:val="0"/>
          <w:w w:val="100"/>
          <w:position w:val="0"/>
          <w:shd w:val="clear" w:color="auto" w:fill="auto"/>
          <w:lang w:val="cs-CZ" w:eastAsia="cs-CZ" w:bidi="cs-CZ"/>
        </w:rPr>
        <w:t>zajistit na vlastní jméno a na vlastní účet související služby v elektroenergetice,</w:t>
      </w:r>
    </w:p>
    <w:p>
      <w:pPr>
        <w:pStyle w:val="Style37"/>
        <w:keepNext w:val="0"/>
        <w:keepLines w:val="0"/>
        <w:widowControl w:val="0"/>
        <w:numPr>
          <w:ilvl w:val="0"/>
          <w:numId w:val="15"/>
        </w:numPr>
        <w:shd w:val="clear" w:color="auto" w:fill="auto"/>
        <w:tabs>
          <w:tab w:pos="506" w:val="left"/>
        </w:tabs>
        <w:bidi w:val="0"/>
        <w:spacing w:before="0"/>
        <w:ind w:left="360" w:right="0" w:hanging="120"/>
        <w:jc w:val="both"/>
      </w:pPr>
      <w:r>
        <w:rPr>
          <w:color w:val="000000"/>
          <w:spacing w:val="0"/>
          <w:w w:val="100"/>
          <w:position w:val="0"/>
          <w:shd w:val="clear" w:color="auto" w:fill="auto"/>
          <w:lang w:val="cs-CZ" w:eastAsia="cs-CZ" w:bidi="cs-CZ"/>
        </w:rPr>
        <w:t>převzít za Zákazníka odpovědnost za odchylku podle obecně zá</w:t>
        <w:softHyphen/>
        <w:t>vazného právního předpisu.</w:t>
      </w:r>
    </w:p>
    <w:p>
      <w:pPr>
        <w:pStyle w:val="Style37"/>
        <w:keepNext w:val="0"/>
        <w:keepLines w:val="0"/>
        <w:widowControl w:val="0"/>
        <w:numPr>
          <w:ilvl w:val="0"/>
          <w:numId w:val="13"/>
        </w:numPr>
        <w:shd w:val="clear" w:color="auto" w:fill="auto"/>
        <w:tabs>
          <w:tab w:pos="257" w:val="left"/>
        </w:tabs>
        <w:bidi w:val="0"/>
        <w:spacing w:before="0" w:line="264" w:lineRule="auto"/>
        <w:ind w:left="0" w:right="0" w:firstLine="0"/>
        <w:jc w:val="both"/>
      </w:pPr>
      <w:r>
        <w:rPr>
          <w:color w:val="000000"/>
          <w:spacing w:val="0"/>
          <w:w w:val="100"/>
          <w:position w:val="0"/>
          <w:shd w:val="clear" w:color="auto" w:fill="auto"/>
          <w:lang w:val="cs-CZ" w:eastAsia="cs-CZ" w:bidi="cs-CZ"/>
        </w:rPr>
        <w:t>Zákazník je povinen:</w:t>
      </w:r>
    </w:p>
    <w:p>
      <w:pPr>
        <w:pStyle w:val="Style37"/>
        <w:keepNext w:val="0"/>
        <w:keepLines w:val="0"/>
        <w:widowControl w:val="0"/>
        <w:numPr>
          <w:ilvl w:val="0"/>
          <w:numId w:val="17"/>
        </w:numPr>
        <w:shd w:val="clear" w:color="auto" w:fill="auto"/>
        <w:tabs>
          <w:tab w:pos="503" w:val="left"/>
        </w:tabs>
        <w:bidi w:val="0"/>
        <w:spacing w:before="0" w:line="266" w:lineRule="auto"/>
        <w:ind w:left="360" w:right="0" w:hanging="120"/>
        <w:jc w:val="both"/>
      </w:pPr>
      <w:r>
        <w:rPr>
          <w:color w:val="000000"/>
          <w:spacing w:val="0"/>
          <w:w w:val="100"/>
          <w:position w:val="0"/>
          <w:shd w:val="clear" w:color="auto" w:fill="auto"/>
          <w:lang w:val="cs-CZ" w:eastAsia="cs-CZ" w:bidi="cs-CZ"/>
        </w:rPr>
        <w:t>zaplatit Obchodníkovi náklady spojené s přerušením, obnovením či ukončením dodávky elektřiny,</w:t>
      </w:r>
    </w:p>
    <w:p>
      <w:pPr>
        <w:pStyle w:val="Style37"/>
        <w:keepNext w:val="0"/>
        <w:keepLines w:val="0"/>
        <w:widowControl w:val="0"/>
        <w:numPr>
          <w:ilvl w:val="0"/>
          <w:numId w:val="17"/>
        </w:numPr>
        <w:shd w:val="clear" w:color="auto" w:fill="auto"/>
        <w:tabs>
          <w:tab w:pos="503" w:val="left"/>
        </w:tabs>
        <w:bidi w:val="0"/>
        <w:spacing w:before="0" w:line="264" w:lineRule="auto"/>
        <w:ind w:left="360" w:right="0" w:hanging="120"/>
        <w:jc w:val="both"/>
      </w:pPr>
      <w:r>
        <w:rPr>
          <w:color w:val="000000"/>
          <w:spacing w:val="0"/>
          <w:w w:val="100"/>
          <w:position w:val="0"/>
          <w:shd w:val="clear" w:color="auto" w:fill="auto"/>
          <w:lang w:val="cs-CZ" w:eastAsia="cs-CZ" w:bidi="cs-CZ"/>
        </w:rPr>
        <w:t>odebírat elektřinu pouze přes elektroměr, který připojil příslušný PDS nebojím pověřená osoba,</w:t>
      </w:r>
    </w:p>
    <w:p>
      <w:pPr>
        <w:pStyle w:val="Style37"/>
        <w:keepNext w:val="0"/>
        <w:keepLines w:val="0"/>
        <w:widowControl w:val="0"/>
        <w:numPr>
          <w:ilvl w:val="0"/>
          <w:numId w:val="17"/>
        </w:numPr>
        <w:shd w:val="clear" w:color="auto" w:fill="auto"/>
        <w:tabs>
          <w:tab w:pos="503" w:val="left"/>
        </w:tabs>
        <w:bidi w:val="0"/>
        <w:spacing w:before="0" w:line="264" w:lineRule="auto"/>
        <w:ind w:left="360" w:right="0" w:hanging="120"/>
        <w:jc w:val="both"/>
      </w:pPr>
      <w:r>
        <w:rPr>
          <w:color w:val="000000"/>
          <w:spacing w:val="0"/>
          <w:w w:val="100"/>
          <w:position w:val="0"/>
          <w:shd w:val="clear" w:color="auto" w:fill="auto"/>
          <w:lang w:val="cs-CZ" w:eastAsia="cs-CZ" w:bidi="cs-CZ"/>
        </w:rPr>
        <w:t>udržovat svá odběrná elektrická zařízení (dále jen „OEZ“) ve sta</w:t>
        <w:softHyphen/>
        <w:t>vu, který odpovídá obecné závazným právním předpisům, tech</w:t>
        <w:softHyphen/>
        <w:t>nickým normám a pravidlům, který umožňuje bezpečnou a spo</w:t>
        <w:softHyphen/>
        <w:t>lehlivou dodávku elektřiny tak, aby se nestala příčinou ohrožení života, zdraví a majetku osob,</w:t>
      </w:r>
    </w:p>
    <w:p>
      <w:pPr>
        <w:pStyle w:val="Style37"/>
        <w:keepNext w:val="0"/>
        <w:keepLines w:val="0"/>
        <w:widowControl w:val="0"/>
        <w:numPr>
          <w:ilvl w:val="0"/>
          <w:numId w:val="17"/>
        </w:numPr>
        <w:shd w:val="clear" w:color="auto" w:fill="auto"/>
        <w:tabs>
          <w:tab w:pos="506" w:val="left"/>
        </w:tabs>
        <w:bidi w:val="0"/>
        <w:spacing w:before="0" w:line="264" w:lineRule="auto"/>
        <w:ind w:left="360" w:right="0" w:hanging="120"/>
        <w:jc w:val="both"/>
      </w:pPr>
      <w:r>
        <w:rPr>
          <w:color w:val="000000"/>
          <w:spacing w:val="0"/>
          <w:w w:val="100"/>
          <w:position w:val="0"/>
          <w:shd w:val="clear" w:color="auto" w:fill="auto"/>
          <w:lang w:val="cs-CZ" w:eastAsia="cs-CZ" w:bidi="cs-CZ"/>
        </w:rPr>
        <w:t>při změnách technických podmínek připojení, například při změ</w:t>
        <w:softHyphen/>
        <w:t>nách instalovaných spotřebičů, při změnách připojení vlastního zdroje elektrické energie a podobné, tyto změny vždy projednat s příslušným PDS. Na základě příslušného PDS odsouhlase</w:t>
        <w:softHyphen/>
        <w:t>ných změn může Zákazník požádat o změnu Smlouvy,</w:t>
      </w:r>
    </w:p>
    <w:p>
      <w:pPr>
        <w:pStyle w:val="Style37"/>
        <w:keepNext w:val="0"/>
        <w:keepLines w:val="0"/>
        <w:widowControl w:val="0"/>
        <w:numPr>
          <w:ilvl w:val="0"/>
          <w:numId w:val="17"/>
        </w:numPr>
        <w:shd w:val="clear" w:color="auto" w:fill="auto"/>
        <w:tabs>
          <w:tab w:pos="506" w:val="left"/>
        </w:tabs>
        <w:bidi w:val="0"/>
        <w:spacing w:before="0" w:line="264" w:lineRule="auto"/>
        <w:ind w:left="360" w:right="0" w:hanging="120"/>
        <w:jc w:val="both"/>
      </w:pPr>
      <w:r>
        <w:rPr>
          <w:color w:val="000000"/>
          <w:spacing w:val="0"/>
          <w:w w:val="100"/>
          <w:position w:val="0"/>
          <w:shd w:val="clear" w:color="auto" w:fill="auto"/>
          <w:lang w:val="cs-CZ" w:eastAsia="cs-CZ" w:bidi="cs-CZ"/>
        </w:rPr>
        <w:t>při stavu nouze, při předcházení a odstraňování následků stavu nouze se řídit opatřeními a informacemi o vyhlášení omezujících regulačních opatření podle obecně závazných právních předpi</w:t>
        <w:softHyphen/>
        <w:t>sů a postupovat při předcházení stavu nouze, ve stavu nouze a odstraňování následků stavu nouze v elektroenergetice dle pří</w:t>
        <w:softHyphen/>
        <w:t>slušného obecně závazného právního předpisu s tím, že je povi</w:t>
        <w:softHyphen/>
        <w:t>nen podřídit se omezení spotřeby elektřiny nebo změně dodávky elektřiny. Při stavu nouze a při předcházení stavu nouze je právo na náhradu škody a ušlého zisku vyloučeno,</w:t>
      </w:r>
    </w:p>
    <w:p>
      <w:pPr>
        <w:pStyle w:val="Style37"/>
        <w:keepNext w:val="0"/>
        <w:keepLines w:val="0"/>
        <w:widowControl w:val="0"/>
        <w:numPr>
          <w:ilvl w:val="0"/>
          <w:numId w:val="17"/>
        </w:numPr>
        <w:shd w:val="clear" w:color="auto" w:fill="auto"/>
        <w:tabs>
          <w:tab w:pos="506" w:val="left"/>
        </w:tabs>
        <w:bidi w:val="0"/>
        <w:spacing w:before="0" w:line="264" w:lineRule="auto"/>
        <w:ind w:left="360" w:right="0" w:hanging="120"/>
        <w:jc w:val="both"/>
      </w:pPr>
      <w:r>
        <w:rPr>
          <w:color w:val="000000"/>
          <w:spacing w:val="0"/>
          <w:w w:val="100"/>
          <w:position w:val="0"/>
          <w:shd w:val="clear" w:color="auto" w:fill="auto"/>
          <w:lang w:val="cs-CZ" w:eastAsia="cs-CZ" w:bidi="cs-CZ"/>
        </w:rPr>
        <w:t>umožnit příslušnému PDS přístup k elektroměru a neměřeným částem OEZ za účelem montáže nebo demontáže elektroměru, provedení odečtů, údržby, výměny a kontroly elektroměru,</w:t>
      </w:r>
    </w:p>
    <w:p>
      <w:pPr>
        <w:pStyle w:val="Style37"/>
        <w:keepNext w:val="0"/>
        <w:keepLines w:val="0"/>
        <w:widowControl w:val="0"/>
        <w:numPr>
          <w:ilvl w:val="0"/>
          <w:numId w:val="17"/>
        </w:numPr>
        <w:shd w:val="clear" w:color="auto" w:fill="auto"/>
        <w:tabs>
          <w:tab w:pos="506" w:val="left"/>
        </w:tabs>
        <w:bidi w:val="0"/>
        <w:spacing w:before="0" w:line="264" w:lineRule="auto"/>
        <w:ind w:left="360" w:right="0" w:hanging="120"/>
        <w:jc w:val="both"/>
      </w:pPr>
      <w:r>
        <w:rPr>
          <w:color w:val="000000"/>
          <w:spacing w:val="0"/>
          <w:w w:val="100"/>
          <w:position w:val="0"/>
          <w:shd w:val="clear" w:color="auto" w:fill="auto"/>
          <w:lang w:val="cs-CZ" w:eastAsia="cs-CZ" w:bidi="cs-CZ"/>
        </w:rPr>
        <w:t>zdržet se jakýchkoliv zásahů do elektroměru a jeho připojení, chránit elektroměr před poškozením či odcizením a neprodleně oznámit Obchodníkovi i příslušnému PDS poškození či jiné zá</w:t>
        <w:softHyphen/>
        <w:t>vady na elektroměru včetně porušení zajištění proti manipulaci, které zjistí, zejména hlásit poškození úředních nebo provozních plomb a známek či jejich ztrátu. Pokud má pochybnosti o správ</w:t>
        <w:softHyphen/>
        <w:t>nosti údajů měření nebo zjistí-li závadu na elektroměru, je opráv</w:t>
        <w:softHyphen/>
        <w:t>něn požádat písemně Obchodníka o zajištění ověření správnosti měření. Žádost o přezkoušení však nezbavuje Zákazníka závaz</w:t>
        <w:softHyphen/>
        <w:t>ku platby záloh a úhrady faktur za odebíranou elektřinu ve stano</w:t>
        <w:softHyphen/>
        <w:t>vených termínech.</w:t>
      </w:r>
    </w:p>
    <w:p>
      <w:pPr>
        <w:pStyle w:val="Style17"/>
        <w:keepNext/>
        <w:keepLines/>
        <w:widowControl w:val="0"/>
        <w:shd w:val="clear" w:color="auto" w:fill="auto"/>
        <w:bidi w:val="0"/>
        <w:spacing w:before="0" w:line="228"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V. Vznik Smlouvy,</w:t>
        <w:br/>
        <w:t>změna Smlouvy a doba její platnosti</w:t>
      </w:r>
      <w:bookmarkEnd w:id="24"/>
      <w:bookmarkEnd w:id="25"/>
    </w:p>
    <w:p>
      <w:pPr>
        <w:pStyle w:val="Style37"/>
        <w:keepNext w:val="0"/>
        <w:keepLines w:val="0"/>
        <w:widowControl w:val="0"/>
        <w:numPr>
          <w:ilvl w:val="0"/>
          <w:numId w:val="19"/>
        </w:numPr>
        <w:shd w:val="clear" w:color="auto" w:fill="auto"/>
        <w:tabs>
          <w:tab w:pos="242" w:val="left"/>
        </w:tabs>
        <w:bidi w:val="0"/>
        <w:spacing w:before="0"/>
        <w:ind w:left="0" w:right="0" w:firstLine="0"/>
        <w:jc w:val="both"/>
      </w:pPr>
      <w:r>
        <w:rPr>
          <w:color w:val="000000"/>
          <w:spacing w:val="0"/>
          <w:w w:val="100"/>
          <w:position w:val="0"/>
          <w:shd w:val="clear" w:color="auto" w:fill="auto"/>
          <w:lang w:val="cs-CZ" w:eastAsia="cs-CZ" w:bidi="cs-CZ"/>
        </w:rPr>
        <w:t>Smlouva se uzavírá vždy písemné.</w:t>
      </w:r>
    </w:p>
    <w:p>
      <w:pPr>
        <w:pStyle w:val="Style37"/>
        <w:keepNext w:val="0"/>
        <w:keepLines w:val="0"/>
        <w:widowControl w:val="0"/>
        <w:numPr>
          <w:ilvl w:val="0"/>
          <w:numId w:val="19"/>
        </w:numPr>
        <w:shd w:val="clear" w:color="auto" w:fill="auto"/>
        <w:tabs>
          <w:tab w:pos="257" w:val="left"/>
        </w:tabs>
        <w:bidi w:val="0"/>
        <w:spacing w:before="0" w:line="264" w:lineRule="auto"/>
        <w:ind w:left="0" w:right="0" w:firstLine="0"/>
        <w:jc w:val="both"/>
      </w:pPr>
      <w:r>
        <w:rPr>
          <w:color w:val="000000"/>
          <w:spacing w:val="0"/>
          <w:w w:val="100"/>
          <w:position w:val="0"/>
          <w:shd w:val="clear" w:color="auto" w:fill="auto"/>
          <w:lang w:val="cs-CZ" w:eastAsia="cs-CZ" w:bidi="cs-CZ"/>
        </w:rPr>
        <w:t>Smlouvu lze uzavřít na dobu určitou nebo neurčitou. Není-li ve Smlouvě výslovné uvedeno jinak, je Smlouva uzavřena na dobu neur</w:t>
        <w:softHyphen/>
        <w:t>čitou.</w:t>
      </w:r>
    </w:p>
    <w:p>
      <w:pPr>
        <w:pStyle w:val="Style37"/>
        <w:keepNext w:val="0"/>
        <w:keepLines w:val="0"/>
        <w:widowControl w:val="0"/>
        <w:numPr>
          <w:ilvl w:val="0"/>
          <w:numId w:val="19"/>
        </w:numPr>
        <w:shd w:val="clear" w:color="auto" w:fill="auto"/>
        <w:tabs>
          <w:tab w:pos="263" w:val="left"/>
        </w:tabs>
        <w:bidi w:val="0"/>
        <w:spacing w:before="0" w:line="262" w:lineRule="auto"/>
        <w:ind w:left="0" w:right="0" w:firstLine="0"/>
        <w:jc w:val="both"/>
      </w:pPr>
      <w:r>
        <w:rPr>
          <w:color w:val="000000"/>
          <w:spacing w:val="0"/>
          <w:w w:val="100"/>
          <w:position w:val="0"/>
          <w:shd w:val="clear" w:color="auto" w:fill="auto"/>
          <w:lang w:val="cs-CZ" w:eastAsia="cs-CZ" w:bidi="cs-CZ"/>
        </w:rPr>
        <w:t>Zákazník je povinen před uzavřením Smlouvy Obchodníkovi sdělit technické podmínky připojení OEZ, zejména distribuční sazbu a veli</w:t>
        <w:softHyphen/>
        <w:t>kost hlavního jističe, uvedené ve smlouvě o připojení k distribuční sou</w:t>
        <w:softHyphen/>
        <w:t>stavě. V případě, že Zákazník uvede technické podmínky v rozporu s uzavřenou smlouvou o připojení k distribuční soustavě, odpovídá Obchodníkovi za škodu, která mu tímto vznikne.</w:t>
      </w:r>
    </w:p>
    <w:p>
      <w:pPr>
        <w:pStyle w:val="Style37"/>
        <w:keepNext w:val="0"/>
        <w:keepLines w:val="0"/>
        <w:widowControl w:val="0"/>
        <w:numPr>
          <w:ilvl w:val="0"/>
          <w:numId w:val="19"/>
        </w:numPr>
        <w:shd w:val="clear" w:color="auto" w:fill="auto"/>
        <w:tabs>
          <w:tab w:pos="257" w:val="left"/>
        </w:tabs>
        <w:bidi w:val="0"/>
        <w:spacing w:before="0"/>
        <w:ind w:left="0" w:right="0" w:firstLine="0"/>
        <w:jc w:val="both"/>
      </w:pPr>
      <w:r>
        <w:rPr>
          <w:color w:val="000000"/>
          <w:spacing w:val="0"/>
          <w:w w:val="100"/>
          <w:position w:val="0"/>
          <w:shd w:val="clear" w:color="auto" w:fill="auto"/>
          <w:lang w:val="cs-CZ" w:eastAsia="cs-CZ" w:bidi="cs-CZ"/>
        </w:rPr>
        <w:t>Smlouva uzavřená a podepsaná účastníky na téže listině nabývá platnosti a účinnosti dnem podpisu oběma smluvními stranami. V pří</w:t>
        <w:softHyphen/>
        <w:t>padě, kdy Zákazník v době podpisu nemá s příslušným PDS uzavře</w:t>
        <w:softHyphen/>
        <w:t>nou smlouvu o připojení k distribuční soustavě, nabývá Smlouva plat</w:t>
        <w:softHyphen/>
        <w:t>nosti až dnem uzavření smlouvy o připojení k distribuční soustavě.</w:t>
      </w:r>
    </w:p>
    <w:p>
      <w:pPr>
        <w:pStyle w:val="Style37"/>
        <w:keepNext w:val="0"/>
        <w:keepLines w:val="0"/>
        <w:widowControl w:val="0"/>
        <w:numPr>
          <w:ilvl w:val="0"/>
          <w:numId w:val="19"/>
        </w:numPr>
        <w:shd w:val="clear" w:color="auto" w:fill="auto"/>
        <w:tabs>
          <w:tab w:pos="266" w:val="left"/>
        </w:tabs>
        <w:bidi w:val="0"/>
        <w:spacing w:before="0"/>
        <w:ind w:left="0" w:right="0" w:firstLine="0"/>
        <w:jc w:val="both"/>
      </w:pPr>
      <w:r>
        <w:rPr>
          <w:color w:val="000000"/>
          <w:spacing w:val="0"/>
          <w:w w:val="100"/>
          <w:position w:val="0"/>
          <w:shd w:val="clear" w:color="auto" w:fill="auto"/>
          <w:lang w:val="cs-CZ" w:eastAsia="cs-CZ" w:bidi="cs-CZ"/>
        </w:rPr>
        <w:t>Při uzavírání, změně nebo ukončení platnosti Smlouvy může za Zákazníka právně jednat jeho zástupce, který se Obchodníkovi proká</w:t>
        <w:softHyphen/>
        <w:t>že písemnou plnou mocí, ve které Zákazník uvede rozsah zástupčího oprávnění. Obchodník je oprávněn od Zákazníka požadovat, aby jeho podpis na plné moci byl úředně ověřen.</w:t>
      </w:r>
    </w:p>
    <w:p>
      <w:pPr>
        <w:pStyle w:val="Style37"/>
        <w:keepNext w:val="0"/>
        <w:keepLines w:val="0"/>
        <w:widowControl w:val="0"/>
        <w:numPr>
          <w:ilvl w:val="0"/>
          <w:numId w:val="19"/>
        </w:numPr>
        <w:shd w:val="clear" w:color="auto" w:fill="auto"/>
        <w:tabs>
          <w:tab w:pos="278" w:val="left"/>
        </w:tabs>
        <w:bidi w:val="0"/>
        <w:spacing w:before="0"/>
        <w:ind w:left="0" w:right="0" w:firstLine="0"/>
        <w:jc w:val="both"/>
      </w:pPr>
      <w:r>
        <w:rPr>
          <w:color w:val="000000"/>
          <w:spacing w:val="0"/>
          <w:w w:val="100"/>
          <w:position w:val="0"/>
          <w:shd w:val="clear" w:color="auto" w:fill="auto"/>
          <w:lang w:val="cs-CZ" w:eastAsia="cs-CZ" w:bidi="cs-CZ"/>
        </w:rPr>
        <w:t>Smlouvu lze uzavřít též korespondenčním způsobem pomocí for</w:t>
        <w:softHyphen/>
        <w:t xml:space="preserve">muláře - Návrh smlouvy, který je k dispozici na </w:t>
      </w:r>
      <w:r>
        <w:fldChar w:fldCharType="begin"/>
      </w:r>
      <w:r>
        <w:rPr/>
        <w:instrText> HYPERLINK "http://www.ppas.cz" </w:instrText>
      </w:r>
      <w:r>
        <w:fldChar w:fldCharType="separate"/>
      </w:r>
      <w:r>
        <w:rPr>
          <w:color w:val="000000"/>
          <w:spacing w:val="0"/>
          <w:w w:val="100"/>
          <w:position w:val="0"/>
          <w:shd w:val="clear" w:color="auto" w:fill="auto"/>
          <w:lang w:val="en-US" w:eastAsia="en-US" w:bidi="en-US"/>
        </w:rPr>
        <w:t>www.ppas.cz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zároveň s pokyny pro jeho vyplnění a odeslání. Obchodník vylučuje přijetí Zá</w:t>
        <w:softHyphen/>
        <w:t>kazníkem podepsaného Návrhu smlouvy, k němuž by Zákazník připojil jakýkoliv dodatek nebo od jehož textu by se Zákazník jakýmkoli způ</w:t>
        <w:softHyphen/>
        <w:t>sobem odchýlil. Zájemce je Návrhem smlouvy vázán od jeho doručení Obchodníkovi. Zájemce nemůže během doby třiceti dnů, po kterou je svým návrhem vázán, Návrh smlouvy odvolat. Nebude-li Návrh smlou</w:t>
        <w:softHyphen/>
        <w:t>vy obsahovat všechny Obchodníkem požadované údaje nebo podstat</w:t>
        <w:softHyphen/>
        <w:t>né náležitosti potřebné k uzavření Smlouvy, nepůjde o platný projev vůle k uzavření Smlouvy a Obchodník vrátí Návrh smlouvy Zákazní</w:t>
        <w:softHyphen/>
        <w:t>kovi k doplnění. Budou-li veškeré podmínky splněny, Obchodník, na důkaz svého souhlasu s obsahem Smlouvy, Návrh smlouvy podepíše a zašle jej Zákazníkovi na adresu, kterou uvedl v Návrhu smlouvy. Zá</w:t>
        <w:softHyphen/>
        <w:t>roveň mu písemně sdělí číslo, pod kterým bude Smlouva evidována. Smlouva je uzavřena okamžikem, kdy Obchodníkem podepsaný Ná</w:t>
        <w:softHyphen/>
        <w:t>vrh smlouvy dojde Zákazníkovi. Neodešle-li Obchodník ve Ihútě, ve které je Zákazník svým návrhem vázán, podepsaný Návrh smlouvy Zákazníkovi, Smlouva nevzniká. Smlouva uzavřená tímto způsobem nabývá účinnosti dnem zahájení dodávky.</w:t>
      </w:r>
    </w:p>
    <w:p>
      <w:pPr>
        <w:pStyle w:val="Style37"/>
        <w:keepNext w:val="0"/>
        <w:keepLines w:val="0"/>
        <w:widowControl w:val="0"/>
        <w:numPr>
          <w:ilvl w:val="0"/>
          <w:numId w:val="19"/>
        </w:numPr>
        <w:shd w:val="clear" w:color="auto" w:fill="auto"/>
        <w:tabs>
          <w:tab w:pos="275" w:val="left"/>
        </w:tabs>
        <w:bidi w:val="0"/>
        <w:spacing w:before="0"/>
        <w:ind w:left="0" w:right="0" w:firstLine="0"/>
        <w:jc w:val="both"/>
      </w:pPr>
      <w:r>
        <w:rPr>
          <w:color w:val="000000"/>
          <w:spacing w:val="0"/>
          <w:w w:val="100"/>
          <w:position w:val="0"/>
          <w:shd w:val="clear" w:color="auto" w:fill="auto"/>
          <w:lang w:val="cs-CZ" w:eastAsia="cs-CZ" w:bidi="cs-CZ"/>
        </w:rPr>
        <w:t>Smlouvu lze uzavřít též písemně v elektronické podobě, kdy vlast</w:t>
        <w:softHyphen/>
        <w:t>noruční podpis Zákazníka i zástupce Obchodníka (dále jen „biomet- rický podpis“) je zachycen pomocí speciálního elektronického tabletu. Biometrický podpis je vkládán do textu smlouvy v PDF formátu v pod</w:t>
        <w:softHyphen/>
        <w:t>pisové doložce dokumentu a je i s textem grafick zobrazitelný. Vý</w:t>
        <w:softHyphen/>
        <w:t>sledný dokument je opatřen šifrovaným biometrickým vektorem a je pomocí kryptografickýc metod zabezpečen proti změnám. Po uzavře</w:t>
        <w:softHyphen/>
        <w:t>ní Smlouvy je Obchodník povinen bez zbytečného odkladu poskytnout Zákazníkovi Smlouvu včetně OP a Ceníku v textové podobě.</w:t>
      </w:r>
    </w:p>
    <w:p>
      <w:pPr>
        <w:pStyle w:val="Style37"/>
        <w:keepNext w:val="0"/>
        <w:keepLines w:val="0"/>
        <w:widowControl w:val="0"/>
        <w:numPr>
          <w:ilvl w:val="0"/>
          <w:numId w:val="19"/>
        </w:numPr>
        <w:shd w:val="clear" w:color="auto" w:fill="auto"/>
        <w:tabs>
          <w:tab w:pos="263" w:val="left"/>
        </w:tabs>
        <w:bidi w:val="0"/>
        <w:spacing w:before="0"/>
        <w:ind w:left="0" w:right="0" w:firstLine="0"/>
        <w:jc w:val="both"/>
      </w:pPr>
      <w:r>
        <w:rPr>
          <w:color w:val="000000"/>
          <w:spacing w:val="0"/>
          <w:w w:val="100"/>
          <w:position w:val="0"/>
          <w:shd w:val="clear" w:color="auto" w:fill="auto"/>
          <w:lang w:val="cs-CZ" w:eastAsia="cs-CZ" w:bidi="cs-CZ"/>
        </w:rPr>
        <w:t>Pokud Zákazník nejméně 30 dní před uplynutím doby, na kterou byla Smlouva (Závazek) uzavřena, Obchodníkovi písemně neoznámí, že trvá na jejím ukončení nebo Obchodníka písemně nepožádá o po</w:t>
        <w:softHyphen/>
        <w:t>kračování platnosti Smlouvy (Závazku) na dobu neurčitou, Smlouva (Závazek) se automaticky prodlužuje o dobu jednoho roku, a to i opa</w:t>
        <w:softHyphen/>
        <w:t>kovaně.</w:t>
      </w:r>
    </w:p>
    <w:p>
      <w:pPr>
        <w:pStyle w:val="Style37"/>
        <w:keepNext w:val="0"/>
        <w:keepLines w:val="0"/>
        <w:widowControl w:val="0"/>
        <w:numPr>
          <w:ilvl w:val="0"/>
          <w:numId w:val="19"/>
        </w:numPr>
        <w:shd w:val="clear" w:color="auto" w:fill="auto"/>
        <w:tabs>
          <w:tab w:pos="260" w:val="left"/>
        </w:tabs>
        <w:bidi w:val="0"/>
        <w:spacing w:before="0" w:line="257" w:lineRule="auto"/>
        <w:ind w:left="0" w:right="0" w:firstLine="0"/>
        <w:jc w:val="both"/>
      </w:pPr>
      <w:r>
        <w:rPr>
          <w:color w:val="000000"/>
          <w:spacing w:val="0"/>
          <w:w w:val="100"/>
          <w:position w:val="0"/>
          <w:shd w:val="clear" w:color="auto" w:fill="auto"/>
          <w:lang w:val="cs-CZ" w:eastAsia="cs-CZ" w:bidi="cs-CZ"/>
        </w:rPr>
        <w:t>S výjimkou právního jednání vedoucího k ukončení Smlouvy lze práva a povinnosti založené Smlouvou měnit právním jednáním učině</w:t>
        <w:softHyphen/>
        <w:t>ným i jinou než písemnou formou.</w:t>
      </w:r>
    </w:p>
    <w:p>
      <w:pPr>
        <w:pStyle w:val="Style37"/>
        <w:keepNext w:val="0"/>
        <w:keepLines w:val="0"/>
        <w:widowControl w:val="0"/>
        <w:numPr>
          <w:ilvl w:val="0"/>
          <w:numId w:val="19"/>
        </w:numPr>
        <w:shd w:val="clear" w:color="auto" w:fill="auto"/>
        <w:tabs>
          <w:tab w:pos="350" w:val="left"/>
        </w:tabs>
        <w:bidi w:val="0"/>
        <w:spacing w:before="0"/>
        <w:ind w:left="0" w:right="0" w:firstLine="0"/>
        <w:jc w:val="both"/>
      </w:pPr>
      <w:r>
        <w:rPr>
          <w:color w:val="000000"/>
          <w:spacing w:val="0"/>
          <w:w w:val="100"/>
          <w:position w:val="0"/>
          <w:shd w:val="clear" w:color="auto" w:fill="auto"/>
          <w:lang w:val="cs-CZ" w:eastAsia="cs-CZ" w:bidi="cs-CZ"/>
        </w:rPr>
        <w:t>Smluvní strany se zavazují vzájemně se včasně informovat o změ</w:t>
        <w:softHyphen/>
        <w:t>nách údajů uvedených ve Smlouvě, které nemají vliv na její změny, například změny identifikačníc údajů, zasílacích adres, bankovních spojení, telefonních čísel, čísel faxu nebo e-mailu. Neposkytnutí tako</w:t>
        <w:softHyphen/>
        <w:t>vých informací jde k tíži povinné smluvní strany.</w:t>
      </w:r>
    </w:p>
    <w:p>
      <w:pPr>
        <w:pStyle w:val="Style17"/>
        <w:keepNext/>
        <w:keepLines/>
        <w:widowControl w:val="0"/>
        <w:shd w:val="clear" w:color="auto" w:fill="auto"/>
        <w:bidi w:val="0"/>
        <w:spacing w:before="0" w:line="221"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VI. Omezení, přerušení</w:t>
        <w:br/>
        <w:t>nebo ukončení dodávky elektřiny</w:t>
      </w:r>
      <w:bookmarkEnd w:id="26"/>
      <w:bookmarkEnd w:id="27"/>
    </w:p>
    <w:p>
      <w:pPr>
        <w:pStyle w:val="Style37"/>
        <w:keepNext w:val="0"/>
        <w:keepLines w:val="0"/>
        <w:widowControl w:val="0"/>
        <w:numPr>
          <w:ilvl w:val="0"/>
          <w:numId w:val="21"/>
        </w:numPr>
        <w:shd w:val="clear" w:color="auto" w:fill="auto"/>
        <w:tabs>
          <w:tab w:pos="257" w:val="left"/>
        </w:tabs>
        <w:bidi w:val="0"/>
        <w:spacing w:before="0"/>
        <w:ind w:left="0" w:right="0" w:firstLine="0"/>
        <w:jc w:val="both"/>
      </w:pPr>
      <w:r>
        <w:rPr>
          <w:color w:val="000000"/>
          <w:spacing w:val="0"/>
          <w:w w:val="100"/>
          <w:position w:val="0"/>
          <w:shd w:val="clear" w:color="auto" w:fill="auto"/>
          <w:lang w:val="cs-CZ" w:eastAsia="cs-CZ" w:bidi="cs-CZ"/>
        </w:rPr>
        <w:t>Přerušením dodávky elektřiny se rozumí odpojení odběrného mís</w:t>
        <w:softHyphen/>
        <w:t>ta od distribuční sítě s případným odebráním elektroměru na určitou dobu, aniž dojde k ukončení smluvního vztahu.</w:t>
      </w:r>
    </w:p>
    <w:p>
      <w:pPr>
        <w:pStyle w:val="Style37"/>
        <w:keepNext w:val="0"/>
        <w:keepLines w:val="0"/>
        <w:widowControl w:val="0"/>
        <w:numPr>
          <w:ilvl w:val="0"/>
          <w:numId w:val="21"/>
        </w:numPr>
        <w:shd w:val="clear" w:color="auto" w:fill="auto"/>
        <w:tabs>
          <w:tab w:pos="254" w:val="left"/>
        </w:tabs>
        <w:bidi w:val="0"/>
        <w:spacing w:before="0"/>
        <w:ind w:left="0" w:right="0" w:firstLine="0"/>
        <w:jc w:val="both"/>
      </w:pPr>
      <w:r>
        <w:rPr>
          <w:color w:val="000000"/>
          <w:spacing w:val="0"/>
          <w:w w:val="100"/>
          <w:position w:val="0"/>
          <w:shd w:val="clear" w:color="auto" w:fill="auto"/>
          <w:lang w:val="cs-CZ" w:eastAsia="cs-CZ" w:bidi="cs-CZ"/>
        </w:rPr>
        <w:t>Omezení nebo přerušení dodávky elektřiny při stavech nouze nebo předcházení stavů nouze se řídí obecně závazným právním předpi</w:t>
        <w:softHyphen/>
        <w:t>sem.</w:t>
      </w:r>
    </w:p>
    <w:p>
      <w:pPr>
        <w:pStyle w:val="Style37"/>
        <w:keepNext w:val="0"/>
        <w:keepLines w:val="0"/>
        <w:widowControl w:val="0"/>
        <w:numPr>
          <w:ilvl w:val="0"/>
          <w:numId w:val="21"/>
        </w:numPr>
        <w:shd w:val="clear" w:color="auto" w:fill="auto"/>
        <w:tabs>
          <w:tab w:pos="254" w:val="left"/>
        </w:tabs>
        <w:bidi w:val="0"/>
        <w:spacing w:before="0" w:line="257" w:lineRule="auto"/>
        <w:ind w:left="0" w:right="0" w:firstLine="0"/>
        <w:jc w:val="both"/>
      </w:pPr>
      <w:r>
        <w:rPr>
          <w:color w:val="000000"/>
          <w:spacing w:val="0"/>
          <w:w w:val="100"/>
          <w:position w:val="0"/>
          <w:shd w:val="clear" w:color="auto" w:fill="auto"/>
          <w:lang w:val="cs-CZ" w:eastAsia="cs-CZ" w:bidi="cs-CZ"/>
        </w:rPr>
        <w:t>Obchodník je oprávněn ukončit nebo přerušit dodávku elektřiny Zá</w:t>
        <w:softHyphen/>
        <w:t>kazníkovi v odběrných místech, pro které je Smlouva uzavřená, z ná</w:t>
        <w:softHyphen/>
        <w:t>sledujících důvodů:</w:t>
      </w:r>
    </w:p>
    <w:p>
      <w:pPr>
        <w:pStyle w:val="Style37"/>
        <w:keepNext w:val="0"/>
        <w:keepLines w:val="0"/>
        <w:widowControl w:val="0"/>
        <w:numPr>
          <w:ilvl w:val="0"/>
          <w:numId w:val="23"/>
        </w:numPr>
        <w:shd w:val="clear" w:color="auto" w:fill="auto"/>
        <w:tabs>
          <w:tab w:pos="560" w:val="left"/>
        </w:tabs>
        <w:bidi w:val="0"/>
        <w:spacing w:before="0" w:line="264" w:lineRule="auto"/>
        <w:ind w:left="460" w:right="0" w:hanging="160"/>
        <w:jc w:val="both"/>
      </w:pPr>
      <w:r>
        <w:rPr>
          <w:color w:val="000000"/>
          <w:spacing w:val="0"/>
          <w:w w:val="100"/>
          <w:position w:val="0"/>
          <w:shd w:val="clear" w:color="auto" w:fill="auto"/>
          <w:lang w:val="cs-CZ" w:eastAsia="cs-CZ" w:bidi="cs-CZ"/>
        </w:rPr>
        <w:t>při neoprávněném odběru elektřiny podle příslušných ustanovení EZ,</w:t>
      </w:r>
    </w:p>
    <w:p>
      <w:pPr>
        <w:pStyle w:val="Style37"/>
        <w:keepNext w:val="0"/>
        <w:keepLines w:val="0"/>
        <w:widowControl w:val="0"/>
        <w:numPr>
          <w:ilvl w:val="0"/>
          <w:numId w:val="23"/>
        </w:numPr>
        <w:shd w:val="clear" w:color="auto" w:fill="auto"/>
        <w:tabs>
          <w:tab w:pos="560" w:val="left"/>
        </w:tabs>
        <w:bidi w:val="0"/>
        <w:spacing w:before="0" w:line="257" w:lineRule="auto"/>
        <w:ind w:left="460" w:right="0" w:hanging="160"/>
        <w:jc w:val="both"/>
      </w:pPr>
      <w:r>
        <w:rPr>
          <w:color w:val="000000"/>
          <w:spacing w:val="0"/>
          <w:w w:val="100"/>
          <w:position w:val="0"/>
          <w:shd w:val="clear" w:color="auto" w:fill="auto"/>
          <w:lang w:val="cs-CZ" w:eastAsia="cs-CZ" w:bidi="cs-CZ"/>
        </w:rPr>
        <w:t>jestliže Zákazník je v prodlení se zaplacením jakékoli pohledávky Obchodníka a ani nesplnil svou povinnost zaplatit pohledávku v dodatečně stanovené lhůtě po předchozím písemném upozor</w:t>
        <w:softHyphen/>
        <w:t>nění na možnost ukončení dodávky elektřiny,</w:t>
      </w:r>
    </w:p>
    <w:p>
      <w:pPr>
        <w:pStyle w:val="Style37"/>
        <w:keepNext w:val="0"/>
        <w:keepLines w:val="0"/>
        <w:widowControl w:val="0"/>
        <w:numPr>
          <w:ilvl w:val="0"/>
          <w:numId w:val="23"/>
        </w:numPr>
        <w:shd w:val="clear" w:color="auto" w:fill="auto"/>
        <w:tabs>
          <w:tab w:pos="560" w:val="left"/>
        </w:tabs>
        <w:bidi w:val="0"/>
        <w:spacing w:before="0" w:line="264" w:lineRule="auto"/>
        <w:ind w:left="460" w:right="0" w:hanging="160"/>
        <w:jc w:val="both"/>
      </w:pPr>
      <w:r>
        <w:rPr>
          <w:color w:val="000000"/>
          <w:spacing w:val="0"/>
          <w:w w:val="100"/>
          <w:position w:val="0"/>
          <w:shd w:val="clear" w:color="auto" w:fill="auto"/>
          <w:lang w:val="cs-CZ" w:eastAsia="cs-CZ" w:bidi="cs-CZ"/>
        </w:rPr>
        <w:t>při oprávněném ukončení nebo přerušení připojení k distribuční soustavě ze strany příslušného PDS.</w:t>
      </w:r>
    </w:p>
    <w:p>
      <w:pPr>
        <w:pStyle w:val="Style37"/>
        <w:keepNext w:val="0"/>
        <w:keepLines w:val="0"/>
        <w:widowControl w:val="0"/>
        <w:numPr>
          <w:ilvl w:val="0"/>
          <w:numId w:val="21"/>
        </w:numPr>
        <w:shd w:val="clear" w:color="auto" w:fill="auto"/>
        <w:tabs>
          <w:tab w:pos="254" w:val="left"/>
        </w:tabs>
        <w:bidi w:val="0"/>
        <w:spacing w:before="0" w:line="264" w:lineRule="auto"/>
        <w:ind w:left="0" w:right="0" w:firstLine="0"/>
        <w:jc w:val="both"/>
      </w:pPr>
      <w:r>
        <w:rPr>
          <w:color w:val="000000"/>
          <w:spacing w:val="0"/>
          <w:w w:val="100"/>
          <w:position w:val="0"/>
          <w:shd w:val="clear" w:color="auto" w:fill="auto"/>
          <w:lang w:val="cs-CZ" w:eastAsia="cs-CZ" w:bidi="cs-CZ"/>
        </w:rPr>
        <w:t>Ukončení dodávky elektřiny je vždy spojeno s ukončením smluvní</w:t>
        <w:softHyphen/>
        <w:t>ho vztahu.</w:t>
      </w:r>
    </w:p>
    <w:p>
      <w:pPr>
        <w:pStyle w:val="Style37"/>
        <w:keepNext w:val="0"/>
        <w:keepLines w:val="0"/>
        <w:widowControl w:val="0"/>
        <w:numPr>
          <w:ilvl w:val="0"/>
          <w:numId w:val="21"/>
        </w:numPr>
        <w:shd w:val="clear" w:color="auto" w:fill="auto"/>
        <w:tabs>
          <w:tab w:pos="257" w:val="left"/>
        </w:tabs>
        <w:bidi w:val="0"/>
        <w:spacing w:before="0" w:line="252" w:lineRule="auto"/>
        <w:ind w:left="0" w:right="0" w:firstLine="0"/>
        <w:jc w:val="both"/>
      </w:pPr>
      <w:r>
        <w:rPr>
          <w:color w:val="000000"/>
          <w:spacing w:val="0"/>
          <w:w w:val="100"/>
          <w:position w:val="0"/>
          <w:shd w:val="clear" w:color="auto" w:fill="auto"/>
          <w:lang w:val="cs-CZ" w:eastAsia="cs-CZ" w:bidi="cs-CZ"/>
        </w:rPr>
        <w:t>Při oprávněném ukončení nebo přerušení dodávky elektřiny ne</w:t>
        <w:softHyphen/>
        <w:t>vzniká Zákazníkovi právo na náhradu škody a ušlého zisku.</w:t>
      </w:r>
    </w:p>
    <w:p>
      <w:pPr>
        <w:pStyle w:val="Style37"/>
        <w:keepNext w:val="0"/>
        <w:keepLines w:val="0"/>
        <w:widowControl w:val="0"/>
        <w:numPr>
          <w:ilvl w:val="0"/>
          <w:numId w:val="21"/>
        </w:numPr>
        <w:shd w:val="clear" w:color="auto" w:fill="auto"/>
        <w:tabs>
          <w:tab w:pos="257" w:val="left"/>
        </w:tabs>
        <w:bidi w:val="0"/>
        <w:spacing w:before="0" w:line="257" w:lineRule="auto"/>
        <w:ind w:left="0" w:right="0" w:firstLine="0"/>
        <w:jc w:val="both"/>
      </w:pPr>
      <w:r>
        <w:rPr>
          <w:color w:val="000000"/>
          <w:spacing w:val="0"/>
          <w:w w:val="100"/>
          <w:position w:val="0"/>
          <w:shd w:val="clear" w:color="auto" w:fill="auto"/>
          <w:lang w:val="cs-CZ" w:eastAsia="cs-CZ" w:bidi="cs-CZ"/>
        </w:rPr>
        <w:t>Oprávněné ukončení nebo přerušení dodávky elektřiny provede příslušný PDS na žádost Obchodníka a na náklady Zákazníka. Zá</w:t>
        <w:softHyphen/>
        <w:t>kazník též nese náklady spojené s případným následným obnovením dodávky elektřiny.</w:t>
      </w:r>
    </w:p>
    <w:p>
      <w:pPr>
        <w:pStyle w:val="Style37"/>
        <w:keepNext w:val="0"/>
        <w:keepLines w:val="0"/>
        <w:widowControl w:val="0"/>
        <w:numPr>
          <w:ilvl w:val="0"/>
          <w:numId w:val="21"/>
        </w:numPr>
        <w:shd w:val="clear" w:color="auto" w:fill="auto"/>
        <w:tabs>
          <w:tab w:pos="260" w:val="left"/>
        </w:tabs>
        <w:bidi w:val="0"/>
        <w:spacing w:before="0" w:line="257" w:lineRule="auto"/>
        <w:ind w:left="0" w:right="0" w:firstLine="0"/>
        <w:jc w:val="both"/>
      </w:pPr>
      <w:r>
        <w:rPr>
          <w:color w:val="000000"/>
          <w:spacing w:val="0"/>
          <w:w w:val="100"/>
          <w:position w:val="0"/>
          <w:shd w:val="clear" w:color="auto" w:fill="auto"/>
          <w:lang w:val="cs-CZ" w:eastAsia="cs-CZ" w:bidi="cs-CZ"/>
        </w:rPr>
        <w:t>Výše náhrady škody při neoprávněném odběru se řídí obecné zá</w:t>
        <w:softHyphen/>
        <w:t>vaznými právními předpisy. Kromě této škody je Zákazník povinen za</w:t>
        <w:softHyphen/>
        <w:t>platit Obchodníkovi veškeré oprávněné náklady spojené se zjištěním neoprávněného odběru.</w:t>
      </w:r>
    </w:p>
    <w:p>
      <w:pPr>
        <w:pStyle w:val="Style17"/>
        <w:keepNext/>
        <w:keepLines/>
        <w:widowControl w:val="0"/>
        <w:shd w:val="clear" w:color="auto" w:fill="auto"/>
        <w:bidi w:val="0"/>
        <w:spacing w:before="0" w:line="221"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VII. Změna dodavatele elektřiny</w:t>
        <w:br/>
        <w:t>a ukončení platnosti Smlouvy</w:t>
      </w:r>
      <w:bookmarkEnd w:id="28"/>
      <w:bookmarkEnd w:id="29"/>
    </w:p>
    <w:p>
      <w:pPr>
        <w:pStyle w:val="Style37"/>
        <w:keepNext w:val="0"/>
        <w:keepLines w:val="0"/>
        <w:widowControl w:val="0"/>
        <w:numPr>
          <w:ilvl w:val="0"/>
          <w:numId w:val="25"/>
        </w:numPr>
        <w:shd w:val="clear" w:color="auto" w:fill="auto"/>
        <w:tabs>
          <w:tab w:pos="257" w:val="left"/>
        </w:tabs>
        <w:bidi w:val="0"/>
        <w:spacing w:before="0" w:line="257" w:lineRule="auto"/>
        <w:ind w:left="0" w:right="0" w:firstLine="0"/>
        <w:jc w:val="both"/>
      </w:pPr>
      <w:r>
        <w:rPr>
          <w:color w:val="000000"/>
          <w:spacing w:val="0"/>
          <w:w w:val="100"/>
          <w:position w:val="0"/>
          <w:shd w:val="clear" w:color="auto" w:fill="auto"/>
          <w:lang w:val="cs-CZ" w:eastAsia="cs-CZ" w:bidi="cs-CZ"/>
        </w:rPr>
        <w:t>Zákazník má právo na volbu a bezplatnou změnu dodavatele elektřiny. Změna dodavatele elektřiny v odběrném místě, pro které je Smlouva sjednána, je podmíněna řádným ukončením smluvního vzta</w:t>
        <w:softHyphen/>
        <w:t>hu s Obchodníkem.</w:t>
      </w:r>
    </w:p>
    <w:p>
      <w:pPr>
        <w:pStyle w:val="Style37"/>
        <w:keepNext w:val="0"/>
        <w:keepLines w:val="0"/>
        <w:widowControl w:val="0"/>
        <w:numPr>
          <w:ilvl w:val="0"/>
          <w:numId w:val="25"/>
        </w:numPr>
        <w:shd w:val="clear" w:color="auto" w:fill="auto"/>
        <w:tabs>
          <w:tab w:pos="269" w:val="left"/>
        </w:tabs>
        <w:bidi w:val="0"/>
        <w:spacing w:before="0" w:line="257" w:lineRule="auto"/>
        <w:ind w:left="0" w:right="0" w:firstLine="0"/>
        <w:jc w:val="both"/>
      </w:pPr>
      <w:r>
        <w:rPr>
          <w:color w:val="000000"/>
          <w:spacing w:val="0"/>
          <w:w w:val="100"/>
          <w:position w:val="0"/>
          <w:shd w:val="clear" w:color="auto" w:fill="auto"/>
          <w:lang w:val="cs-CZ" w:eastAsia="cs-CZ" w:bidi="cs-CZ"/>
        </w:rPr>
        <w:t>Platnost Smlouvy končí uplynutím sjednané doby, dohodou smluv</w:t>
        <w:softHyphen/>
        <w:t>ních stran, výpovědí Zákazníka, odstoupením od Smlouvy nebo smrtí Zákazníka. Smlouvu na dobu určitou však nelze ukončit výpovědí s vý</w:t>
        <w:softHyphen/>
        <w:t>jimkou dle §11 a odst. 3 EZ.</w:t>
      </w:r>
    </w:p>
    <w:p>
      <w:pPr>
        <w:pStyle w:val="Style37"/>
        <w:keepNext w:val="0"/>
        <w:keepLines w:val="0"/>
        <w:widowControl w:val="0"/>
        <w:numPr>
          <w:ilvl w:val="0"/>
          <w:numId w:val="25"/>
        </w:numPr>
        <w:shd w:val="clear" w:color="auto" w:fill="auto"/>
        <w:tabs>
          <w:tab w:pos="266" w:val="left"/>
        </w:tabs>
        <w:bidi w:val="0"/>
        <w:spacing w:before="0" w:line="257" w:lineRule="auto"/>
        <w:ind w:left="0" w:right="0" w:firstLine="0"/>
        <w:jc w:val="both"/>
      </w:pPr>
      <w:r>
        <w:rPr>
          <w:color w:val="000000"/>
          <w:spacing w:val="0"/>
          <w:w w:val="100"/>
          <w:position w:val="0"/>
          <w:shd w:val="clear" w:color="auto" w:fill="auto"/>
          <w:lang w:val="cs-CZ" w:eastAsia="cs-CZ" w:bidi="cs-CZ"/>
        </w:rPr>
        <w:t>Na žádost Zákazníka může dojít k dohodě o ukončení platnosti Smlouvy pouze v případech, kdy Zákazník doloží, že ukončuje odběr elektřiny v odběrném místě z důvodu změny sídla, provozovny, byd</w:t>
        <w:softHyphen/>
        <w:t>liště či z důvodu zcizení nemovitosti, nebo že do něj nelze dodávat elektřinu. Zákazník je v případech uvedených v předchozí větě povi</w:t>
        <w:softHyphen/>
        <w:t>nen Obchodníka o uzavření dohody o ukončení platnosti Smlouvy pí</w:t>
        <w:softHyphen/>
        <w:t>semně požádat nejméně patnáct pracovních dnů přede dnem, ke kte</w:t>
        <w:softHyphen/>
        <w:t>rému hodlá odběr elektřiny ukončit. V žádosti Zákazník uvede důvod a požadovaný den ukončení odběru a oznámí adresu, na kterou má být zaslána faktura konečného vyúčtování. K žádosti přiloží doklady prokazující důvod ukončení Smlouvy. V případě, že Zákazník nesplní některou z povinností uvedenou v tomto bodě OP, Obchodník je opráv</w:t>
        <w:softHyphen/>
        <w:t>něn dohodu o ukončení platnosti Smlouvy neuzavřít.</w:t>
      </w:r>
    </w:p>
    <w:p>
      <w:pPr>
        <w:pStyle w:val="Style37"/>
        <w:keepNext w:val="0"/>
        <w:keepLines w:val="0"/>
        <w:widowControl w:val="0"/>
        <w:numPr>
          <w:ilvl w:val="0"/>
          <w:numId w:val="25"/>
        </w:numPr>
        <w:shd w:val="clear" w:color="auto" w:fill="auto"/>
        <w:tabs>
          <w:tab w:pos="254" w:val="left"/>
        </w:tabs>
        <w:bidi w:val="0"/>
        <w:spacing w:before="0" w:line="254" w:lineRule="auto"/>
        <w:ind w:left="0" w:right="0" w:firstLine="0"/>
        <w:jc w:val="both"/>
      </w:pPr>
      <w:r>
        <w:rPr>
          <w:color w:val="000000"/>
          <w:spacing w:val="0"/>
          <w:w w:val="100"/>
          <w:position w:val="0"/>
          <w:shd w:val="clear" w:color="auto" w:fill="auto"/>
          <w:lang w:val="cs-CZ" w:eastAsia="cs-CZ" w:bidi="cs-CZ"/>
        </w:rPr>
        <w:t>Zákazník může vypovědět Smlouvu uzavřenou na dobu neurčitou písemné i bez uvedení důvodu. Výpovědní doba je tříměsíční a počíná běžet prvním dnem kalendářního měsíce následujícího po doručení písemné výpovědi Obchodníkovi.</w:t>
      </w:r>
    </w:p>
    <w:p>
      <w:pPr>
        <w:pStyle w:val="Style37"/>
        <w:keepNext w:val="0"/>
        <w:keepLines w:val="0"/>
        <w:widowControl w:val="0"/>
        <w:numPr>
          <w:ilvl w:val="0"/>
          <w:numId w:val="25"/>
        </w:numPr>
        <w:shd w:val="clear" w:color="auto" w:fill="auto"/>
        <w:tabs>
          <w:tab w:pos="254" w:val="left"/>
        </w:tabs>
        <w:bidi w:val="0"/>
        <w:spacing w:before="0" w:line="257" w:lineRule="auto"/>
        <w:ind w:left="0" w:right="0" w:firstLine="0"/>
        <w:jc w:val="both"/>
      </w:pPr>
      <w:r>
        <w:rPr>
          <w:color w:val="000000"/>
          <w:spacing w:val="0"/>
          <w:w w:val="100"/>
          <w:position w:val="0"/>
          <w:shd w:val="clear" w:color="auto" w:fill="auto"/>
          <w:lang w:val="cs-CZ" w:eastAsia="cs-CZ" w:bidi="cs-CZ"/>
        </w:rPr>
        <w:t>Kterákoli smluvní strana je oprávněna od Smlouvy odstoupit:</w:t>
      </w:r>
    </w:p>
    <w:p>
      <w:pPr>
        <w:pStyle w:val="Style37"/>
        <w:keepNext w:val="0"/>
        <w:keepLines w:val="0"/>
        <w:widowControl w:val="0"/>
        <w:numPr>
          <w:ilvl w:val="0"/>
          <w:numId w:val="27"/>
        </w:numPr>
        <w:shd w:val="clear" w:color="auto" w:fill="auto"/>
        <w:tabs>
          <w:tab w:pos="503" w:val="left"/>
        </w:tabs>
        <w:bidi w:val="0"/>
        <w:spacing w:before="0" w:line="257" w:lineRule="auto"/>
        <w:ind w:left="0" w:right="0" w:firstLine="240"/>
        <w:jc w:val="both"/>
      </w:pPr>
      <w:r>
        <w:rPr>
          <w:color w:val="000000"/>
          <w:spacing w:val="0"/>
          <w:w w:val="100"/>
          <w:position w:val="0"/>
          <w:shd w:val="clear" w:color="auto" w:fill="auto"/>
          <w:lang w:val="cs-CZ" w:eastAsia="cs-CZ" w:bidi="cs-CZ"/>
        </w:rPr>
        <w:t>je-li vydáno rozhodnutí o úpadku druhé smluvní strany,</w:t>
      </w:r>
    </w:p>
    <w:p>
      <w:pPr>
        <w:pStyle w:val="Style37"/>
        <w:keepNext w:val="0"/>
        <w:keepLines w:val="0"/>
        <w:widowControl w:val="0"/>
        <w:numPr>
          <w:ilvl w:val="0"/>
          <w:numId w:val="27"/>
        </w:numPr>
        <w:shd w:val="clear" w:color="auto" w:fill="auto"/>
        <w:tabs>
          <w:tab w:pos="503" w:val="left"/>
        </w:tabs>
        <w:bidi w:val="0"/>
        <w:spacing w:before="0"/>
        <w:ind w:left="400" w:right="0" w:hanging="160"/>
        <w:jc w:val="both"/>
      </w:pPr>
      <w:r>
        <w:rPr>
          <w:color w:val="000000"/>
          <w:spacing w:val="0"/>
          <w:w w:val="100"/>
          <w:position w:val="0"/>
          <w:shd w:val="clear" w:color="auto" w:fill="auto"/>
          <w:lang w:val="cs-CZ" w:eastAsia="cs-CZ" w:bidi="cs-CZ"/>
        </w:rPr>
        <w:t>dojde-li k oprávněnému ukončení připojení k distribuční soustavě ze strany příslušného PDS.</w:t>
      </w:r>
    </w:p>
    <w:p>
      <w:pPr>
        <w:pStyle w:val="Style37"/>
        <w:keepNext w:val="0"/>
        <w:keepLines w:val="0"/>
        <w:widowControl w:val="0"/>
        <w:numPr>
          <w:ilvl w:val="0"/>
          <w:numId w:val="25"/>
        </w:numPr>
        <w:shd w:val="clear" w:color="auto" w:fill="auto"/>
        <w:tabs>
          <w:tab w:pos="260" w:val="left"/>
        </w:tabs>
        <w:bidi w:val="0"/>
        <w:spacing w:before="0" w:line="252" w:lineRule="auto"/>
        <w:ind w:left="0" w:right="0" w:firstLine="0"/>
        <w:jc w:val="both"/>
      </w:pPr>
      <w:r>
        <w:rPr>
          <w:color w:val="000000"/>
          <w:spacing w:val="0"/>
          <w:w w:val="100"/>
          <w:position w:val="0"/>
          <w:shd w:val="clear" w:color="auto" w:fill="auto"/>
          <w:lang w:val="cs-CZ" w:eastAsia="cs-CZ" w:bidi="cs-CZ"/>
        </w:rPr>
        <w:t>Zákazník je oprávněn od Smlouvy odstoupit v případě podstatného porušení povinností ze strany Obchodníka vyplývajících ze Smlouvy. Za podstatné porušení povinností ze strany Obchodníka se považuje bezdůvodné ukončení dodávky elektřiny a bezdůvodné neposkytování nebo nezajištění souvisejících služeb v elektroenergetice.</w:t>
      </w:r>
    </w:p>
    <w:p>
      <w:pPr>
        <w:pStyle w:val="Style37"/>
        <w:keepNext w:val="0"/>
        <w:keepLines w:val="0"/>
        <w:widowControl w:val="0"/>
        <w:numPr>
          <w:ilvl w:val="0"/>
          <w:numId w:val="25"/>
        </w:numPr>
        <w:shd w:val="clear" w:color="auto" w:fill="auto"/>
        <w:tabs>
          <w:tab w:pos="257" w:val="left"/>
        </w:tabs>
        <w:bidi w:val="0"/>
        <w:spacing w:before="0" w:line="254" w:lineRule="auto"/>
        <w:ind w:left="0" w:right="0" w:firstLine="0"/>
        <w:jc w:val="both"/>
      </w:pPr>
      <w:r>
        <w:rPr>
          <w:color w:val="000000"/>
          <w:spacing w:val="0"/>
          <w:w w:val="100"/>
          <w:position w:val="0"/>
          <w:shd w:val="clear" w:color="auto" w:fill="auto"/>
          <w:lang w:val="cs-CZ" w:eastAsia="cs-CZ" w:bidi="cs-CZ"/>
        </w:rPr>
        <w:t>Dále je Zákazník oprávněn od Smlouvy odstoupit ve smyslu usta</w:t>
        <w:softHyphen/>
        <w:t>novení čl. Vlil, bod 1. OP. Využije-li Zákazník v tomto případě svého oprávnění od Smlouvy odstoupit, odstoupení je účinné k poslednímu dni kalendářního měsíce, ve kterém bylo doručeno Obchodníkovi, ne- určí-li Zákazník pozdější den účinnosti odstoupení.</w:t>
      </w:r>
    </w:p>
    <w:p>
      <w:pPr>
        <w:pStyle w:val="Style37"/>
        <w:keepNext w:val="0"/>
        <w:keepLines w:val="0"/>
        <w:widowControl w:val="0"/>
        <w:numPr>
          <w:ilvl w:val="0"/>
          <w:numId w:val="25"/>
        </w:numPr>
        <w:shd w:val="clear" w:color="auto" w:fill="auto"/>
        <w:tabs>
          <w:tab w:pos="254" w:val="left"/>
        </w:tabs>
        <w:bidi w:val="0"/>
        <w:spacing w:before="0" w:line="264" w:lineRule="auto"/>
        <w:ind w:left="0" w:right="0" w:firstLine="0"/>
        <w:jc w:val="both"/>
      </w:pPr>
      <w:r>
        <w:rPr>
          <w:color w:val="000000"/>
          <w:spacing w:val="0"/>
          <w:w w:val="100"/>
          <w:position w:val="0"/>
          <w:shd w:val="clear" w:color="auto" w:fill="auto"/>
          <w:lang w:val="cs-CZ" w:eastAsia="cs-CZ" w:bidi="cs-CZ"/>
        </w:rPr>
        <w:t>Obchodník je oprávněn od Smlouvy odstoupit v následujících pří</w:t>
        <w:softHyphen/>
        <w:t>padech:</w:t>
      </w:r>
    </w:p>
    <w:p>
      <w:pPr>
        <w:pStyle w:val="Style37"/>
        <w:keepNext w:val="0"/>
        <w:keepLines w:val="0"/>
        <w:widowControl w:val="0"/>
        <w:numPr>
          <w:ilvl w:val="0"/>
          <w:numId w:val="29"/>
        </w:numPr>
        <w:shd w:val="clear" w:color="auto" w:fill="auto"/>
        <w:tabs>
          <w:tab w:pos="503" w:val="left"/>
        </w:tabs>
        <w:bidi w:val="0"/>
        <w:spacing w:before="0" w:line="240" w:lineRule="auto"/>
        <w:ind w:left="400" w:right="0" w:hanging="160"/>
        <w:jc w:val="both"/>
      </w:pPr>
      <w:r>
        <w:rPr>
          <w:color w:val="000000"/>
          <w:spacing w:val="0"/>
          <w:w w:val="100"/>
          <w:position w:val="0"/>
          <w:shd w:val="clear" w:color="auto" w:fill="auto"/>
          <w:lang w:val="cs-CZ" w:eastAsia="cs-CZ" w:bidi="cs-CZ"/>
        </w:rPr>
        <w:t>Zákazník v stanovené lhůtě nesloží kauci, o kterou Obchodník požádal v souladu s čl. III. bod 14. OP,</w:t>
      </w:r>
    </w:p>
    <w:p>
      <w:pPr>
        <w:pStyle w:val="Style37"/>
        <w:keepNext w:val="0"/>
        <w:keepLines w:val="0"/>
        <w:widowControl w:val="0"/>
        <w:numPr>
          <w:ilvl w:val="0"/>
          <w:numId w:val="29"/>
        </w:numPr>
        <w:shd w:val="clear" w:color="auto" w:fill="auto"/>
        <w:tabs>
          <w:tab w:pos="503" w:val="left"/>
        </w:tabs>
        <w:bidi w:val="0"/>
        <w:spacing w:before="0" w:line="264" w:lineRule="auto"/>
        <w:ind w:left="400" w:right="0" w:hanging="160"/>
        <w:jc w:val="both"/>
      </w:pPr>
      <w:r>
        <w:rPr>
          <w:color w:val="000000"/>
          <w:spacing w:val="0"/>
          <w:w w:val="100"/>
          <w:position w:val="0"/>
          <w:shd w:val="clear" w:color="auto" w:fill="auto"/>
          <w:lang w:val="cs-CZ" w:eastAsia="cs-CZ" w:bidi="cs-CZ"/>
        </w:rPr>
        <w:t>Zákazník neoprávněně přestane od Obchodníka odebírat elektřinu nebo trvale opustí odběrné místo, pro které je Smlouva uzavřena,</w:t>
      </w:r>
    </w:p>
    <w:p>
      <w:pPr>
        <w:pStyle w:val="Style37"/>
        <w:keepNext w:val="0"/>
        <w:keepLines w:val="0"/>
        <w:widowControl w:val="0"/>
        <w:numPr>
          <w:ilvl w:val="0"/>
          <w:numId w:val="29"/>
        </w:numPr>
        <w:shd w:val="clear" w:color="auto" w:fill="auto"/>
        <w:tabs>
          <w:tab w:pos="503" w:val="left"/>
        </w:tabs>
        <w:bidi w:val="0"/>
        <w:spacing w:before="0" w:line="252" w:lineRule="auto"/>
        <w:ind w:left="400" w:right="0" w:hanging="160"/>
        <w:jc w:val="both"/>
      </w:pPr>
      <w:r>
        <w:rPr>
          <w:color w:val="000000"/>
          <w:spacing w:val="0"/>
          <w:w w:val="100"/>
          <w:position w:val="0"/>
          <w:shd w:val="clear" w:color="auto" w:fill="auto"/>
          <w:lang w:val="cs-CZ" w:eastAsia="cs-CZ" w:bidi="cs-CZ"/>
        </w:rPr>
        <w:t>po zjištění neoprávněného odběru, respektive neoprávněné dis</w:t>
        <w:softHyphen/>
        <w:t>tribuce elektřiny Zákazníka,</w:t>
      </w:r>
    </w:p>
    <w:p>
      <w:pPr>
        <w:pStyle w:val="Style37"/>
        <w:keepNext w:val="0"/>
        <w:keepLines w:val="0"/>
        <w:widowControl w:val="0"/>
        <w:numPr>
          <w:ilvl w:val="0"/>
          <w:numId w:val="29"/>
        </w:numPr>
        <w:shd w:val="clear" w:color="auto" w:fill="auto"/>
        <w:tabs>
          <w:tab w:pos="523" w:val="left"/>
        </w:tabs>
        <w:bidi w:val="0"/>
        <w:spacing w:before="0" w:line="252" w:lineRule="auto"/>
        <w:ind w:left="460" w:right="0" w:hanging="200"/>
        <w:jc w:val="both"/>
      </w:pPr>
      <w:r>
        <w:rPr>
          <w:color w:val="000000"/>
          <w:spacing w:val="0"/>
          <w:w w:val="100"/>
          <w:position w:val="0"/>
          <w:shd w:val="clear" w:color="auto" w:fill="auto"/>
          <w:lang w:val="cs-CZ" w:eastAsia="cs-CZ" w:bidi="cs-CZ"/>
        </w:rPr>
        <w:t>Zákazník přestane mít možnost odebírat elektřinu v odběrném místě, pro které je Smlouva uzavřena,</w:t>
      </w:r>
    </w:p>
    <w:p>
      <w:pPr>
        <w:pStyle w:val="Style37"/>
        <w:keepNext w:val="0"/>
        <w:keepLines w:val="0"/>
        <w:widowControl w:val="0"/>
        <w:numPr>
          <w:ilvl w:val="0"/>
          <w:numId w:val="29"/>
        </w:numPr>
        <w:shd w:val="clear" w:color="auto" w:fill="auto"/>
        <w:tabs>
          <w:tab w:pos="526" w:val="left"/>
        </w:tabs>
        <w:bidi w:val="0"/>
        <w:spacing w:before="0"/>
        <w:ind w:left="460" w:right="0" w:hanging="200"/>
        <w:jc w:val="both"/>
      </w:pPr>
      <w:r>
        <w:rPr>
          <w:color w:val="000000"/>
          <w:spacing w:val="0"/>
          <w:w w:val="100"/>
          <w:position w:val="0"/>
          <w:shd w:val="clear" w:color="auto" w:fill="auto"/>
          <w:lang w:val="cs-CZ" w:eastAsia="cs-CZ" w:bidi="cs-CZ"/>
        </w:rPr>
        <w:t>kdy Obchodník nebude moci zahájit dodávku elektřiny z důvodů na straně Zákazníka.</w:t>
      </w:r>
    </w:p>
    <w:p>
      <w:pPr>
        <w:pStyle w:val="Style37"/>
        <w:keepNext w:val="0"/>
        <w:keepLines w:val="0"/>
        <w:widowControl w:val="0"/>
        <w:numPr>
          <w:ilvl w:val="0"/>
          <w:numId w:val="25"/>
        </w:numPr>
        <w:shd w:val="clear" w:color="auto" w:fill="auto"/>
        <w:tabs>
          <w:tab w:pos="266" w:val="left"/>
        </w:tabs>
        <w:bidi w:val="0"/>
        <w:spacing w:before="0" w:line="254" w:lineRule="auto"/>
        <w:ind w:left="0" w:right="0" w:firstLine="0"/>
        <w:jc w:val="both"/>
      </w:pPr>
      <w:r>
        <w:rPr>
          <w:color w:val="000000"/>
          <w:spacing w:val="0"/>
          <w:w w:val="100"/>
          <w:position w:val="0"/>
          <w:shd w:val="clear" w:color="auto" w:fill="auto"/>
          <w:lang w:val="cs-CZ" w:eastAsia="cs-CZ" w:bidi="cs-CZ"/>
        </w:rPr>
        <w:t>Odstoupení od Smlouvy musí být učiněno písemné. Odstoupení od Smlouvy je účinné dnem doručení písemného oznámení o odstoupení druhé smluvní straně nebo dnem stanoveným v tomto oznámení, ne- předchází-li dni doručení a není-li stanoveno ve Smlouvě nebo v OP jinak. Zákazník oznámí Obchodníkovi odstoupení od Smlouvy na adre</w:t>
        <w:softHyphen/>
        <w:t>su jeho sídla a Obchodník Zákazníkovi na jeho adresu bydliště (sídla) uvedenou ve Smlouvě nebo na zasílací adresu, kterou Zákazník Ob</w:t>
        <w:softHyphen/>
        <w:t>chodníkovi sdělil.</w:t>
      </w:r>
    </w:p>
    <w:p>
      <w:pPr>
        <w:pStyle w:val="Style37"/>
        <w:keepNext w:val="0"/>
        <w:keepLines w:val="0"/>
        <w:widowControl w:val="0"/>
        <w:shd w:val="clear" w:color="auto" w:fill="auto"/>
        <w:bidi w:val="0"/>
        <w:spacing w:before="0" w:line="254" w:lineRule="auto"/>
        <w:ind w:left="0" w:right="0" w:firstLine="0"/>
        <w:jc w:val="both"/>
      </w:pPr>
      <w:r>
        <w:rPr>
          <w:color w:val="000000"/>
          <w:spacing w:val="0"/>
          <w:w w:val="100"/>
          <w:position w:val="0"/>
          <w:shd w:val="clear" w:color="auto" w:fill="auto"/>
          <w:lang w:val="cs-CZ" w:eastAsia="cs-CZ" w:bidi="cs-CZ"/>
        </w:rPr>
        <w:t>10.Odstoupí-li Obchodník od Smlouvy, je Zákazník povinen při ukon</w:t>
        <w:softHyphen/>
        <w:t>čení Smlouvy umožnit příslušnému PDS provést konečný odečet elek</w:t>
        <w:softHyphen/>
        <w:t>třiny, případně odebrat elektroměr a podepsat protokol o ukončení od</w:t>
        <w:softHyphen/>
        <w:t>běru elektřiny s vyznačením odečtu elektřiny.</w:t>
      </w:r>
    </w:p>
    <w:p>
      <w:pPr>
        <w:pStyle w:val="Style37"/>
        <w:keepNext w:val="0"/>
        <w:keepLines w:val="0"/>
        <w:widowControl w:val="0"/>
        <w:numPr>
          <w:ilvl w:val="0"/>
          <w:numId w:val="19"/>
        </w:numPr>
        <w:shd w:val="clear" w:color="auto" w:fill="auto"/>
        <w:tabs>
          <w:tab w:pos="329" w:val="left"/>
        </w:tabs>
        <w:bidi w:val="0"/>
        <w:spacing w:before="0" w:line="254" w:lineRule="auto"/>
        <w:ind w:left="0" w:right="0" w:firstLine="0"/>
        <w:jc w:val="both"/>
      </w:pPr>
      <w:r>
        <w:rPr>
          <w:color w:val="000000"/>
          <w:spacing w:val="0"/>
          <w:w w:val="100"/>
          <w:position w:val="0"/>
          <w:shd w:val="clear" w:color="auto" w:fill="auto"/>
          <w:lang w:val="cs-CZ" w:eastAsia="cs-CZ" w:bidi="cs-CZ"/>
        </w:rPr>
        <w:t>Opustí-li Zákazník odběrné místo, aniž by řádně ukončil smluvní vztah, je povinen platit cenu sdružené dodávky elektřiny do doby ukon</w:t>
        <w:softHyphen/>
        <w:t>čení platnosti Smlouvy.</w:t>
      </w:r>
    </w:p>
    <w:p>
      <w:pPr>
        <w:pStyle w:val="Style37"/>
        <w:keepNext w:val="0"/>
        <w:keepLines w:val="0"/>
        <w:widowControl w:val="0"/>
        <w:numPr>
          <w:ilvl w:val="0"/>
          <w:numId w:val="19"/>
        </w:numPr>
        <w:shd w:val="clear" w:color="auto" w:fill="auto"/>
        <w:tabs>
          <w:tab w:pos="344" w:val="left"/>
        </w:tabs>
        <w:bidi w:val="0"/>
        <w:spacing w:before="0" w:line="252" w:lineRule="auto"/>
        <w:ind w:left="0" w:right="0" w:firstLine="0"/>
        <w:jc w:val="both"/>
      </w:pPr>
      <w:r>
        <w:rPr>
          <w:color w:val="000000"/>
          <w:spacing w:val="0"/>
          <w:w w:val="100"/>
          <w:position w:val="0"/>
          <w:shd w:val="clear" w:color="auto" w:fill="auto"/>
          <w:lang w:val="cs-CZ" w:eastAsia="cs-CZ" w:bidi="cs-CZ"/>
        </w:rPr>
        <w:t>V případě, kdy nedojde k řádnému ukončení smluvního vztahu z důvodu na straně Zákazníka a v souvislosti s tím vznikne Obchodní</w:t>
        <w:softHyphen/>
        <w:t>kovi škoda, je Zákazník povinen škodu uhradit.</w:t>
      </w:r>
    </w:p>
    <w:p>
      <w:pPr>
        <w:pStyle w:val="Style17"/>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Vlil. Změna ceny a změna OP</w:t>
      </w:r>
      <w:bookmarkEnd w:id="30"/>
      <w:bookmarkEnd w:id="31"/>
    </w:p>
    <w:p>
      <w:pPr>
        <w:pStyle w:val="Style37"/>
        <w:keepNext w:val="0"/>
        <w:keepLines w:val="0"/>
        <w:widowControl w:val="0"/>
        <w:numPr>
          <w:ilvl w:val="0"/>
          <w:numId w:val="31"/>
        </w:numPr>
        <w:shd w:val="clear" w:color="auto" w:fill="auto"/>
        <w:tabs>
          <w:tab w:pos="257" w:val="left"/>
        </w:tabs>
        <w:bidi w:val="0"/>
        <w:spacing w:before="0" w:line="252" w:lineRule="auto"/>
        <w:ind w:left="0" w:right="0" w:firstLine="0"/>
        <w:jc w:val="both"/>
      </w:pPr>
      <w:r>
        <w:rPr>
          <w:color w:val="000000"/>
          <w:spacing w:val="0"/>
          <w:w w:val="100"/>
          <w:position w:val="0"/>
          <w:shd w:val="clear" w:color="auto" w:fill="auto"/>
          <w:lang w:val="cs-CZ" w:eastAsia="cs-CZ" w:bidi="cs-CZ"/>
        </w:rPr>
        <w:t>Z podnětu Obchodníka může dojít ke zvýšení ceny za dodávku elektřiny a změně OP pouze z důvodů vývoje trhu s elektřinou, změ</w:t>
        <w:softHyphen/>
        <w:t>ny obecně závazných právních předpisů upravujících tento závazkový vztah, změny vyplývající z technologického vývoje či provozních změn Obchodníka, a to pouze způsobem uvedeným ve Smlouvě.</w:t>
      </w:r>
    </w:p>
    <w:p>
      <w:pPr>
        <w:pStyle w:val="Style17"/>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Článek IX. Sankce</w:t>
      </w:r>
      <w:bookmarkEnd w:id="32"/>
      <w:bookmarkEnd w:id="33"/>
    </w:p>
    <w:p>
      <w:pPr>
        <w:pStyle w:val="Style37"/>
        <w:keepNext w:val="0"/>
        <w:keepLines w:val="0"/>
        <w:widowControl w:val="0"/>
        <w:numPr>
          <w:ilvl w:val="0"/>
          <w:numId w:val="33"/>
        </w:numPr>
        <w:shd w:val="clear" w:color="auto" w:fill="auto"/>
        <w:tabs>
          <w:tab w:pos="266" w:val="left"/>
        </w:tabs>
        <w:bidi w:val="0"/>
        <w:spacing w:before="0" w:line="254" w:lineRule="auto"/>
        <w:ind w:left="0" w:right="0" w:firstLine="0"/>
        <w:jc w:val="both"/>
      </w:pPr>
      <w:r>
        <w:rPr>
          <w:color w:val="000000"/>
          <w:spacing w:val="0"/>
          <w:w w:val="100"/>
          <w:position w:val="0"/>
          <w:shd w:val="clear" w:color="auto" w:fill="auto"/>
          <w:lang w:val="cs-CZ" w:eastAsia="cs-CZ" w:bidi="cs-CZ"/>
        </w:rPr>
        <w:t>Nastane-li prodlení s platbou jakékoli splatné pohledávky vyplýva</w:t>
        <w:softHyphen/>
        <w:t>jící ze Smlouvy, je dlužník povinen zaplatit věřiteli úrok z prodlení dle obecné závazného právního předpisu.</w:t>
      </w:r>
    </w:p>
    <w:p>
      <w:pPr>
        <w:pStyle w:val="Style37"/>
        <w:keepNext w:val="0"/>
        <w:keepLines w:val="0"/>
        <w:widowControl w:val="0"/>
        <w:numPr>
          <w:ilvl w:val="0"/>
          <w:numId w:val="33"/>
        </w:numPr>
        <w:shd w:val="clear" w:color="auto" w:fill="auto"/>
        <w:tabs>
          <w:tab w:pos="257" w:val="left"/>
        </w:tabs>
        <w:bidi w:val="0"/>
        <w:spacing w:before="0" w:line="254" w:lineRule="auto"/>
        <w:ind w:left="0" w:right="0" w:firstLine="0"/>
        <w:jc w:val="both"/>
      </w:pPr>
      <w:r>
        <w:rPr>
          <w:color w:val="000000"/>
          <w:spacing w:val="0"/>
          <w:w w:val="100"/>
          <w:position w:val="0"/>
          <w:shd w:val="clear" w:color="auto" w:fill="auto"/>
          <w:lang w:val="cs-CZ" w:eastAsia="cs-CZ" w:bidi="cs-CZ"/>
        </w:rPr>
        <w:t>Při uplatnění nároku na smluvní pokutu je smluvní strana, jíž vznikl nárok na smluvní pokutu, povinna vyzvat druhou smluvní stranu k za</w:t>
        <w:softHyphen/>
        <w:t>placení smluvní pokuty písemnou výzvou doručenou na doručovací adresu druhé smluvní strany. Ve výzvě musí být specifikován požado</w:t>
        <w:softHyphen/>
        <w:t>vaná výše smluvní pokuty, případně způsob jejího výpočtu, lhůta k za</w:t>
        <w:softHyphen/>
        <w:t>placení a bankovní účet, na nějž má být smluvní pokuta zaplacena.</w:t>
      </w:r>
    </w:p>
    <w:p>
      <w:pPr>
        <w:pStyle w:val="Style17"/>
        <w:keepNext/>
        <w:keepLines/>
        <w:widowControl w:val="0"/>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Článek X. Zákaznické výhody</w:t>
      </w:r>
      <w:bookmarkEnd w:id="34"/>
      <w:bookmarkEnd w:id="35"/>
    </w:p>
    <w:p>
      <w:pPr>
        <w:pStyle w:val="Style37"/>
        <w:keepNext w:val="0"/>
        <w:keepLines w:val="0"/>
        <w:widowControl w:val="0"/>
        <w:numPr>
          <w:ilvl w:val="0"/>
          <w:numId w:val="35"/>
        </w:numPr>
        <w:shd w:val="clear" w:color="auto" w:fill="auto"/>
        <w:tabs>
          <w:tab w:pos="254" w:val="left"/>
        </w:tabs>
        <w:bidi w:val="0"/>
        <w:spacing w:before="0" w:line="254" w:lineRule="auto"/>
        <w:ind w:left="0" w:right="0" w:firstLine="0"/>
        <w:jc w:val="both"/>
      </w:pPr>
      <w:r>
        <w:rPr>
          <w:color w:val="000000"/>
          <w:spacing w:val="0"/>
          <w:w w:val="100"/>
          <w:position w:val="0"/>
          <w:shd w:val="clear" w:color="auto" w:fill="auto"/>
          <w:lang w:val="cs-CZ" w:eastAsia="cs-CZ" w:bidi="cs-CZ"/>
        </w:rPr>
        <w:t>Pokud má Zákazník oprávnění využívat zákaznickou výhodu nebo produkt poskytovaný Obchodníkem v rámci obchodních kampaní, ukončením platnosti Smlouvy toto oprávnění zaniká.</w:t>
      </w:r>
    </w:p>
    <w:p>
      <w:pPr>
        <w:pStyle w:val="Style37"/>
        <w:keepNext w:val="0"/>
        <w:keepLines w:val="0"/>
        <w:widowControl w:val="0"/>
        <w:numPr>
          <w:ilvl w:val="0"/>
          <w:numId w:val="35"/>
        </w:numPr>
        <w:shd w:val="clear" w:color="auto" w:fill="auto"/>
        <w:tabs>
          <w:tab w:pos="254" w:val="left"/>
        </w:tabs>
        <w:bidi w:val="0"/>
        <w:spacing w:before="0" w:line="254" w:lineRule="auto"/>
        <w:ind w:left="0" w:right="0" w:firstLine="0"/>
        <w:jc w:val="both"/>
      </w:pPr>
      <w:r>
        <w:rPr>
          <w:color w:val="000000"/>
          <w:spacing w:val="0"/>
          <w:w w:val="100"/>
          <w:position w:val="0"/>
          <w:shd w:val="clear" w:color="auto" w:fill="auto"/>
          <w:lang w:val="cs-CZ" w:eastAsia="cs-CZ" w:bidi="cs-CZ"/>
        </w:rPr>
        <w:t>V případě, že Zákazník již produkt využil a nedodržel smluvní záva</w:t>
        <w:softHyphen/>
        <w:t>zek s jeho využitím spojený, je povinen Obchodníkovi uhradit celkové náklady, které Obchodník na využití produktu Zákazníkem vynaložil, pokud se smluvní strany nedohodnou jinak.</w:t>
      </w:r>
    </w:p>
    <w:p>
      <w:pPr>
        <w:pStyle w:val="Style17"/>
        <w:keepNext/>
        <w:keepLines/>
        <w:widowControl w:val="0"/>
        <w:shd w:val="clear" w:color="auto" w:fill="auto"/>
        <w:bidi w:val="0"/>
        <w:spacing w:before="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Článek XI. Doručování</w:t>
      </w:r>
      <w:bookmarkEnd w:id="36"/>
      <w:bookmarkEnd w:id="37"/>
    </w:p>
    <w:p>
      <w:pPr>
        <w:pStyle w:val="Style37"/>
        <w:keepNext w:val="0"/>
        <w:keepLines w:val="0"/>
        <w:widowControl w:val="0"/>
        <w:numPr>
          <w:ilvl w:val="0"/>
          <w:numId w:val="37"/>
        </w:numPr>
        <w:shd w:val="clear" w:color="auto" w:fill="auto"/>
        <w:tabs>
          <w:tab w:pos="257" w:val="left"/>
        </w:tabs>
        <w:bidi w:val="0"/>
        <w:spacing w:before="0" w:line="257" w:lineRule="auto"/>
        <w:ind w:left="0" w:right="0" w:firstLine="0"/>
        <w:jc w:val="both"/>
      </w:pPr>
      <w:r>
        <w:rPr>
          <w:color w:val="000000"/>
          <w:spacing w:val="0"/>
          <w:w w:val="100"/>
          <w:position w:val="0"/>
          <w:shd w:val="clear" w:color="auto" w:fill="auto"/>
          <w:lang w:val="cs-CZ" w:eastAsia="cs-CZ" w:bidi="cs-CZ"/>
        </w:rPr>
        <w:t xml:space="preserve">Jakékoli oznámení nebo dokument (dále jen </w:t>
      </w:r>
      <w:r>
        <w:rPr>
          <w:b/>
          <w:bCs/>
          <w:color w:val="000000"/>
          <w:spacing w:val="0"/>
          <w:w w:val="100"/>
          <w:position w:val="0"/>
          <w:shd w:val="clear" w:color="auto" w:fill="auto"/>
          <w:lang w:val="cs-CZ" w:eastAsia="cs-CZ" w:bidi="cs-CZ"/>
        </w:rPr>
        <w:t xml:space="preserve">„písemnost“), </w:t>
      </w:r>
      <w:r>
        <w:rPr>
          <w:color w:val="000000"/>
          <w:spacing w:val="0"/>
          <w:w w:val="100"/>
          <w:position w:val="0"/>
          <w:shd w:val="clear" w:color="auto" w:fill="auto"/>
          <w:lang w:val="cs-CZ" w:eastAsia="cs-CZ" w:bidi="cs-CZ"/>
        </w:rPr>
        <w:t>který má být předán mezi smluvními stranami, není-li stanoveno v OP nebo ve Smlouvě jinak, může být zaslán na zasílací adresu příjemce, kterou uvedl ve Smlouvě či jinou, kterou druhé straně oznámí.</w:t>
      </w:r>
    </w:p>
    <w:p>
      <w:pPr>
        <w:pStyle w:val="Style37"/>
        <w:keepNext w:val="0"/>
        <w:keepLines w:val="0"/>
        <w:widowControl w:val="0"/>
        <w:numPr>
          <w:ilvl w:val="0"/>
          <w:numId w:val="37"/>
        </w:numPr>
        <w:shd w:val="clear" w:color="auto" w:fill="auto"/>
        <w:tabs>
          <w:tab w:pos="257" w:val="left"/>
        </w:tabs>
        <w:bidi w:val="0"/>
        <w:spacing w:before="0" w:line="254" w:lineRule="auto"/>
        <w:ind w:left="0" w:right="0" w:firstLine="0"/>
        <w:jc w:val="both"/>
      </w:pPr>
      <w:r>
        <w:rPr>
          <w:color w:val="000000"/>
          <w:spacing w:val="0"/>
          <w:w w:val="100"/>
          <w:position w:val="0"/>
          <w:shd w:val="clear" w:color="auto" w:fill="auto"/>
          <w:lang w:val="cs-CZ" w:eastAsia="cs-CZ" w:bidi="cs-CZ"/>
        </w:rPr>
        <w:t>Účinky doručení se vážou na dojití písemnosti do sféry ovládané příjemcem bez ohledu na to, zda se s obsahem písemnosti seznámil.</w:t>
      </w:r>
    </w:p>
    <w:p>
      <w:pPr>
        <w:pStyle w:val="Style37"/>
        <w:keepNext w:val="0"/>
        <w:keepLines w:val="0"/>
        <w:widowControl w:val="0"/>
        <w:numPr>
          <w:ilvl w:val="0"/>
          <w:numId w:val="37"/>
        </w:numPr>
        <w:shd w:val="clear" w:color="auto" w:fill="auto"/>
        <w:tabs>
          <w:tab w:pos="260" w:val="left"/>
        </w:tabs>
        <w:bidi w:val="0"/>
        <w:spacing w:before="0" w:line="254" w:lineRule="auto"/>
        <w:ind w:left="0" w:right="0" w:firstLine="0"/>
        <w:jc w:val="both"/>
      </w:pPr>
      <w:r>
        <w:rPr>
          <w:color w:val="000000"/>
          <w:spacing w:val="0"/>
          <w:w w:val="100"/>
          <w:position w:val="0"/>
          <w:shd w:val="clear" w:color="auto" w:fill="auto"/>
          <w:lang w:val="cs-CZ" w:eastAsia="cs-CZ" w:bidi="cs-CZ"/>
        </w:rPr>
        <w:t>Je-li došlá písemnost odeslaná s využitím provozovatele poštov</w:t>
        <w:softHyphen/>
        <w:t>ních služeb má se za to, že došla třetí pracovní den po odeslání, byla-li však odeslána na adresu v jiném státu, pak patnáctý pracovní den po odeslání.</w:t>
      </w:r>
    </w:p>
    <w:p>
      <w:pPr>
        <w:pStyle w:val="Style37"/>
        <w:keepNext w:val="0"/>
        <w:keepLines w:val="0"/>
        <w:widowControl w:val="0"/>
        <w:numPr>
          <w:ilvl w:val="0"/>
          <w:numId w:val="37"/>
        </w:numPr>
        <w:shd w:val="clear" w:color="auto" w:fill="auto"/>
        <w:tabs>
          <w:tab w:pos="257" w:val="left"/>
        </w:tabs>
        <w:bidi w:val="0"/>
        <w:spacing w:before="0" w:line="254" w:lineRule="auto"/>
        <w:ind w:left="0" w:right="0" w:firstLine="0"/>
        <w:jc w:val="both"/>
      </w:pPr>
      <w:r>
        <w:rPr>
          <w:color w:val="000000"/>
          <w:spacing w:val="0"/>
          <w:w w:val="100"/>
          <w:position w:val="0"/>
          <w:shd w:val="clear" w:color="auto" w:fill="auto"/>
          <w:lang w:val="cs-CZ" w:eastAsia="cs-CZ" w:bidi="cs-CZ"/>
        </w:rPr>
        <w:t>Účinky doručení nastávají u písemnosti:</w:t>
      </w:r>
    </w:p>
    <w:p>
      <w:pPr>
        <w:pStyle w:val="Style37"/>
        <w:keepNext w:val="0"/>
        <w:keepLines w:val="0"/>
        <w:widowControl w:val="0"/>
        <w:numPr>
          <w:ilvl w:val="0"/>
          <w:numId w:val="39"/>
        </w:numPr>
        <w:shd w:val="clear" w:color="auto" w:fill="auto"/>
        <w:tabs>
          <w:tab w:pos="520" w:val="left"/>
        </w:tabs>
        <w:bidi w:val="0"/>
        <w:spacing w:before="0" w:line="264" w:lineRule="auto"/>
        <w:ind w:left="380" w:right="0" w:hanging="120"/>
        <w:jc w:val="both"/>
      </w:pPr>
      <w:r>
        <w:rPr>
          <w:color w:val="000000"/>
          <w:spacing w:val="0"/>
          <w:w w:val="100"/>
          <w:position w:val="0"/>
          <w:shd w:val="clear" w:color="auto" w:fill="auto"/>
          <w:lang w:val="cs-CZ" w:eastAsia="cs-CZ" w:bidi="cs-CZ"/>
        </w:rPr>
        <w:t>předávané osobně nebo kurýrem dnem jejího předání odpověd</w:t>
        <w:softHyphen/>
        <w:t>né osobě příjemce,</w:t>
      </w:r>
    </w:p>
    <w:p>
      <w:pPr>
        <w:pStyle w:val="Style37"/>
        <w:keepNext w:val="0"/>
        <w:keepLines w:val="0"/>
        <w:widowControl w:val="0"/>
        <w:numPr>
          <w:ilvl w:val="0"/>
          <w:numId w:val="39"/>
        </w:numPr>
        <w:shd w:val="clear" w:color="auto" w:fill="auto"/>
        <w:tabs>
          <w:tab w:pos="520" w:val="left"/>
        </w:tabs>
        <w:bidi w:val="0"/>
        <w:spacing w:before="0" w:line="257" w:lineRule="auto"/>
        <w:ind w:left="380" w:right="0" w:hanging="120"/>
        <w:jc w:val="both"/>
      </w:pPr>
      <w:r>
        <w:rPr>
          <w:color w:val="000000"/>
          <w:spacing w:val="0"/>
          <w:w w:val="100"/>
          <w:position w:val="0"/>
          <w:shd w:val="clear" w:color="auto" w:fill="auto"/>
          <w:lang w:val="cs-CZ" w:eastAsia="cs-CZ" w:bidi="cs-CZ"/>
        </w:rPr>
        <w:t>zasílané faxovým přenosem převzetím potvrzení o uskutečnění faxového přenosu nebo jiného dokladu o tom, že faxová zpráva byla zaslána příjemci,</w:t>
      </w:r>
    </w:p>
    <w:p>
      <w:pPr>
        <w:pStyle w:val="Style37"/>
        <w:keepNext w:val="0"/>
        <w:keepLines w:val="0"/>
        <w:widowControl w:val="0"/>
        <w:numPr>
          <w:ilvl w:val="0"/>
          <w:numId w:val="39"/>
        </w:numPr>
        <w:shd w:val="clear" w:color="auto" w:fill="auto"/>
        <w:tabs>
          <w:tab w:pos="520" w:val="left"/>
        </w:tabs>
        <w:bidi w:val="0"/>
        <w:spacing w:before="0" w:line="257" w:lineRule="auto"/>
        <w:ind w:left="380" w:right="0" w:hanging="120"/>
        <w:jc w:val="both"/>
      </w:pPr>
      <w:r>
        <w:rPr>
          <w:color w:val="000000"/>
          <w:spacing w:val="0"/>
          <w:w w:val="100"/>
          <w:position w:val="0"/>
          <w:shd w:val="clear" w:color="auto" w:fill="auto"/>
          <w:lang w:val="cs-CZ" w:eastAsia="cs-CZ" w:bidi="cs-CZ"/>
        </w:rPr>
        <w:t>zasílané elektronicky e-mailem obdržením zpětného elektro</w:t>
        <w:softHyphen/>
        <w:t>nického potvrzení o doručení, případné přečtení z příjemcovy e-mailové adresy,</w:t>
      </w:r>
    </w:p>
    <w:p>
      <w:pPr>
        <w:pStyle w:val="Style37"/>
        <w:keepNext w:val="0"/>
        <w:keepLines w:val="0"/>
        <w:widowControl w:val="0"/>
        <w:numPr>
          <w:ilvl w:val="0"/>
          <w:numId w:val="39"/>
        </w:numPr>
        <w:shd w:val="clear" w:color="auto" w:fill="auto"/>
        <w:tabs>
          <w:tab w:pos="526" w:val="left"/>
        </w:tabs>
        <w:bidi w:val="0"/>
        <w:spacing w:before="0" w:line="254" w:lineRule="auto"/>
        <w:ind w:left="380" w:right="0" w:hanging="120"/>
        <w:jc w:val="both"/>
      </w:pPr>
      <w:r>
        <w:rPr>
          <w:color w:val="000000"/>
          <w:spacing w:val="0"/>
          <w:w w:val="100"/>
          <w:position w:val="0"/>
          <w:shd w:val="clear" w:color="auto" w:fill="auto"/>
          <w:lang w:val="cs-CZ" w:eastAsia="cs-CZ" w:bidi="cs-CZ"/>
        </w:rPr>
        <w:t>zasílané zprávou SMS obdržením potvrzení na mobilním telefonu odesílatele o doručení SMS zprávy na mobilní telefon příjemce,</w:t>
      </w:r>
    </w:p>
    <w:p>
      <w:pPr>
        <w:pStyle w:val="Style37"/>
        <w:keepNext w:val="0"/>
        <w:keepLines w:val="0"/>
        <w:widowControl w:val="0"/>
        <w:numPr>
          <w:ilvl w:val="0"/>
          <w:numId w:val="39"/>
        </w:numPr>
        <w:shd w:val="clear" w:color="auto" w:fill="auto"/>
        <w:tabs>
          <w:tab w:pos="526" w:val="left"/>
        </w:tabs>
        <w:bidi w:val="0"/>
        <w:spacing w:before="0"/>
        <w:ind w:left="380" w:right="0" w:hanging="120"/>
        <w:jc w:val="both"/>
      </w:pPr>
      <w:r>
        <w:rPr>
          <w:color w:val="000000"/>
          <w:spacing w:val="0"/>
          <w:w w:val="100"/>
          <w:position w:val="0"/>
          <w:shd w:val="clear" w:color="auto" w:fill="auto"/>
          <w:lang w:val="cs-CZ" w:eastAsia="cs-CZ" w:bidi="cs-CZ"/>
        </w:rPr>
        <w:t>zasílané do datové schránky doručením do datové schránky pří</w:t>
        <w:softHyphen/>
        <w:t>jemce.</w:t>
      </w:r>
    </w:p>
    <w:p>
      <w:pPr>
        <w:pStyle w:val="Style37"/>
        <w:keepNext w:val="0"/>
        <w:keepLines w:val="0"/>
        <w:widowControl w:val="0"/>
        <w:numPr>
          <w:ilvl w:val="0"/>
          <w:numId w:val="37"/>
        </w:numPr>
        <w:shd w:val="clear" w:color="auto" w:fill="auto"/>
        <w:tabs>
          <w:tab w:pos="251" w:val="left"/>
        </w:tabs>
        <w:bidi w:val="0"/>
        <w:spacing w:before="0" w:line="252" w:lineRule="auto"/>
        <w:ind w:left="0" w:right="0" w:firstLine="0"/>
        <w:jc w:val="both"/>
      </w:pPr>
      <w:r>
        <w:rPr>
          <w:color w:val="000000"/>
          <w:spacing w:val="0"/>
          <w:w w:val="100"/>
          <w:position w:val="0"/>
          <w:shd w:val="clear" w:color="auto" w:fill="auto"/>
          <w:lang w:val="cs-CZ" w:eastAsia="cs-CZ" w:bidi="cs-CZ"/>
        </w:rPr>
        <w:t>Sděleni obecné povahy určená Zákazníkům může Obchodník ozná</w:t>
        <w:softHyphen/>
        <w:t xml:space="preserve">mit Zákazníkům uveřejněním na </w:t>
      </w:r>
      <w:r>
        <w:fldChar w:fldCharType="begin"/>
      </w:r>
      <w:r>
        <w:rPr/>
        <w:instrText> HYPERLINK "http://www.ppas.cz" </w:instrText>
      </w:r>
      <w:r>
        <w:fldChar w:fldCharType="separate"/>
      </w:r>
      <w:r>
        <w:rPr>
          <w:color w:val="000000"/>
          <w:spacing w:val="0"/>
          <w:w w:val="100"/>
          <w:position w:val="0"/>
          <w:shd w:val="clear" w:color="auto" w:fill="auto"/>
          <w:lang w:val="en-US" w:eastAsia="en-US" w:bidi="en-US"/>
        </w:rPr>
        <w:t>www.ppas.cz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Dnem umístění a zpří</w:t>
        <w:softHyphen/>
        <w:t xml:space="preserve">stupnění sdělení na </w:t>
      </w:r>
      <w:r>
        <w:fldChar w:fldCharType="begin"/>
      </w:r>
      <w:r>
        <w:rPr/>
        <w:instrText> HYPERLINK "http://www.ppas.cz" </w:instrText>
      </w:r>
      <w:r>
        <w:fldChar w:fldCharType="separate"/>
      </w:r>
      <w:r>
        <w:rPr>
          <w:color w:val="000000"/>
          <w:spacing w:val="0"/>
          <w:w w:val="100"/>
          <w:position w:val="0"/>
          <w:shd w:val="clear" w:color="auto" w:fill="auto"/>
          <w:lang w:val="en-US" w:eastAsia="en-US" w:bidi="en-US"/>
        </w:rPr>
        <w:t>www.ppas.cz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se příslušná sdělení považují za řádně oznámená.</w:t>
      </w:r>
    </w:p>
    <w:p>
      <w:pPr>
        <w:pStyle w:val="Style37"/>
        <w:keepNext w:val="0"/>
        <w:keepLines w:val="0"/>
        <w:widowControl w:val="0"/>
        <w:numPr>
          <w:ilvl w:val="0"/>
          <w:numId w:val="37"/>
        </w:numPr>
        <w:shd w:val="clear" w:color="auto" w:fill="auto"/>
        <w:tabs>
          <w:tab w:pos="257" w:val="left"/>
        </w:tabs>
        <w:bidi w:val="0"/>
        <w:spacing w:before="0" w:line="257" w:lineRule="auto"/>
        <w:ind w:left="0" w:right="0" w:firstLine="0"/>
        <w:jc w:val="both"/>
      </w:pPr>
      <w:r>
        <w:rPr>
          <w:color w:val="000000"/>
          <w:spacing w:val="0"/>
          <w:w w:val="100"/>
          <w:position w:val="0"/>
          <w:shd w:val="clear" w:color="auto" w:fill="auto"/>
          <w:lang w:val="cs-CZ" w:eastAsia="cs-CZ" w:bidi="cs-CZ"/>
        </w:rPr>
        <w:t>Písemnosti si Obchodník a Zákazník zasílají na adresu uvedenou ve Smlouvě nebo na adresu dodatečně sdělenou druhé straně nebo při použití elektronických prostředků na kontaktní adresy, které si písemně sdělili při uzavření Smlouvy nebo kdykoli během trvání smluvního vzta</w:t>
        <w:softHyphen/>
        <w:t>hu.</w:t>
      </w:r>
    </w:p>
    <w:p>
      <w:pPr>
        <w:pStyle w:val="Style17"/>
        <w:keepNext/>
        <w:keepLines/>
        <w:widowControl w:val="0"/>
        <w:shd w:val="clear" w:color="auto" w:fill="auto"/>
        <w:bidi w:val="0"/>
        <w:spacing w:before="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Článek XII. Zákaznický portál</w:t>
      </w:r>
      <w:bookmarkEnd w:id="38"/>
      <w:bookmarkEnd w:id="39"/>
    </w:p>
    <w:p>
      <w:pPr>
        <w:pStyle w:val="Style37"/>
        <w:keepNext w:val="0"/>
        <w:keepLines w:val="0"/>
        <w:widowControl w:val="0"/>
        <w:numPr>
          <w:ilvl w:val="0"/>
          <w:numId w:val="41"/>
        </w:numPr>
        <w:shd w:val="clear" w:color="auto" w:fill="auto"/>
        <w:tabs>
          <w:tab w:pos="257" w:val="left"/>
        </w:tabs>
        <w:bidi w:val="0"/>
        <w:spacing w:before="0" w:line="254" w:lineRule="auto"/>
        <w:ind w:left="0" w:right="0" w:firstLine="0"/>
        <w:jc w:val="both"/>
      </w:pPr>
      <w:r>
        <w:rPr>
          <w:color w:val="000000"/>
          <w:spacing w:val="0"/>
          <w:w w:val="100"/>
          <w:position w:val="0"/>
          <w:shd w:val="clear" w:color="auto" w:fill="auto"/>
          <w:lang w:val="cs-CZ" w:eastAsia="cs-CZ" w:bidi="cs-CZ"/>
        </w:rPr>
        <w:t>Zákaznický portál je internetová aplikace dostupná na adrese htt-</w:t>
      </w:r>
      <w:r>
        <w:rPr>
          <w:color w:val="000000"/>
          <w:spacing w:val="0"/>
          <w:w w:val="100"/>
          <w:position w:val="0"/>
          <w:shd w:val="clear" w:color="auto" w:fill="auto"/>
          <w:lang w:val="cs-CZ" w:eastAsia="cs-CZ" w:bidi="cs-CZ"/>
        </w:rPr>
        <w:t xml:space="preserve"> ps://zakaznickyucet.ppas.cz</w:t>
      </w:r>
      <w:r>
        <w:rPr>
          <w:color w:val="000000"/>
          <w:spacing w:val="0"/>
          <w:w w:val="100"/>
          <w:position w:val="0"/>
          <w:shd w:val="clear" w:color="auto" w:fill="auto"/>
          <w:lang w:val="cs-CZ" w:eastAsia="cs-CZ" w:bidi="cs-CZ"/>
        </w:rPr>
        <w:t>, která je komunikační platformou mezi Obchodníkem a Zákazníkem, na jejímž základě jsou prostřednictvím aktuálně dostupných funkcí Zákazníkovi zpřístupňovány určité infor</w:t>
        <w:softHyphen/>
        <w:t>mace týkající se plnění souvisejícího se Smlouvou, a prostřednictvím které je Zákazník oprávněn určitým způsobem disponovat a měnit zá</w:t>
        <w:softHyphen/>
        <w:t>vazkový vztah ze Smlouvy (dále jen,</w:t>
      </w:r>
      <w:r>
        <w:rPr>
          <w:b/>
          <w:bCs/>
          <w:color w:val="000000"/>
          <w:spacing w:val="0"/>
          <w:w w:val="100"/>
          <w:position w:val="0"/>
          <w:shd w:val="clear" w:color="auto" w:fill="auto"/>
          <w:lang w:val="cs-CZ" w:eastAsia="cs-CZ" w:bidi="cs-CZ"/>
        </w:rPr>
        <w:t xml:space="preserve">Zákaznický portál“). </w:t>
      </w:r>
      <w:r>
        <w:rPr>
          <w:color w:val="000000"/>
          <w:spacing w:val="0"/>
          <w:w w:val="100"/>
          <w:position w:val="0"/>
          <w:shd w:val="clear" w:color="auto" w:fill="auto"/>
          <w:lang w:val="cs-CZ" w:eastAsia="cs-CZ" w:bidi="cs-CZ"/>
        </w:rPr>
        <w:t>Užití Zákaz</w:t>
        <w:softHyphen/>
        <w:t>nického portálu není zpoplatněno.</w:t>
      </w:r>
    </w:p>
    <w:p>
      <w:pPr>
        <w:pStyle w:val="Style37"/>
        <w:keepNext w:val="0"/>
        <w:keepLines w:val="0"/>
        <w:widowControl w:val="0"/>
        <w:numPr>
          <w:ilvl w:val="0"/>
          <w:numId w:val="41"/>
        </w:numPr>
        <w:shd w:val="clear" w:color="auto" w:fill="auto"/>
        <w:tabs>
          <w:tab w:pos="263" w:val="left"/>
        </w:tabs>
        <w:bidi w:val="0"/>
        <w:spacing w:before="0" w:line="254" w:lineRule="auto"/>
        <w:ind w:left="0" w:right="0" w:firstLine="0"/>
        <w:jc w:val="both"/>
      </w:pPr>
      <w:r>
        <w:rPr>
          <w:color w:val="000000"/>
          <w:spacing w:val="0"/>
          <w:w w:val="100"/>
          <w:position w:val="0"/>
          <w:shd w:val="clear" w:color="auto" w:fill="auto"/>
          <w:lang w:val="cs-CZ" w:eastAsia="cs-CZ" w:bidi="cs-CZ"/>
        </w:rPr>
        <w:t>Požádá-li Zákazník Obchodníka o zřízení Zákazníkova účtu (dále jen „Účet“) na Zákaznickém portálu, Obchodník předá Zákazníkovi buď osobně nebo prostřednictvím provozovatele poštovních služeb přihlašovací kódy k účtu a případně též jiné údaje, na základě kterých bude Zákazník moci aktivovat na internetových stránkách Obchodníka svůj účet.</w:t>
      </w:r>
    </w:p>
    <w:p>
      <w:pPr>
        <w:pStyle w:val="Style37"/>
        <w:keepNext w:val="0"/>
        <w:keepLines w:val="0"/>
        <w:widowControl w:val="0"/>
        <w:numPr>
          <w:ilvl w:val="0"/>
          <w:numId w:val="41"/>
        </w:numPr>
        <w:shd w:val="clear" w:color="auto" w:fill="auto"/>
        <w:tabs>
          <w:tab w:pos="254" w:val="left"/>
        </w:tabs>
        <w:bidi w:val="0"/>
        <w:spacing w:before="0" w:line="254" w:lineRule="auto"/>
        <w:ind w:left="0" w:right="0" w:firstLine="0"/>
        <w:jc w:val="left"/>
      </w:pPr>
      <w:r>
        <w:rPr>
          <w:color w:val="000000"/>
          <w:spacing w:val="0"/>
          <w:w w:val="100"/>
          <w:position w:val="0"/>
          <w:shd w:val="clear" w:color="auto" w:fill="auto"/>
          <w:lang w:val="cs-CZ" w:eastAsia="cs-CZ" w:bidi="cs-CZ"/>
        </w:rPr>
        <w:t>Zákaznický portál poskytuje Zákazníkovi následující funkce:</w:t>
      </w:r>
    </w:p>
    <w:p>
      <w:pPr>
        <w:pStyle w:val="Style37"/>
        <w:keepNext w:val="0"/>
        <w:keepLines w:val="0"/>
        <w:widowControl w:val="0"/>
        <w:numPr>
          <w:ilvl w:val="0"/>
          <w:numId w:val="43"/>
        </w:numPr>
        <w:shd w:val="clear" w:color="auto" w:fill="auto"/>
        <w:tabs>
          <w:tab w:pos="543" w:val="left"/>
        </w:tabs>
        <w:bidi w:val="0"/>
        <w:spacing w:before="0" w:line="254" w:lineRule="auto"/>
        <w:ind w:left="420" w:right="0" w:hanging="140"/>
        <w:jc w:val="both"/>
      </w:pPr>
      <w:r>
        <w:rPr>
          <w:color w:val="000000"/>
          <w:spacing w:val="0"/>
          <w:w w:val="100"/>
          <w:position w:val="0"/>
          <w:shd w:val="clear" w:color="auto" w:fill="auto"/>
          <w:lang w:val="cs-CZ" w:eastAsia="cs-CZ" w:bidi="cs-CZ"/>
        </w:rPr>
        <w:t>informativní povahy, které Zákazníkovi zpřístupňují údaje týkající se plnění Smlouvy, a to například:</w:t>
      </w:r>
    </w:p>
    <w:p>
      <w:pPr>
        <w:pStyle w:val="Style37"/>
        <w:keepNext w:val="0"/>
        <w:keepLines w:val="0"/>
        <w:widowControl w:val="0"/>
        <w:shd w:val="clear" w:color="auto" w:fill="auto"/>
        <w:tabs>
          <w:tab w:pos="764" w:val="left"/>
        </w:tabs>
        <w:bidi w:val="0"/>
        <w:spacing w:before="0" w:line="254" w:lineRule="auto"/>
        <w:ind w:left="0" w:right="0" w:firstLine="420"/>
        <w:jc w:val="both"/>
      </w:pPr>
      <w:r>
        <w:rPr>
          <w:color w:val="000000"/>
          <w:spacing w:val="0"/>
          <w:w w:val="100"/>
          <w:position w:val="0"/>
          <w:shd w:val="clear" w:color="auto" w:fill="auto"/>
          <w:lang w:val="cs-CZ" w:eastAsia="cs-CZ" w:bidi="cs-CZ"/>
        </w:rPr>
        <w:t>aa)</w:t>
        <w:tab/>
        <w:t>smluvní a kontaktní údaje Zákazníka,</w:t>
      </w:r>
    </w:p>
    <w:p>
      <w:pPr>
        <w:pStyle w:val="Style37"/>
        <w:keepNext w:val="0"/>
        <w:keepLines w:val="0"/>
        <w:widowControl w:val="0"/>
        <w:shd w:val="clear" w:color="auto" w:fill="auto"/>
        <w:tabs>
          <w:tab w:pos="764" w:val="left"/>
        </w:tabs>
        <w:bidi w:val="0"/>
        <w:spacing w:before="0" w:line="254" w:lineRule="auto"/>
        <w:ind w:left="0" w:right="0" w:firstLine="420"/>
        <w:jc w:val="both"/>
      </w:pPr>
      <w:r>
        <w:rPr>
          <w:color w:val="000000"/>
          <w:spacing w:val="0"/>
          <w:w w:val="100"/>
          <w:position w:val="0"/>
          <w:shd w:val="clear" w:color="auto" w:fill="auto"/>
          <w:lang w:val="cs-CZ" w:eastAsia="cs-CZ" w:bidi="cs-CZ"/>
        </w:rPr>
        <w:t>ab)</w:t>
        <w:tab/>
        <w:t>fakturační údaje,</w:t>
      </w:r>
    </w:p>
    <w:p>
      <w:pPr>
        <w:pStyle w:val="Style37"/>
        <w:keepNext w:val="0"/>
        <w:keepLines w:val="0"/>
        <w:widowControl w:val="0"/>
        <w:shd w:val="clear" w:color="auto" w:fill="auto"/>
        <w:tabs>
          <w:tab w:pos="764" w:val="left"/>
        </w:tabs>
        <w:bidi w:val="0"/>
        <w:spacing w:before="0" w:line="254" w:lineRule="auto"/>
        <w:ind w:left="0" w:right="0" w:firstLine="420"/>
        <w:jc w:val="both"/>
      </w:pPr>
      <w:r>
        <w:rPr>
          <w:color w:val="000000"/>
          <w:spacing w:val="0"/>
          <w:w w:val="100"/>
          <w:position w:val="0"/>
          <w:shd w:val="clear" w:color="auto" w:fill="auto"/>
          <w:lang w:val="cs-CZ" w:eastAsia="cs-CZ" w:bidi="cs-CZ"/>
        </w:rPr>
        <w:t>ac)</w:t>
        <w:tab/>
        <w:t>údaje týkající se odběrného místa/odbérných míst,</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ad)</w:t>
        <w:tab/>
        <w:t>doba trvání Smlouvy,</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ae)</w:t>
        <w:tab/>
        <w:t>druh čerpaného cenového produktu a doba jeho čerpání,</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af)</w:t>
        <w:tab/>
        <w:t>splátkové dohody.</w:t>
      </w:r>
    </w:p>
    <w:p>
      <w:pPr>
        <w:pStyle w:val="Style37"/>
        <w:keepNext w:val="0"/>
        <w:keepLines w:val="0"/>
        <w:widowControl w:val="0"/>
        <w:numPr>
          <w:ilvl w:val="0"/>
          <w:numId w:val="43"/>
        </w:numPr>
        <w:shd w:val="clear" w:color="auto" w:fill="auto"/>
        <w:tabs>
          <w:tab w:pos="543" w:val="left"/>
        </w:tabs>
        <w:bidi w:val="0"/>
        <w:spacing w:before="0" w:line="252" w:lineRule="auto"/>
        <w:ind w:left="420" w:right="0" w:hanging="140"/>
        <w:jc w:val="both"/>
      </w:pPr>
      <w:r>
        <w:rPr>
          <w:color w:val="000000"/>
          <w:spacing w:val="0"/>
          <w:w w:val="100"/>
          <w:position w:val="0"/>
          <w:shd w:val="clear" w:color="auto" w:fill="auto"/>
          <w:lang w:val="cs-CZ" w:eastAsia="cs-CZ" w:bidi="cs-CZ"/>
        </w:rPr>
        <w:t>oznamovací povahy, které Zákazníkovi umožňují oznamovat Ob</w:t>
        <w:softHyphen/>
        <w:t>chodníkovi změny údajů uvedených ve Smlouvě, které nemají vliv na její změny, například změny:</w:t>
      </w:r>
    </w:p>
    <w:p>
      <w:pPr>
        <w:pStyle w:val="Style37"/>
        <w:keepNext w:val="0"/>
        <w:keepLines w:val="0"/>
        <w:widowControl w:val="0"/>
        <w:shd w:val="clear" w:color="auto" w:fill="auto"/>
        <w:tabs>
          <w:tab w:pos="764" w:val="left"/>
        </w:tabs>
        <w:bidi w:val="0"/>
        <w:spacing w:before="0" w:line="254" w:lineRule="auto"/>
        <w:ind w:left="0" w:right="0" w:firstLine="420"/>
        <w:jc w:val="both"/>
      </w:pPr>
      <w:r>
        <w:rPr>
          <w:color w:val="000000"/>
          <w:spacing w:val="0"/>
          <w:w w:val="100"/>
          <w:position w:val="0"/>
          <w:shd w:val="clear" w:color="auto" w:fill="auto"/>
          <w:lang w:val="cs-CZ" w:eastAsia="cs-CZ" w:bidi="cs-CZ"/>
        </w:rPr>
        <w:t>ba)</w:t>
        <w:tab/>
        <w:t>identifikačníc údajů,</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bb)</w:t>
        <w:tab/>
        <w:t>zasílacích adres,</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bc)</w:t>
        <w:tab/>
        <w:t>bankovních spojení,</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bd)</w:t>
        <w:tab/>
        <w:t>e-mailu,</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be)</w:t>
        <w:tab/>
        <w:t>způsobu placení.</w:t>
      </w:r>
    </w:p>
    <w:p>
      <w:pPr>
        <w:pStyle w:val="Style37"/>
        <w:keepNext w:val="0"/>
        <w:keepLines w:val="0"/>
        <w:widowControl w:val="0"/>
        <w:numPr>
          <w:ilvl w:val="0"/>
          <w:numId w:val="43"/>
        </w:numPr>
        <w:shd w:val="clear" w:color="auto" w:fill="auto"/>
        <w:tabs>
          <w:tab w:pos="543" w:val="left"/>
        </w:tabs>
        <w:bidi w:val="0"/>
        <w:spacing w:before="0" w:line="254" w:lineRule="auto"/>
        <w:ind w:left="420" w:right="0" w:hanging="140"/>
        <w:jc w:val="both"/>
      </w:pPr>
      <w:r>
        <w:rPr>
          <w:color w:val="000000"/>
          <w:spacing w:val="0"/>
          <w:w w:val="100"/>
          <w:position w:val="0"/>
          <w:shd w:val="clear" w:color="auto" w:fill="auto"/>
          <w:lang w:val="cs-CZ" w:eastAsia="cs-CZ" w:bidi="cs-CZ"/>
        </w:rPr>
        <w:t>dispozitivní povahy, které Zákazníkovi umožni měnit závazkový vztah. Zákazník je tak oprávněn zejména navrhovat následující změny Smlouvy:</w:t>
      </w:r>
    </w:p>
    <w:p>
      <w:pPr>
        <w:pStyle w:val="Style37"/>
        <w:keepNext w:val="0"/>
        <w:keepLines w:val="0"/>
        <w:widowControl w:val="0"/>
        <w:shd w:val="clear" w:color="auto" w:fill="auto"/>
        <w:tabs>
          <w:tab w:pos="761" w:val="left"/>
        </w:tabs>
        <w:bidi w:val="0"/>
        <w:spacing w:before="0" w:line="254" w:lineRule="auto"/>
        <w:ind w:left="0" w:right="0" w:firstLine="420"/>
        <w:jc w:val="both"/>
      </w:pPr>
      <w:r>
        <w:rPr>
          <w:color w:val="000000"/>
          <w:spacing w:val="0"/>
          <w:w w:val="100"/>
          <w:position w:val="0"/>
          <w:shd w:val="clear" w:color="auto" w:fill="auto"/>
          <w:lang w:val="cs-CZ" w:eastAsia="cs-CZ" w:bidi="cs-CZ"/>
        </w:rPr>
        <w:t>ca)</w:t>
        <w:tab/>
        <w:t>změny záloh,</w:t>
      </w:r>
    </w:p>
    <w:p>
      <w:pPr>
        <w:pStyle w:val="Style37"/>
        <w:keepNext w:val="0"/>
        <w:keepLines w:val="0"/>
        <w:widowControl w:val="0"/>
        <w:shd w:val="clear" w:color="auto" w:fill="auto"/>
        <w:tabs>
          <w:tab w:pos="761" w:val="left"/>
        </w:tabs>
        <w:bidi w:val="0"/>
        <w:spacing w:before="0" w:line="254" w:lineRule="auto"/>
        <w:ind w:left="0" w:right="0" w:firstLine="420"/>
        <w:jc w:val="both"/>
      </w:pPr>
      <w:r>
        <w:rPr>
          <w:color w:val="000000"/>
          <w:spacing w:val="0"/>
          <w:w w:val="100"/>
          <w:position w:val="0"/>
          <w:shd w:val="clear" w:color="auto" w:fill="auto"/>
          <w:lang w:val="cs-CZ" w:eastAsia="cs-CZ" w:bidi="cs-CZ"/>
        </w:rPr>
        <w:t>cb)</w:t>
        <w:tab/>
        <w:t>změnu způsobu doručování faktury,</w:t>
      </w:r>
    </w:p>
    <w:p>
      <w:pPr>
        <w:pStyle w:val="Style37"/>
        <w:keepNext w:val="0"/>
        <w:keepLines w:val="0"/>
        <w:widowControl w:val="0"/>
        <w:numPr>
          <w:ilvl w:val="0"/>
          <w:numId w:val="45"/>
        </w:numPr>
        <w:shd w:val="clear" w:color="auto" w:fill="auto"/>
        <w:tabs>
          <w:tab w:pos="781" w:val="left"/>
        </w:tabs>
        <w:bidi w:val="0"/>
        <w:spacing w:before="0" w:line="257" w:lineRule="auto"/>
        <w:ind w:left="700" w:right="0" w:hanging="260"/>
        <w:jc w:val="both"/>
      </w:pPr>
      <w:r>
        <w:rPr>
          <w:color w:val="000000"/>
          <w:spacing w:val="0"/>
          <w:w w:val="100"/>
          <w:position w:val="0"/>
          <w:shd w:val="clear" w:color="auto" w:fill="auto"/>
          <w:lang w:val="cs-CZ" w:eastAsia="cs-CZ" w:bidi="cs-CZ"/>
        </w:rPr>
        <w:t>změny Smlouvy, které Obchodník prostřednictvím Zákaznic</w:t>
        <w:softHyphen/>
        <w:t>kého portálu Zákazníkům nabízí. Zejména se jedná o Dodat</w:t>
        <w:softHyphen/>
        <w:t>ky na cenové produkty, u kterých dochází též ke změně doby trvání Smlouvy/Závazku.</w:t>
      </w:r>
    </w:p>
    <w:p>
      <w:pPr>
        <w:pStyle w:val="Style37"/>
        <w:keepNext w:val="0"/>
        <w:keepLines w:val="0"/>
        <w:widowControl w:val="0"/>
        <w:numPr>
          <w:ilvl w:val="0"/>
          <w:numId w:val="43"/>
        </w:numPr>
        <w:shd w:val="clear" w:color="auto" w:fill="auto"/>
        <w:tabs>
          <w:tab w:pos="543" w:val="left"/>
        </w:tabs>
        <w:bidi w:val="0"/>
        <w:spacing w:before="0" w:line="252" w:lineRule="auto"/>
        <w:ind w:left="420" w:right="0" w:hanging="140"/>
        <w:jc w:val="both"/>
      </w:pPr>
      <w:r>
        <w:rPr>
          <w:color w:val="000000"/>
          <w:spacing w:val="0"/>
          <w:w w:val="100"/>
          <w:position w:val="0"/>
          <w:shd w:val="clear" w:color="auto" w:fill="auto"/>
          <w:lang w:val="cs-CZ" w:eastAsia="cs-CZ" w:bidi="cs-CZ"/>
        </w:rPr>
        <w:t>zákaznické povahy, které Zákazníkovi umožní objednat činnosti související s plněním Smlouvy, jako například</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da)</w:t>
        <w:tab/>
        <w:t>odebrání elektroměru,</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db)</w:t>
        <w:tab/>
        <w:t>rozšíření odběru,</w:t>
      </w:r>
    </w:p>
    <w:p>
      <w:pPr>
        <w:pStyle w:val="Style37"/>
        <w:keepNext w:val="0"/>
        <w:keepLines w:val="0"/>
        <w:widowControl w:val="0"/>
        <w:shd w:val="clear" w:color="auto" w:fill="auto"/>
        <w:tabs>
          <w:tab w:pos="767" w:val="left"/>
        </w:tabs>
        <w:bidi w:val="0"/>
        <w:spacing w:before="0" w:line="254" w:lineRule="auto"/>
        <w:ind w:left="0" w:right="0" w:firstLine="420"/>
        <w:jc w:val="both"/>
      </w:pPr>
      <w:r>
        <w:rPr>
          <w:color w:val="000000"/>
          <w:spacing w:val="0"/>
          <w:w w:val="100"/>
          <w:position w:val="0"/>
          <w:shd w:val="clear" w:color="auto" w:fill="auto"/>
          <w:lang w:val="cs-CZ" w:eastAsia="cs-CZ" w:bidi="cs-CZ"/>
        </w:rPr>
        <w:t>dc)</w:t>
        <w:tab/>
        <w:t>připojení odběrného místa.</w:t>
      </w:r>
    </w:p>
    <w:p>
      <w:pPr>
        <w:pStyle w:val="Style37"/>
        <w:keepNext w:val="0"/>
        <w:keepLines w:val="0"/>
        <w:widowControl w:val="0"/>
        <w:numPr>
          <w:ilvl w:val="0"/>
          <w:numId w:val="41"/>
        </w:numPr>
        <w:shd w:val="clear" w:color="auto" w:fill="auto"/>
        <w:tabs>
          <w:tab w:pos="269" w:val="left"/>
        </w:tabs>
        <w:bidi w:val="0"/>
        <w:spacing w:before="0" w:line="254" w:lineRule="auto"/>
        <w:ind w:left="0" w:right="0" w:firstLine="0"/>
        <w:jc w:val="both"/>
        <w:sectPr>
          <w:footnotePr>
            <w:pos w:val="pageBottom"/>
            <w:numFmt w:val="decimal"/>
            <w:numRestart w:val="continuous"/>
          </w:footnotePr>
          <w:type w:val="continuous"/>
          <w:pgSz w:w="11900" w:h="16840"/>
          <w:pgMar w:top="1117" w:left="969" w:right="955" w:bottom="1036" w:header="689" w:footer="3" w:gutter="0"/>
          <w:cols w:num="2" w:space="100"/>
          <w:noEndnote/>
          <w:rtlGutter w:val="0"/>
          <w:docGrid w:linePitch="360"/>
        </w:sectPr>
      </w:pPr>
      <w:r>
        <w:rPr>
          <w:color w:val="000000"/>
          <w:spacing w:val="0"/>
          <w:w w:val="100"/>
          <w:position w:val="0"/>
          <w:shd w:val="clear" w:color="auto" w:fill="auto"/>
          <w:lang w:val="cs-CZ" w:eastAsia="cs-CZ" w:bidi="cs-CZ"/>
        </w:rPr>
        <w:t>Zákazník může na Zákaznickém portálu zažádat o aktivaci služ</w:t>
        <w:softHyphen/>
        <w:t>by elektronické fakturace, na jejímž základě budou veškeré následně vystavené faktury doručovány Zákazníkovi jejich uložením ve formá</w:t>
        <w:softHyphen/>
        <w:t>tu PDF na jeho Účtu v Zákaznickém portálu a současně zasílány na emailovou adresu Zákazníka, namísto zasílání prostřednictvím pro</w:t>
        <w:softHyphen/>
        <w:t>vozovatele poštovních služeb. Faktura je v takovém případě doruče</w:t>
        <w:softHyphen/>
        <w:t>na uplynutím tří dnů od jejího uložení na Účtu dotyčného Zákazníka. O uložení faktury na Zákaznickém účtu může být Zákazník automatic</w:t>
        <w:softHyphen/>
        <w:t>ky upozorněn zprávou na mobilní číslo evidované v Účtu nebo jiným vhodným způsobem. Zákazníkovi vzniká v souvislosti s užívání služby elektronické fakturace povinnost pravidelné navštěvovat Zákaznický portál po dobu účinnosti Smlouvy. V případě, že by přesto nedošlo z jakéhokoli důvodu k automatickému upozornění Zákazníka na ulo</w:t>
        <w:softHyphen/>
        <w:t>žení faktury, nemá tato skutečnost vliv na doručení faktury dle tohoto bodu. Zákazník je oprávněn deaktivovat službu elektronické fakturace.</w:t>
      </w:r>
    </w:p>
    <w:p>
      <w:pPr>
        <w:pStyle w:val="Style37"/>
        <w:keepNext w:val="0"/>
        <w:keepLines w:val="0"/>
        <w:widowControl w:val="0"/>
        <w:shd w:val="clear" w:color="auto" w:fill="auto"/>
        <w:bidi w:val="0"/>
        <w:spacing w:before="0" w:line="257" w:lineRule="auto"/>
        <w:ind w:left="0" w:right="0" w:firstLine="0"/>
        <w:jc w:val="both"/>
      </w:pPr>
      <w:r>
        <mc:AlternateContent>
          <mc:Choice Requires="wps">
            <w:drawing>
              <wp:anchor distT="0" distB="0" distL="12700" distR="12700" simplePos="0" relativeHeight="125829386" behindDoc="0" locked="0" layoutInCell="1" allowOverlap="1">
                <wp:simplePos x="0" y="0"/>
                <wp:positionH relativeFrom="page">
                  <wp:posOffset>3865245</wp:posOffset>
                </wp:positionH>
                <wp:positionV relativeFrom="paragraph">
                  <wp:posOffset>0</wp:posOffset>
                </wp:positionV>
                <wp:extent cx="3048000" cy="899160"/>
                <wp:wrapSquare wrapText="bothSides"/>
                <wp:docPr id="17" name="Shape 17"/>
                <a:graphic xmlns:a="http://schemas.openxmlformats.org/drawingml/2006/main">
                  <a:graphicData uri="http://schemas.microsoft.com/office/word/2010/wordprocessingShape">
                    <wps:wsp>
                      <wps:cNvSpPr txBox="1"/>
                      <wps:spPr>
                        <a:xfrm>
                          <a:ext cx="3048000" cy="899160"/>
                        </a:xfrm>
                        <a:prstGeom prst="rect"/>
                        <a:noFill/>
                      </wps:spPr>
                      <wps:txbx>
                        <w:txbxContent>
                          <w:p>
                            <w:pPr>
                              <w:pStyle w:val="Style37"/>
                              <w:keepNext w:val="0"/>
                              <w:keepLines w:val="0"/>
                              <w:widowControl w:val="0"/>
                              <w:shd w:val="clear" w:color="auto" w:fill="auto"/>
                              <w:bidi w:val="0"/>
                              <w:spacing w:before="0" w:after="60" w:line="262" w:lineRule="auto"/>
                              <w:ind w:left="0" w:right="0" w:firstLine="0"/>
                              <w:jc w:val="both"/>
                            </w:pPr>
                            <w:r>
                              <w:rPr>
                                <w:color w:val="000000"/>
                                <w:spacing w:val="0"/>
                                <w:w w:val="100"/>
                                <w:position w:val="0"/>
                                <w:shd w:val="clear" w:color="auto" w:fill="auto"/>
                                <w:lang w:val="cs-CZ" w:eastAsia="cs-CZ" w:bidi="cs-CZ"/>
                              </w:rPr>
                              <w:t>stupně ve smyslu ustanovení § 89 a) zákona číslo 99/1963 Sb..občanský soudní řád, ve znění pozdějších předpisů, v místě sídla Obchodníka.</w:t>
                            </w:r>
                          </w:p>
                          <w:p>
                            <w:pPr>
                              <w:pStyle w:val="Style37"/>
                              <w:keepNext w:val="0"/>
                              <w:keepLines w:val="0"/>
                              <w:widowControl w:val="0"/>
                              <w:numPr>
                                <w:ilvl w:val="0"/>
                                <w:numId w:val="47"/>
                              </w:numPr>
                              <w:shd w:val="clear" w:color="auto" w:fill="auto"/>
                              <w:tabs>
                                <w:tab w:pos="219" w:val="left"/>
                              </w:tabs>
                              <w:bidi w:val="0"/>
                              <w:spacing w:before="0" w:after="0" w:line="262" w:lineRule="auto"/>
                              <w:ind w:left="0" w:right="0" w:firstLine="0"/>
                              <w:jc w:val="both"/>
                            </w:pPr>
                            <w:r>
                              <w:rPr>
                                <w:color w:val="000000"/>
                                <w:spacing w:val="0"/>
                                <w:w w:val="100"/>
                                <w:position w:val="0"/>
                                <w:shd w:val="clear" w:color="auto" w:fill="auto"/>
                                <w:lang w:val="cs-CZ" w:eastAsia="cs-CZ" w:bidi="cs-CZ"/>
                              </w:rPr>
                              <w:t>Z důvodu zvýšení kvality služeb Obchodníka může být telefonická komunikace mezi Obchodníkem a Zákazníkem ze strany Obchodníka monitorována.</w:t>
                            </w:r>
                          </w:p>
                          <w:p>
                            <w:pPr>
                              <w:pStyle w:val="Style37"/>
                              <w:keepNext w:val="0"/>
                              <w:keepLines w:val="0"/>
                              <w:widowControl w:val="0"/>
                              <w:numPr>
                                <w:ilvl w:val="0"/>
                                <w:numId w:val="47"/>
                              </w:numPr>
                              <w:shd w:val="clear" w:color="auto" w:fill="auto"/>
                              <w:tabs>
                                <w:tab w:pos="225" w:val="left"/>
                              </w:tabs>
                              <w:bidi w:val="0"/>
                              <w:spacing w:before="0" w:after="0" w:line="262" w:lineRule="auto"/>
                              <w:ind w:left="0" w:right="0" w:firstLine="0"/>
                              <w:jc w:val="both"/>
                            </w:pPr>
                            <w:r>
                              <w:rPr>
                                <w:color w:val="000000"/>
                                <w:spacing w:val="0"/>
                                <w:w w:val="100"/>
                                <w:position w:val="0"/>
                                <w:shd w:val="clear" w:color="auto" w:fill="auto"/>
                                <w:lang w:val="cs-CZ" w:eastAsia="cs-CZ" w:bidi="cs-CZ"/>
                              </w:rPr>
                              <w:t>Tyto OP jsou platné a účinné od 1.1. 2016.</w:t>
                            </w:r>
                          </w:p>
                        </w:txbxContent>
                      </wps:txbx>
                      <wps:bodyPr lIns="0" tIns="0" rIns="0" bIns="0">
                        <a:noAutoFit/>
                      </wps:bodyPr>
                    </wps:wsp>
                  </a:graphicData>
                </a:graphic>
              </wp:anchor>
            </w:drawing>
          </mc:Choice>
          <mc:Fallback>
            <w:pict>
              <v:shape id="_x0000_s1043" type="#_x0000_t202" style="position:absolute;margin-left:304.35000000000002pt;margin-top:0;width:240.pt;height:70.799999999999997pt;z-index:-125829367;mso-wrap-distance-left:1.pt;mso-wrap-distance-right:1.pt;mso-position-horizontal-relative:page" filled="f" stroked="f">
                <v:textbox inset="0,0,0,0">
                  <w:txbxContent>
                    <w:p>
                      <w:pPr>
                        <w:pStyle w:val="Style37"/>
                        <w:keepNext w:val="0"/>
                        <w:keepLines w:val="0"/>
                        <w:widowControl w:val="0"/>
                        <w:shd w:val="clear" w:color="auto" w:fill="auto"/>
                        <w:bidi w:val="0"/>
                        <w:spacing w:before="0" w:after="60" w:line="262" w:lineRule="auto"/>
                        <w:ind w:left="0" w:right="0" w:firstLine="0"/>
                        <w:jc w:val="both"/>
                      </w:pPr>
                      <w:r>
                        <w:rPr>
                          <w:color w:val="000000"/>
                          <w:spacing w:val="0"/>
                          <w:w w:val="100"/>
                          <w:position w:val="0"/>
                          <w:shd w:val="clear" w:color="auto" w:fill="auto"/>
                          <w:lang w:val="cs-CZ" w:eastAsia="cs-CZ" w:bidi="cs-CZ"/>
                        </w:rPr>
                        <w:t>stupně ve smyslu ustanovení § 89 a) zákona číslo 99/1963 Sb..občanský soudní řád, ve znění pozdějších předpisů, v místě sídla Obchodníka.</w:t>
                      </w:r>
                    </w:p>
                    <w:p>
                      <w:pPr>
                        <w:pStyle w:val="Style37"/>
                        <w:keepNext w:val="0"/>
                        <w:keepLines w:val="0"/>
                        <w:widowControl w:val="0"/>
                        <w:numPr>
                          <w:ilvl w:val="0"/>
                          <w:numId w:val="47"/>
                        </w:numPr>
                        <w:shd w:val="clear" w:color="auto" w:fill="auto"/>
                        <w:tabs>
                          <w:tab w:pos="219" w:val="left"/>
                        </w:tabs>
                        <w:bidi w:val="0"/>
                        <w:spacing w:before="0" w:after="0" w:line="262" w:lineRule="auto"/>
                        <w:ind w:left="0" w:right="0" w:firstLine="0"/>
                        <w:jc w:val="both"/>
                      </w:pPr>
                      <w:r>
                        <w:rPr>
                          <w:color w:val="000000"/>
                          <w:spacing w:val="0"/>
                          <w:w w:val="100"/>
                          <w:position w:val="0"/>
                          <w:shd w:val="clear" w:color="auto" w:fill="auto"/>
                          <w:lang w:val="cs-CZ" w:eastAsia="cs-CZ" w:bidi="cs-CZ"/>
                        </w:rPr>
                        <w:t>Z důvodu zvýšení kvality služeb Obchodníka může být telefonická komunikace mezi Obchodníkem a Zákazníkem ze strany Obchodníka monitorována.</w:t>
                      </w:r>
                    </w:p>
                    <w:p>
                      <w:pPr>
                        <w:pStyle w:val="Style37"/>
                        <w:keepNext w:val="0"/>
                        <w:keepLines w:val="0"/>
                        <w:widowControl w:val="0"/>
                        <w:numPr>
                          <w:ilvl w:val="0"/>
                          <w:numId w:val="47"/>
                        </w:numPr>
                        <w:shd w:val="clear" w:color="auto" w:fill="auto"/>
                        <w:tabs>
                          <w:tab w:pos="225" w:val="left"/>
                        </w:tabs>
                        <w:bidi w:val="0"/>
                        <w:spacing w:before="0" w:after="0" w:line="262" w:lineRule="auto"/>
                        <w:ind w:left="0" w:right="0" w:firstLine="0"/>
                        <w:jc w:val="both"/>
                      </w:pPr>
                      <w:r>
                        <w:rPr>
                          <w:color w:val="000000"/>
                          <w:spacing w:val="0"/>
                          <w:w w:val="100"/>
                          <w:position w:val="0"/>
                          <w:shd w:val="clear" w:color="auto" w:fill="auto"/>
                          <w:lang w:val="cs-CZ" w:eastAsia="cs-CZ" w:bidi="cs-CZ"/>
                        </w:rPr>
                        <w:t>Tyto OP jsou platné a účinné od 1.1. 2016.</w:t>
                      </w:r>
                    </w:p>
                  </w:txbxContent>
                </v:textbox>
                <w10:wrap type="square" anchorx="page"/>
              </v:shape>
            </w:pict>
          </mc:Fallback>
        </mc:AlternateContent>
      </w:r>
      <w:r>
        <w:rPr>
          <w:color w:val="000000"/>
          <w:spacing w:val="0"/>
          <w:w w:val="100"/>
          <w:position w:val="0"/>
          <w:shd w:val="clear" w:color="auto" w:fill="auto"/>
          <w:lang w:val="cs-CZ" w:eastAsia="cs-CZ" w:bidi="cs-CZ"/>
        </w:rPr>
        <w:t>Deaktivace služby elektronické fakturace nemá vliv na doručeni faktur uložených na Účtu před provedením deaktivace a faktury vystavené po jejím provedení budou zasílány prostřednictvím provozovatele poštov</w:t>
        <w:softHyphen/>
        <w:t>ních služeb.</w:t>
      </w:r>
    </w:p>
    <w:p>
      <w:pPr>
        <w:pStyle w:val="Style37"/>
        <w:keepNext w:val="0"/>
        <w:keepLines w:val="0"/>
        <w:widowControl w:val="0"/>
        <w:numPr>
          <w:ilvl w:val="0"/>
          <w:numId w:val="41"/>
        </w:numPr>
        <w:shd w:val="clear" w:color="auto" w:fill="auto"/>
        <w:tabs>
          <w:tab w:pos="279" w:val="left"/>
        </w:tabs>
        <w:bidi w:val="0"/>
        <w:spacing w:before="0"/>
        <w:ind w:left="0" w:right="0" w:firstLine="0"/>
        <w:jc w:val="both"/>
      </w:pPr>
      <w:r>
        <w:rPr>
          <w:color w:val="000000"/>
          <w:spacing w:val="0"/>
          <w:w w:val="100"/>
          <w:position w:val="0"/>
          <w:shd w:val="clear" w:color="auto" w:fill="auto"/>
          <w:lang w:val="cs-CZ" w:eastAsia="cs-CZ" w:bidi="cs-CZ"/>
        </w:rPr>
        <w:t>Obchodník není omezen v nabízení jakýchkoli dalších služeb a zpří</w:t>
        <w:softHyphen/>
        <w:t>stupňování nových funkcí na Zákaznickém portálu.</w:t>
      </w:r>
    </w:p>
    <w:p>
      <w:pPr>
        <w:pStyle w:val="Style37"/>
        <w:keepNext w:val="0"/>
        <w:keepLines w:val="0"/>
        <w:widowControl w:val="0"/>
        <w:numPr>
          <w:ilvl w:val="0"/>
          <w:numId w:val="41"/>
        </w:numPr>
        <w:shd w:val="clear" w:color="auto" w:fill="auto"/>
        <w:tabs>
          <w:tab w:pos="279" w:val="left"/>
        </w:tabs>
        <w:bidi w:val="0"/>
        <w:spacing w:before="0" w:line="257" w:lineRule="auto"/>
        <w:ind w:left="0" w:right="0" w:firstLine="0"/>
        <w:jc w:val="both"/>
      </w:pPr>
      <w:r>
        <w:rPr>
          <w:color w:val="000000"/>
          <w:spacing w:val="0"/>
          <w:w w:val="100"/>
          <w:position w:val="0"/>
          <w:shd w:val="clear" w:color="auto" w:fill="auto"/>
          <w:lang w:val="cs-CZ" w:eastAsia="cs-CZ" w:bidi="cs-CZ"/>
        </w:rPr>
        <w:t>Obchodník je oprávněn podmínit přihlašování na Účet, navrhování změn Smlouvy či aktivaci některých služeb Zákaznického portálu za</w:t>
        <w:softHyphen/>
        <w:t>sláním SMS zprávy s ověřovacím kódem, který bude nutné pro tyto účely do Zákaznického portálu zadat či jiným vhodným způsobem ově</w:t>
        <w:softHyphen/>
        <w:t>řovat totožnost Zákazníka. Obchodník je také oprávněn požadovat po Zákazníkovi pro tyto účely doložení úředních dokladů, považuje-li to pro dané jednání za potřebné.</w:t>
      </w:r>
    </w:p>
    <w:p>
      <w:pPr>
        <w:pStyle w:val="Style37"/>
        <w:keepNext w:val="0"/>
        <w:keepLines w:val="0"/>
        <w:widowControl w:val="0"/>
        <w:shd w:val="clear" w:color="auto" w:fill="auto"/>
        <w:bidi w:val="0"/>
        <w:spacing w:before="0" w:line="254" w:lineRule="auto"/>
        <w:ind w:left="0" w:right="0" w:firstLine="0"/>
        <w:jc w:val="both"/>
      </w:pPr>
      <w:r>
        <w:rPr>
          <w:b/>
          <w:bCs/>
          <w:color w:val="000000"/>
          <w:spacing w:val="0"/>
          <w:w w:val="100"/>
          <w:position w:val="0"/>
          <w:shd w:val="clear" w:color="auto" w:fill="auto"/>
          <w:lang w:val="cs-CZ" w:eastAsia="cs-CZ" w:bidi="cs-CZ"/>
        </w:rPr>
        <w:t>Zabezpečení a odpovědnost</w:t>
      </w:r>
    </w:p>
    <w:p>
      <w:pPr>
        <w:pStyle w:val="Style37"/>
        <w:keepNext w:val="0"/>
        <w:keepLines w:val="0"/>
        <w:widowControl w:val="0"/>
        <w:numPr>
          <w:ilvl w:val="0"/>
          <w:numId w:val="41"/>
        </w:numPr>
        <w:shd w:val="clear" w:color="auto" w:fill="auto"/>
        <w:tabs>
          <w:tab w:pos="279" w:val="left"/>
        </w:tabs>
        <w:bidi w:val="0"/>
        <w:spacing w:before="0" w:line="254" w:lineRule="auto"/>
        <w:ind w:left="0" w:right="0" w:firstLine="0"/>
        <w:jc w:val="both"/>
      </w:pPr>
      <w:r>
        <w:rPr>
          <w:color w:val="000000"/>
          <w:spacing w:val="0"/>
          <w:w w:val="100"/>
          <w:position w:val="0"/>
          <w:shd w:val="clear" w:color="auto" w:fill="auto"/>
          <w:lang w:val="cs-CZ" w:eastAsia="cs-CZ" w:bidi="cs-CZ"/>
        </w:rPr>
        <w:t>Obchodník je povinen technicky zabezpečit ochranu a důvěrnost údajů obsažených na Účtech Zákaznického portálu. Zákazník je po</w:t>
        <w:softHyphen/>
        <w:t>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softHyphen/>
        <w:t>vacích údajů k Účtu neoprávněnou osobou. Jakmile se Zákazník dozví o zneužití nebo o možnosti zneužití jeho přihlašovacích údajů, je tuto skutečnost povinen okamžitě nahlásit Obchodníkovi.</w:t>
      </w:r>
    </w:p>
    <w:p>
      <w:pPr>
        <w:pStyle w:val="Style37"/>
        <w:keepNext w:val="0"/>
        <w:keepLines w:val="0"/>
        <w:widowControl w:val="0"/>
        <w:numPr>
          <w:ilvl w:val="0"/>
          <w:numId w:val="41"/>
        </w:numPr>
        <w:shd w:val="clear" w:color="auto" w:fill="auto"/>
        <w:tabs>
          <w:tab w:pos="279" w:val="left"/>
        </w:tabs>
        <w:bidi w:val="0"/>
        <w:spacing w:before="0" w:after="100" w:line="254" w:lineRule="auto"/>
        <w:ind w:left="0" w:right="0" w:firstLine="0"/>
        <w:jc w:val="both"/>
      </w:pPr>
      <w:r>
        <w:rPr>
          <w:color w:val="000000"/>
          <w:spacing w:val="0"/>
          <w:w w:val="100"/>
          <w:position w:val="0"/>
          <w:shd w:val="clear" w:color="auto" w:fill="auto"/>
          <w:lang w:val="cs-CZ" w:eastAsia="cs-CZ" w:bidi="cs-CZ"/>
        </w:rPr>
        <w:t>Dojde-li k zániku Smlouvy, Zákazník bude moci Zákaznický portál užívat ještě 12 měsíců od zániku Smlouvy. Zákazník může kdykoliv používání Zákaznického portálu ukončit, je však povinen tuto skuteč</w:t>
        <w:softHyphen/>
        <w:t>nost bez zbytečného odkladu písemné oznámit Obchodníkovi.</w:t>
      </w:r>
    </w:p>
    <w:p>
      <w:pPr>
        <w:pStyle w:val="Style17"/>
        <w:keepNext/>
        <w:keepLines/>
        <w:widowControl w:val="0"/>
        <w:shd w:val="clear" w:color="auto" w:fill="auto"/>
        <w:bidi w:val="0"/>
        <w:spacing w:before="0" w:after="10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Článek XIII. Osobní údaje</w:t>
      </w:r>
      <w:bookmarkEnd w:id="40"/>
      <w:bookmarkEnd w:id="41"/>
    </w:p>
    <w:p>
      <w:pPr>
        <w:pStyle w:val="Style37"/>
        <w:keepNext w:val="0"/>
        <w:keepLines w:val="0"/>
        <w:widowControl w:val="0"/>
        <w:numPr>
          <w:ilvl w:val="0"/>
          <w:numId w:val="49"/>
        </w:numPr>
        <w:shd w:val="clear" w:color="auto" w:fill="auto"/>
        <w:tabs>
          <w:tab w:pos="279" w:val="left"/>
        </w:tabs>
        <w:bidi w:val="0"/>
        <w:spacing w:before="0" w:after="0" w:line="254" w:lineRule="auto"/>
        <w:ind w:left="0" w:right="0" w:firstLine="0"/>
        <w:jc w:val="both"/>
      </w:pPr>
      <w:r>
        <w:rPr>
          <w:color w:val="000000"/>
          <w:spacing w:val="0"/>
          <w:w w:val="100"/>
          <w:position w:val="0"/>
          <w:shd w:val="clear" w:color="auto" w:fill="auto"/>
          <w:lang w:val="cs-CZ" w:eastAsia="cs-CZ" w:bidi="cs-CZ"/>
        </w:rPr>
        <w:t>Obchodník ctí a respektuje nejvyšší standardy ochrany osobních údajů a nakládá s osobními údaji Zákazníka výhradně v souladu s příslušnými právními předpisy, zejména v souladu s obecným nařízením o ochraně osobních údajů.</w:t>
      </w:r>
    </w:p>
    <w:p>
      <w:pPr>
        <w:pStyle w:val="Style37"/>
        <w:keepNext w:val="0"/>
        <w:keepLines w:val="0"/>
        <w:widowControl w:val="0"/>
        <w:numPr>
          <w:ilvl w:val="0"/>
          <w:numId w:val="49"/>
        </w:numPr>
        <w:shd w:val="clear" w:color="auto" w:fill="auto"/>
        <w:tabs>
          <w:tab w:pos="302" w:val="left"/>
        </w:tabs>
        <w:bidi w:val="0"/>
        <w:spacing w:before="0" w:after="0" w:line="254" w:lineRule="auto"/>
        <w:ind w:left="0" w:right="0" w:firstLine="0"/>
        <w:jc w:val="both"/>
      </w:pPr>
      <w:r>
        <w:rPr>
          <w:color w:val="000000"/>
          <w:spacing w:val="0"/>
          <w:w w:val="100"/>
          <w:position w:val="0"/>
          <w:shd w:val="clear" w:color="auto" w:fill="auto"/>
          <w:lang w:val="cs-CZ" w:eastAsia="cs-CZ" w:bidi="cs-CZ"/>
        </w:rPr>
        <w:t>Zákazník v té souvislosti bere na vědomí, že poskytnutí jeho osobních údajů je smluvním a z části i zákonným požadavkem, a má proto povinnost své osobní údaje poskytnout, a že Obchodník zpracovává osobní údaje Zákazníka způsobem, v rozsahu a za podmínek uvedených v dokumentu Informace o zpracování osobních údajů („Informace“), se kterým měl Zákazník možnost se seznámit, a to ve znění aktuálním ke dni uzavření Smlouvy.</w:t>
      </w:r>
    </w:p>
    <w:p>
      <w:pPr>
        <w:pStyle w:val="Style37"/>
        <w:keepNext w:val="0"/>
        <w:keepLines w:val="0"/>
        <w:widowControl w:val="0"/>
        <w:numPr>
          <w:ilvl w:val="0"/>
          <w:numId w:val="49"/>
        </w:numPr>
        <w:shd w:val="clear" w:color="auto" w:fill="auto"/>
        <w:tabs>
          <w:tab w:pos="299" w:val="left"/>
        </w:tabs>
        <w:bidi w:val="0"/>
        <w:spacing w:before="0" w:after="0" w:line="254" w:lineRule="auto"/>
        <w:ind w:left="0" w:right="0" w:firstLine="0"/>
        <w:jc w:val="both"/>
      </w:pPr>
      <w:r>
        <w:rPr>
          <w:color w:val="000000"/>
          <w:spacing w:val="0"/>
          <w:w w:val="100"/>
          <w:position w:val="0"/>
          <w:shd w:val="clear" w:color="auto" w:fill="auto"/>
          <w:lang w:val="cs-CZ" w:eastAsia="cs-CZ" w:bidi="cs-CZ"/>
        </w:rPr>
        <w:t xml:space="preserve">Zákazník byl dále informován, že aktuální znění Informace je kdykoliv dostupné na webové adrese </w:t>
      </w:r>
      <w:r>
        <w:fldChar w:fldCharType="begin"/>
      </w:r>
      <w:r>
        <w:rPr/>
        <w:instrText> HYPERLINK "http://www.ppas.cz/info" </w:instrText>
      </w:r>
      <w:r>
        <w:fldChar w:fldCharType="separate"/>
      </w:r>
      <w:r>
        <w:rPr>
          <w:color w:val="000000"/>
          <w:spacing w:val="0"/>
          <w:w w:val="100"/>
          <w:position w:val="0"/>
          <w:shd w:val="clear" w:color="auto" w:fill="auto"/>
          <w:lang w:val="en-US" w:eastAsia="en-US" w:bidi="en-US"/>
        </w:rPr>
        <w:t>www.ppas.cz/info</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a dále na vyžádání v obchodních kancelářích Obchodníka.</w:t>
      </w:r>
    </w:p>
    <w:p>
      <w:pPr>
        <w:pStyle w:val="Style37"/>
        <w:keepNext w:val="0"/>
        <w:keepLines w:val="0"/>
        <w:widowControl w:val="0"/>
        <w:numPr>
          <w:ilvl w:val="0"/>
          <w:numId w:val="49"/>
        </w:numPr>
        <w:shd w:val="clear" w:color="auto" w:fill="auto"/>
        <w:tabs>
          <w:tab w:pos="305" w:val="left"/>
        </w:tabs>
        <w:bidi w:val="0"/>
        <w:spacing w:before="0" w:line="254" w:lineRule="auto"/>
        <w:ind w:left="0" w:right="0" w:firstLine="0"/>
        <w:jc w:val="both"/>
      </w:pPr>
      <w:r>
        <w:rPr>
          <w:color w:val="000000"/>
          <w:spacing w:val="0"/>
          <w:w w:val="100"/>
          <w:position w:val="0"/>
          <w:shd w:val="clear" w:color="auto" w:fill="auto"/>
          <w:lang w:val="cs-CZ" w:eastAsia="cs-CZ" w:bidi="cs-CZ"/>
        </w:rPr>
        <w:t>Zákazník byl rovněž poučen o svých právech v souvislosti se zpracováním osobních údajů, zejména o svém právu odvolat souhlas, je-li zpracování založeno na souhlasu, nebo o právu vznést námitku.</w:t>
      </w:r>
    </w:p>
    <w:p>
      <w:pPr>
        <w:pStyle w:val="Style17"/>
        <w:keepNext/>
        <w:keepLines/>
        <w:widowControl w:val="0"/>
        <w:shd w:val="clear" w:color="auto" w:fill="auto"/>
        <w:bidi w:val="0"/>
        <w:spacing w:before="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Článek XIV. Ostatní ujednání</w:t>
      </w:r>
      <w:bookmarkEnd w:id="42"/>
      <w:bookmarkEnd w:id="43"/>
    </w:p>
    <w:p>
      <w:pPr>
        <w:pStyle w:val="Style37"/>
        <w:keepNext w:val="0"/>
        <w:keepLines w:val="0"/>
        <w:widowControl w:val="0"/>
        <w:numPr>
          <w:ilvl w:val="0"/>
          <w:numId w:val="51"/>
        </w:numPr>
        <w:shd w:val="clear" w:color="auto" w:fill="auto"/>
        <w:tabs>
          <w:tab w:pos="299" w:val="left"/>
        </w:tabs>
        <w:bidi w:val="0"/>
        <w:spacing w:before="0" w:line="252" w:lineRule="auto"/>
        <w:ind w:left="0" w:right="0" w:firstLine="0"/>
        <w:jc w:val="both"/>
      </w:pPr>
      <w:r>
        <w:rPr>
          <w:color w:val="000000"/>
          <w:spacing w:val="0"/>
          <w:w w:val="100"/>
          <w:position w:val="0"/>
          <w:shd w:val="clear" w:color="auto" w:fill="auto"/>
          <w:lang w:val="cs-CZ" w:eastAsia="cs-CZ" w:bidi="cs-CZ"/>
        </w:rPr>
        <w:t>Smluvní strany se zavazují, že neposkytnou Smlouvu jako celek či její část, která není veřejné známa, a ani neposkytnou informace v ní obsažené třetí osobě bez předchozího písemného souhlasu druhé smluvní strany. Tento závazek se netýká případu, kdy zveřejnění nebo poskytnutí informací třetí osobě určuje smluvním stranám obecně zá</w:t>
        <w:softHyphen/>
        <w:t>vazný právní předpis.</w:t>
      </w:r>
    </w:p>
    <w:p>
      <w:pPr>
        <w:pStyle w:val="Style37"/>
        <w:keepNext w:val="0"/>
        <w:keepLines w:val="0"/>
        <w:widowControl w:val="0"/>
        <w:numPr>
          <w:ilvl w:val="0"/>
          <w:numId w:val="51"/>
        </w:numPr>
        <w:shd w:val="clear" w:color="auto" w:fill="auto"/>
        <w:tabs>
          <w:tab w:pos="323" w:val="left"/>
        </w:tabs>
        <w:bidi w:val="0"/>
        <w:spacing w:before="0" w:after="0" w:line="252" w:lineRule="auto"/>
        <w:ind w:left="0" w:right="0" w:firstLine="0"/>
        <w:jc w:val="both"/>
      </w:pPr>
      <w:r>
        <w:rPr>
          <w:color w:val="000000"/>
          <w:spacing w:val="0"/>
          <w:w w:val="100"/>
          <w:position w:val="0"/>
          <w:shd w:val="clear" w:color="auto" w:fill="auto"/>
          <w:lang w:val="cs-CZ" w:eastAsia="cs-CZ" w:bidi="cs-CZ"/>
        </w:rPr>
        <w:t>Stane-li se některé ustanovení Smlouvy neplatné či neúčinné, nedotýká se to ostatních ustanovení, která zůstávají platná a účinná a smluvní strany se zavazují dohodou nahradit ustanovení neplatné či neúčinné novým ustanovením, které nejlépe odpovídá původně za</w:t>
        <w:softHyphen/>
        <w:t>mýšlenému účelu ustanovení neplatného či neúčinného. Do té doby platí odpovídající úprava obecně závazných právních předpisů České republiky.</w:t>
      </w:r>
    </w:p>
    <w:p>
      <w:pPr>
        <w:pStyle w:val="Style37"/>
        <w:keepNext w:val="0"/>
        <w:keepLines w:val="0"/>
        <w:widowControl w:val="0"/>
        <w:numPr>
          <w:ilvl w:val="0"/>
          <w:numId w:val="51"/>
        </w:numPr>
        <w:shd w:val="clear" w:color="auto" w:fill="auto"/>
        <w:tabs>
          <w:tab w:pos="323" w:val="left"/>
        </w:tabs>
        <w:bidi w:val="0"/>
        <w:spacing w:before="0" w:after="0" w:line="252" w:lineRule="auto"/>
        <w:ind w:left="0" w:right="0" w:firstLine="0"/>
        <w:jc w:val="both"/>
      </w:pPr>
      <w:r>
        <w:rPr>
          <w:color w:val="000000"/>
          <w:spacing w:val="0"/>
          <w:w w:val="100"/>
          <w:position w:val="0"/>
          <w:shd w:val="clear" w:color="auto" w:fill="auto"/>
          <w:lang w:val="cs-CZ" w:eastAsia="cs-CZ" w:bidi="cs-CZ"/>
        </w:rPr>
        <w:t xml:space="preserve">Veškeré spory vzniklé při plnění Smlouvy nebo v souvislosti s ní budou smluvní strany řešit především jednáním s cílem dosáhnout smírného řešení. Je-li Zákazník spotřebitelem, má dle zákona č. 634/1992 Sb., o ochraně spotřebitele, v platném znění, právo na mimosoudní řešení spotřebitelského sporu z této Smlouvy. Subjektem, který je v České republice oprávněn v tomto případě mimosoudní řešení sporu provádět, je Energetický regulační úřad. Bližší informace jsou dostupné na webových stránkách </w:t>
      </w:r>
      <w:r>
        <w:fldChar w:fldCharType="begin"/>
      </w:r>
      <w:r>
        <w:rPr/>
        <w:instrText> HYPERLINK "http://www.eru.cz" </w:instrText>
      </w:r>
      <w:r>
        <w:fldChar w:fldCharType="separate"/>
      </w:r>
      <w:r>
        <w:rPr>
          <w:color w:val="000000"/>
          <w:spacing w:val="0"/>
          <w:w w:val="100"/>
          <w:position w:val="0"/>
          <w:shd w:val="clear" w:color="auto" w:fill="auto"/>
          <w:lang w:val="en-US" w:eastAsia="en-US" w:bidi="en-US"/>
        </w:rPr>
        <w:t>www.eru.cz</w:t>
      </w:r>
      <w:r>
        <w:fldChar w:fldCharType="end"/>
      </w:r>
      <w:r>
        <w:rPr>
          <w:color w:val="000000"/>
          <w:spacing w:val="0"/>
          <w:w w:val="100"/>
          <w:position w:val="0"/>
          <w:shd w:val="clear" w:color="auto" w:fill="auto"/>
          <w:lang w:val="en-US" w:eastAsia="en-US" w:bidi="en-US"/>
        </w:rPr>
        <w:t>.</w:t>
      </w:r>
    </w:p>
    <w:p>
      <w:pPr>
        <w:pStyle w:val="Style37"/>
        <w:keepNext w:val="0"/>
        <w:keepLines w:val="0"/>
        <w:widowControl w:val="0"/>
        <w:numPr>
          <w:ilvl w:val="0"/>
          <w:numId w:val="51"/>
        </w:numPr>
        <w:shd w:val="clear" w:color="auto" w:fill="auto"/>
        <w:tabs>
          <w:tab w:pos="314" w:val="left"/>
        </w:tabs>
        <w:bidi w:val="0"/>
        <w:spacing w:before="0" w:line="252" w:lineRule="auto"/>
        <w:ind w:left="0" w:right="0" w:firstLine="0"/>
        <w:jc w:val="both"/>
      </w:pPr>
      <w:r>
        <w:rPr>
          <w:color w:val="000000"/>
          <w:spacing w:val="0"/>
          <w:w w:val="100"/>
          <w:position w:val="0"/>
          <w:shd w:val="clear" w:color="auto" w:fill="auto"/>
          <w:lang w:val="cs-CZ" w:eastAsia="cs-CZ" w:bidi="cs-CZ"/>
        </w:rPr>
        <w:t>Veškeré spory, které se stranám nepodaří odstranit jednáním a smírnou cestou nebo v rámci mimosoudního řešení spotřebitelského sporu, budou řešit příslušné soudy České republiky a pro případ, že sídlo či odběrné místo Zákazníka kategorie Maloodběratel je nebo v budoucnu bude mimo území hlavního města Prahy, sjednává se mezi smluvními stranami pro tyto spory místní příslušnost soudu prvního</w:t>
      </w:r>
    </w:p>
    <w:sectPr>
      <w:footerReference w:type="default" r:id="rId12"/>
      <w:footerReference w:type="even" r:id="rId13"/>
      <w:footnotePr>
        <w:pos w:val="pageBottom"/>
        <w:numFmt w:val="decimal"/>
        <w:numRestart w:val="continuous"/>
      </w:footnotePr>
      <w:pgSz w:w="11900" w:h="16840"/>
      <w:pgMar w:top="1113" w:left="984" w:right="5940" w:bottom="1113" w:header="685" w:footer="68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6641465</wp:posOffset>
              </wp:positionH>
              <wp:positionV relativeFrom="page">
                <wp:posOffset>10370820</wp:posOffset>
              </wp:positionV>
              <wp:extent cx="49530" cy="91440"/>
              <wp:wrapNone/>
              <wp:docPr id="7" name="Shape 7"/>
              <a:graphic xmlns:a="http://schemas.openxmlformats.org/drawingml/2006/main">
                <a:graphicData uri="http://schemas.microsoft.com/office/word/2010/wordprocessingShape">
                  <wps:wsp>
                    <wps:cNvSpPr txBox="1"/>
                    <wps:spPr>
                      <a:xfrm>
                        <a:ext cx="49530"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522.95000000000005pt;margin-top:816.60000000000002pt;width:3.8999999999999999pt;height:7.2000000000000002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6600825</wp:posOffset>
              </wp:positionH>
              <wp:positionV relativeFrom="page">
                <wp:posOffset>10471785</wp:posOffset>
              </wp:positionV>
              <wp:extent cx="53340" cy="83820"/>
              <wp:wrapNone/>
              <wp:docPr id="9" name="Shape 9"/>
              <a:graphic xmlns:a="http://schemas.openxmlformats.org/drawingml/2006/main">
                <a:graphicData uri="http://schemas.microsoft.com/office/word/2010/wordprocessingShape">
                  <wps:wsp>
                    <wps:cNvSpPr txBox="1"/>
                    <wps:spPr>
                      <a:xfrm>
                        <a:ext cx="53340" cy="8382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519.75pt;margin-top:824.54999999999995pt;width:4.2000000000000002pt;height:6.5999999999999996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655320</wp:posOffset>
              </wp:positionH>
              <wp:positionV relativeFrom="page">
                <wp:posOffset>10149840</wp:posOffset>
              </wp:positionV>
              <wp:extent cx="685800" cy="74295"/>
              <wp:wrapNone/>
              <wp:docPr id="13" name="Shape 13"/>
              <a:graphic xmlns:a="http://schemas.openxmlformats.org/drawingml/2006/main">
                <a:graphicData uri="http://schemas.microsoft.com/office/word/2010/wordprocessingShape">
                  <wps:wsp>
                    <wps:cNvSpPr txBox="1"/>
                    <wps:spPr>
                      <a:xfrm>
                        <a:ext cx="685800" cy="74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PP-22-8-001-20</w:t>
                          </w:r>
                        </w:p>
                      </w:txbxContent>
                    </wps:txbx>
                    <wps:bodyPr wrap="none" lIns="0" tIns="0" rIns="0" bIns="0">
                      <a:spAutoFit/>
                    </wps:bodyPr>
                  </wps:wsp>
                </a:graphicData>
              </a:graphic>
            </wp:anchor>
          </w:drawing>
        </mc:Choice>
        <mc:Fallback>
          <w:pict>
            <v:shape id="_x0000_s1039" type="#_x0000_t202" style="position:absolute;margin-left:51.600000000000001pt;margin-top:799.20000000000005pt;width:54.pt;height:5.8499999999999996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PP-22-8-001-20</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655320</wp:posOffset>
              </wp:positionH>
              <wp:positionV relativeFrom="page">
                <wp:posOffset>10149840</wp:posOffset>
              </wp:positionV>
              <wp:extent cx="685800" cy="74295"/>
              <wp:wrapNone/>
              <wp:docPr id="15" name="Shape 15"/>
              <a:graphic xmlns:a="http://schemas.openxmlformats.org/drawingml/2006/main">
                <a:graphicData uri="http://schemas.microsoft.com/office/word/2010/wordprocessingShape">
                  <wps:wsp>
                    <wps:cNvSpPr txBox="1"/>
                    <wps:spPr>
                      <a:xfrm>
                        <a:ext cx="685800" cy="74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PP-22-8-001-20</w:t>
                          </w:r>
                        </w:p>
                      </w:txbxContent>
                    </wps:txbx>
                    <wps:bodyPr wrap="none" lIns="0" tIns="0" rIns="0" bIns="0">
                      <a:spAutoFit/>
                    </wps:bodyPr>
                  </wps:wsp>
                </a:graphicData>
              </a:graphic>
            </wp:anchor>
          </w:drawing>
        </mc:Choice>
        <mc:Fallback>
          <w:pict>
            <v:shape id="_x0000_s1041" type="#_x0000_t202" style="position:absolute;margin-left:51.600000000000001pt;margin-top:799.20000000000005pt;width:54.pt;height:5.8499999999999996pt;z-index:-18874405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PP-22-8-001-20</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4">
    <w:multiLevelType w:val="multilevel"/>
    <w:lvl w:ilvl="0">
      <w:start w:val="200"/>
      <w:numFmt w:val="lowerRoman"/>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6">
    <w:multiLevelType w:val="multilevel"/>
    <w:lvl w:ilvl="0">
      <w:start w:val="5"/>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Nadpis #1_"/>
    <w:basedOn w:val="DefaultParagraphFont"/>
    <w:link w:val="Style6"/>
    <w:rPr>
      <w:rFonts w:ascii="Arial" w:eastAsia="Arial" w:hAnsi="Arial" w:cs="Arial"/>
      <w:b/>
      <w:bCs/>
      <w:i w:val="0"/>
      <w:iCs w:val="0"/>
      <w:smallCaps w:val="0"/>
      <w:strike w:val="0"/>
      <w:sz w:val="38"/>
      <w:szCs w:val="38"/>
      <w:u w:val="none"/>
    </w:rPr>
  </w:style>
  <w:style w:type="character" w:customStyle="1" w:styleId="CharStyle11">
    <w:name w:val="Nadpis #2_"/>
    <w:basedOn w:val="DefaultParagraphFont"/>
    <w:link w:val="Style10"/>
    <w:rPr>
      <w:rFonts w:ascii="Times New Roman" w:eastAsia="Times New Roman" w:hAnsi="Times New Roman" w:cs="Times New Roman"/>
      <w:b/>
      <w:bCs/>
      <w:i w:val="0"/>
      <w:iCs w:val="0"/>
      <w:smallCaps w:val="0"/>
      <w:strike w:val="0"/>
      <w:sz w:val="32"/>
      <w:szCs w:val="32"/>
      <w:u w:val="none"/>
    </w:rPr>
  </w:style>
  <w:style w:type="character" w:customStyle="1" w:styleId="CharStyle13">
    <w:name w:val="Základní text (4)_"/>
    <w:basedOn w:val="DefaultParagraphFont"/>
    <w:link w:val="Style12"/>
    <w:rPr>
      <w:rFonts w:ascii="Arial" w:eastAsia="Arial" w:hAnsi="Arial" w:cs="Arial"/>
      <w:b/>
      <w:bCs/>
      <w:i w:val="0"/>
      <w:iCs w:val="0"/>
      <w:smallCaps w:val="0"/>
      <w:strike w:val="0"/>
      <w:sz w:val="26"/>
      <w:szCs w:val="26"/>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Nadpis #3_"/>
    <w:basedOn w:val="DefaultParagraphFont"/>
    <w:link w:val="Style17"/>
    <w:rPr>
      <w:rFonts w:ascii="Arial" w:eastAsia="Arial" w:hAnsi="Arial" w:cs="Arial"/>
      <w:b/>
      <w:bCs/>
      <w:i w:val="0"/>
      <w:iCs w:val="0"/>
      <w:smallCaps w:val="0"/>
      <w:strike w:val="0"/>
      <w:sz w:val="19"/>
      <w:szCs w:val="19"/>
      <w:u w:val="none"/>
    </w:rPr>
  </w:style>
  <w:style w:type="character" w:customStyle="1" w:styleId="CharStyle22">
    <w:name w:val="Titulek tabulky_"/>
    <w:basedOn w:val="DefaultParagraphFont"/>
    <w:link w:val="Style21"/>
    <w:rPr>
      <w:rFonts w:ascii="Arial" w:eastAsia="Arial" w:hAnsi="Arial" w:cs="Arial"/>
      <w:b w:val="0"/>
      <w:bCs w:val="0"/>
      <w:i w:val="0"/>
      <w:iCs w:val="0"/>
      <w:smallCaps w:val="0"/>
      <w:strike w:val="0"/>
      <w:sz w:val="19"/>
      <w:szCs w:val="19"/>
      <w:u w:val="none"/>
    </w:rPr>
  </w:style>
  <w:style w:type="character" w:customStyle="1" w:styleId="CharStyle25">
    <w:name w:val="Jiné_"/>
    <w:basedOn w:val="DefaultParagraphFont"/>
    <w:link w:val="Style24"/>
    <w:rPr>
      <w:rFonts w:ascii="Arial" w:eastAsia="Arial" w:hAnsi="Arial" w:cs="Arial"/>
      <w:b w:val="0"/>
      <w:bCs w:val="0"/>
      <w:i w:val="0"/>
      <w:iCs w:val="0"/>
      <w:smallCaps w:val="0"/>
      <w:strike w:val="0"/>
      <w:sz w:val="15"/>
      <w:szCs w:val="15"/>
      <w:u w:val="none"/>
    </w:rPr>
  </w:style>
  <w:style w:type="character" w:customStyle="1" w:styleId="CharStyle32">
    <w:name w:val="Základní text (6)_"/>
    <w:basedOn w:val="DefaultParagraphFont"/>
    <w:link w:val="Style31"/>
    <w:rPr>
      <w:rFonts w:ascii="Corbel" w:eastAsia="Corbel" w:hAnsi="Corbel" w:cs="Corbel"/>
      <w:b w:val="0"/>
      <w:bCs w:val="0"/>
      <w:i w:val="0"/>
      <w:iCs w:val="0"/>
      <w:smallCaps w:val="0"/>
      <w:strike w:val="0"/>
      <w:color w:val="134669"/>
      <w:sz w:val="36"/>
      <w:szCs w:val="36"/>
      <w:u w:val="none"/>
    </w:rPr>
  </w:style>
  <w:style w:type="character" w:customStyle="1" w:styleId="CharStyle36">
    <w:name w:val="Základní text (5)_"/>
    <w:basedOn w:val="DefaultParagraphFont"/>
    <w:link w:val="Style35"/>
    <w:rPr>
      <w:rFonts w:ascii="Arial" w:eastAsia="Arial" w:hAnsi="Arial" w:cs="Arial"/>
      <w:b w:val="0"/>
      <w:bCs w:val="0"/>
      <w:i w:val="0"/>
      <w:iCs w:val="0"/>
      <w:smallCaps w:val="0"/>
      <w:strike w:val="0"/>
      <w:sz w:val="22"/>
      <w:szCs w:val="22"/>
      <w:u w:val="none"/>
    </w:rPr>
  </w:style>
  <w:style w:type="character" w:customStyle="1" w:styleId="CharStyle38">
    <w:name w:val="Základní text_"/>
    <w:basedOn w:val="DefaultParagraphFont"/>
    <w:link w:val="Style37"/>
    <w:rPr>
      <w:rFonts w:ascii="Arial" w:eastAsia="Arial" w:hAnsi="Arial" w:cs="Arial"/>
      <w:b w:val="0"/>
      <w:bCs w:val="0"/>
      <w:i w:val="0"/>
      <w:iCs w:val="0"/>
      <w:smallCaps w:val="0"/>
      <w:strike w:val="0"/>
      <w:sz w:val="15"/>
      <w:szCs w:val="15"/>
      <w:u w:val="none"/>
    </w:rPr>
  </w:style>
  <w:style w:type="paragraph" w:customStyle="1" w:styleId="Style2">
    <w:name w:val="Základní text (2)"/>
    <w:basedOn w:val="Normal"/>
    <w:link w:val="CharStyle3"/>
    <w:pPr>
      <w:widowControl w:val="0"/>
      <w:shd w:val="clear" w:color="auto" w:fill="FFFFFF"/>
      <w:spacing w:after="260" w:line="276" w:lineRule="auto"/>
    </w:pPr>
    <w:rPr>
      <w:rFonts w:ascii="Arial" w:eastAsia="Arial" w:hAnsi="Arial" w:cs="Arial"/>
      <w:b w:val="0"/>
      <w:bCs w:val="0"/>
      <w:i w:val="0"/>
      <w:iCs w:val="0"/>
      <w:smallCaps w:val="0"/>
      <w:strike w:val="0"/>
      <w:sz w:val="19"/>
      <w:szCs w:val="19"/>
      <w:u w:val="none"/>
    </w:rPr>
  </w:style>
  <w:style w:type="paragraph" w:customStyle="1" w:styleId="Style4">
    <w:name w:val="Základní text (3)"/>
    <w:basedOn w:val="Normal"/>
    <w:link w:val="CharStyle5"/>
    <w:pPr>
      <w:widowControl w:val="0"/>
      <w:shd w:val="clear" w:color="auto" w:fill="FFFFFF"/>
      <w:spacing w:after="100" w:line="360" w:lineRule="auto"/>
      <w:ind w:left="6840" w:firstLine="20"/>
    </w:pPr>
    <w:rPr>
      <w:rFonts w:ascii="Arial" w:eastAsia="Arial" w:hAnsi="Arial" w:cs="Arial"/>
      <w:b w:val="0"/>
      <w:bCs w:val="0"/>
      <w:i w:val="0"/>
      <w:iCs w:val="0"/>
      <w:smallCaps w:val="0"/>
      <w:strike w:val="0"/>
      <w:sz w:val="13"/>
      <w:szCs w:val="13"/>
      <w:u w:val="none"/>
    </w:rPr>
  </w:style>
  <w:style w:type="paragraph" w:customStyle="1" w:styleId="Style6">
    <w:name w:val="Nadpis #1"/>
    <w:basedOn w:val="Normal"/>
    <w:link w:val="CharStyle7"/>
    <w:pPr>
      <w:widowControl w:val="0"/>
      <w:shd w:val="clear" w:color="auto" w:fill="FFFFFF"/>
      <w:spacing w:after="1220" w:line="226" w:lineRule="auto"/>
      <w:jc w:val="center"/>
      <w:outlineLvl w:val="0"/>
    </w:pPr>
    <w:rPr>
      <w:rFonts w:ascii="Arial" w:eastAsia="Arial" w:hAnsi="Arial" w:cs="Arial"/>
      <w:b/>
      <w:bCs/>
      <w:i w:val="0"/>
      <w:iCs w:val="0"/>
      <w:smallCaps w:val="0"/>
      <w:strike w:val="0"/>
      <w:sz w:val="38"/>
      <w:szCs w:val="38"/>
      <w:u w:val="none"/>
    </w:rPr>
  </w:style>
  <w:style w:type="paragraph" w:customStyle="1" w:styleId="Style10">
    <w:name w:val="Nadpis #2"/>
    <w:basedOn w:val="Normal"/>
    <w:link w:val="CharStyle11"/>
    <w:pPr>
      <w:widowControl w:val="0"/>
      <w:shd w:val="clear" w:color="auto" w:fill="FFFFFF"/>
      <w:spacing w:after="4880"/>
      <w:jc w:val="center"/>
      <w:outlineLvl w:val="1"/>
    </w:pPr>
    <w:rPr>
      <w:rFonts w:ascii="Times New Roman" w:eastAsia="Times New Roman" w:hAnsi="Times New Roman" w:cs="Times New Roman"/>
      <w:b/>
      <w:bCs/>
      <w:i w:val="0"/>
      <w:iCs w:val="0"/>
      <w:smallCaps w:val="0"/>
      <w:strike w:val="0"/>
      <w:sz w:val="32"/>
      <w:szCs w:val="32"/>
      <w:u w:val="none"/>
    </w:rPr>
  </w:style>
  <w:style w:type="paragraph" w:customStyle="1" w:styleId="Style12">
    <w:name w:val="Základní text (4)"/>
    <w:basedOn w:val="Normal"/>
    <w:link w:val="CharStyle13"/>
    <w:pPr>
      <w:widowControl w:val="0"/>
      <w:shd w:val="clear" w:color="auto" w:fill="FFFFFF"/>
      <w:spacing w:after="260"/>
      <w:ind w:firstLine="400"/>
    </w:pPr>
    <w:rPr>
      <w:rFonts w:ascii="Arial" w:eastAsia="Arial" w:hAnsi="Arial" w:cs="Arial"/>
      <w:b/>
      <w:bCs/>
      <w:i w:val="0"/>
      <w:iCs w:val="0"/>
      <w:smallCaps w:val="0"/>
      <w:strike w:val="0"/>
      <w:sz w:val="26"/>
      <w:szCs w:val="26"/>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Nadpis #3"/>
    <w:basedOn w:val="Normal"/>
    <w:link w:val="CharStyle18"/>
    <w:pPr>
      <w:widowControl w:val="0"/>
      <w:shd w:val="clear" w:color="auto" w:fill="FFFFFF"/>
      <w:spacing w:after="40"/>
      <w:jc w:val="center"/>
      <w:outlineLvl w:val="2"/>
    </w:pPr>
    <w:rPr>
      <w:rFonts w:ascii="Arial" w:eastAsia="Arial" w:hAnsi="Arial" w:cs="Arial"/>
      <w:b/>
      <w:bCs/>
      <w:i w:val="0"/>
      <w:iCs w:val="0"/>
      <w:smallCaps w:val="0"/>
      <w:strike w:val="0"/>
      <w:sz w:val="19"/>
      <w:szCs w:val="19"/>
      <w:u w:val="none"/>
    </w:rPr>
  </w:style>
  <w:style w:type="paragraph" w:customStyle="1" w:styleId="Style21">
    <w:name w:val="Titulek tabulky"/>
    <w:basedOn w:val="Normal"/>
    <w:link w:val="CharStyle22"/>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24">
    <w:name w:val="Jiné"/>
    <w:basedOn w:val="Normal"/>
    <w:link w:val="CharStyle25"/>
    <w:pPr>
      <w:widowControl w:val="0"/>
      <w:shd w:val="clear" w:color="auto" w:fill="FFFFFF"/>
      <w:spacing w:after="40" w:line="259" w:lineRule="auto"/>
    </w:pPr>
    <w:rPr>
      <w:rFonts w:ascii="Arial" w:eastAsia="Arial" w:hAnsi="Arial" w:cs="Arial"/>
      <w:b w:val="0"/>
      <w:bCs w:val="0"/>
      <w:i w:val="0"/>
      <w:iCs w:val="0"/>
      <w:smallCaps w:val="0"/>
      <w:strike w:val="0"/>
      <w:sz w:val="15"/>
      <w:szCs w:val="15"/>
      <w:u w:val="none"/>
    </w:rPr>
  </w:style>
  <w:style w:type="paragraph" w:customStyle="1" w:styleId="Style31">
    <w:name w:val="Základní text (6)"/>
    <w:basedOn w:val="Normal"/>
    <w:link w:val="CharStyle32"/>
    <w:pPr>
      <w:widowControl w:val="0"/>
      <w:shd w:val="clear" w:color="auto" w:fill="FFFFFF"/>
      <w:spacing w:after="300"/>
      <w:ind w:left="1180"/>
    </w:pPr>
    <w:rPr>
      <w:rFonts w:ascii="Corbel" w:eastAsia="Corbel" w:hAnsi="Corbel" w:cs="Corbel"/>
      <w:b w:val="0"/>
      <w:bCs w:val="0"/>
      <w:i w:val="0"/>
      <w:iCs w:val="0"/>
      <w:smallCaps w:val="0"/>
      <w:strike w:val="0"/>
      <w:color w:val="134669"/>
      <w:sz w:val="36"/>
      <w:szCs w:val="36"/>
      <w:u w:val="none"/>
    </w:rPr>
  </w:style>
  <w:style w:type="paragraph" w:customStyle="1" w:styleId="Style35">
    <w:name w:val="Základní text (5)"/>
    <w:basedOn w:val="Normal"/>
    <w:link w:val="CharStyle36"/>
    <w:pPr>
      <w:widowControl w:val="0"/>
      <w:shd w:val="clear" w:color="auto" w:fill="FFFFFF"/>
      <w:jc w:val="center"/>
    </w:pPr>
    <w:rPr>
      <w:rFonts w:ascii="Arial" w:eastAsia="Arial" w:hAnsi="Arial" w:cs="Arial"/>
      <w:b w:val="0"/>
      <w:bCs w:val="0"/>
      <w:i w:val="0"/>
      <w:iCs w:val="0"/>
      <w:smallCaps w:val="0"/>
      <w:strike w:val="0"/>
      <w:sz w:val="22"/>
      <w:szCs w:val="22"/>
      <w:u w:val="none"/>
    </w:rPr>
  </w:style>
  <w:style w:type="paragraph" w:customStyle="1" w:styleId="Style37">
    <w:name w:val="Základní text"/>
    <w:basedOn w:val="Normal"/>
    <w:link w:val="CharStyle38"/>
    <w:pPr>
      <w:widowControl w:val="0"/>
      <w:shd w:val="clear" w:color="auto" w:fill="FFFFFF"/>
      <w:spacing w:after="40" w:line="259" w:lineRule="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s>
</file>