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6660/SFDI/111070/18528/2020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>
              <w:rPr>
                <w:rFonts w:ascii="Arial" w:hAnsi="Arial" w:cs="Arial"/>
                <w:b w:val="0"/>
              </w:rPr>
              <w:t>313/2020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Terezie Bezkočková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+420266097110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13.11.2020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aktualizace Rezortní metodiky pro hodnocení ekonomické efektivnosti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 Vámi zaslanou cenovou nabídku ze dne 29. 10. 2020 u Vás objednávám jménem Státního fondu dopravní infrastruktury aktualizaci Rezortní metodiky pro hodnocení efektivnosti projektů dopravních staveb v tomto rozsahu:</w:t>
      </w:r>
    </w:p>
    <w:p>
      <w:pPr>
        <w:pStyle w:val="MDSR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CBA tabulky</w:t>
      </w:r>
    </w:p>
    <w:p>
      <w:pPr>
        <w:pStyle w:val="MDSR"/>
        <w:numPr>
          <w:ilvl w:val="7"/>
          <w:numId w:val="2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Aktualizovat socioekonomická a makroekonomická data;</w:t>
      </w:r>
    </w:p>
    <w:p>
      <w:pPr>
        <w:pStyle w:val="MDSR"/>
        <w:numPr>
          <w:ilvl w:val="7"/>
          <w:numId w:val="2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Odstranit chybu ve výpočtu míry nedostatku ve financování v </w:t>
      </w:r>
      <w:proofErr w:type="gramStart"/>
      <w:r>
        <w:rPr>
          <w:rFonts w:ascii="Arial" w:hAnsi="Arial" w:cs="Arial"/>
          <w:sz w:val="22"/>
          <w:szCs w:val="22"/>
        </w:rPr>
        <w:t>FA</w:t>
      </w:r>
      <w:proofErr w:type="gramEnd"/>
      <w:r>
        <w:rPr>
          <w:rFonts w:ascii="Arial" w:hAnsi="Arial" w:cs="Arial"/>
          <w:sz w:val="22"/>
          <w:szCs w:val="22"/>
        </w:rPr>
        <w:t>, kdy vzorec nezohledňuje situaci, kdy je suma diskontovaných příjmů záporná (buňka H45) a současně se jedná o projekt generující čisté příjmy dle čl. 61 Obecného nařízení.</w:t>
      </w:r>
    </w:p>
    <w:p>
      <w:pPr>
        <w:pStyle w:val="MDSR"/>
        <w:numPr>
          <w:ilvl w:val="7"/>
          <w:numId w:val="2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Odstranit chyby na listu 4 PN vozidel (tabulky 4.4 a 4.5);</w:t>
      </w:r>
    </w:p>
    <w:p>
      <w:pPr>
        <w:pStyle w:val="MDSR"/>
        <w:numPr>
          <w:ilvl w:val="7"/>
          <w:numId w:val="2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Upravit záložku Vstupy z HDM-4 a EXNAD sešitu *.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 xml:space="preserve"> CBA tabulek z důvodu změny výstupů těchto modelů;</w:t>
      </w:r>
    </w:p>
    <w:p>
      <w:pPr>
        <w:pStyle w:val="MDSR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Textová část rezortní metodiky - úprava/doplnění/upřesnění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Zpřesnit textaci definice nulové varianty na základě zkušenosti s hodnocením železničního projektu mostu Tábor – Písek;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textu rezortní metodiky uvést požadavek na doložení způsobu výpočtu časových úspor vstupujících do CBA;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textu upřesnit požadavek hodnotit projekt s ohledem na všechny druhy dopravy vč. multimodální koordinace;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Zpřesnit problematiku indexace především u projektů MHD a ITS;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Zjednodušit metodiku v oblasti výpočtu externalit především u projektů MHD a ITS;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textu uvést, že je možné využít HDM-4 i pro železniční stavby a upřesnit způsob použití;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Upravit tabulku 8.32 (resp. 8.35 a 8.36) v textové části Rezortní metodiky tak, aby jednotlivé položky odpovídaly položkám v tabulce 2.1 na listu 2 ZH v CBA tabulkách (například elektro, napájení vs. silnoproudé rozvody a inženýrské sítě), případně členění v rozpočtech staveb. Případně popsat, kam zařadit položky uvedené v listu zůstatková hodnota a neuvedené v tabulce 8.32. (např. objekty ochrany životního prostředí);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textu upřesnit do jaké profese v rámci cyklických oprav zařadit přejezdové konstrukce. V rámci listu zůstatková hodnota v CBA tabulkách je doporučeno zařazení do železničního svršku, otázkou však je, zda cyklus opravy přejezdové konstrukce nesouvisí spíše s intenzitou silničního provozu než s kategorií dráhy;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textu upřesnit, jak valorizovat provozní náklady infrastruktury. Nyní je doporučení obecnou inflací a investiční náklady jsou doporučeny indexem růstu cen stavebních prací. Pokud se počítá PN infrastruktury na základě CIN, pak vyjde jiný výsledek, pokud se nejdříve valorizuje CIN (indexem stavebních prací) a z nich se vypočtou cyklické opravy, než když se nejprve vypočtou cyklické opravy a následně valorizují PN infrastruktury (obecnou inflací);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 110 – reinvestice bez demolice. Upravit textaci týkající se přístupu k demolicím, z důvodu, že náklady na některé demolice se pravděpodobně při reinvestici budou opakovat (například demolice dožilého mostu);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s. 110 v kapitole „Údržba a opravy – individuální výpočet“ je v posledním odstavci uvedeno, že se náklady na údržbu a opravy odvodí ve variantě s projektem od výše investice. V jiných pasážích metodiky se uvádí, že se použije výše reinvestice. Upravit textaci (případně přidat podrobnější vysvětlení), aby bylo zřejmé, z jaké částky se při stanovování nákladů na údržbu a opravy vychází;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Zpřesnit popis postupu u zkracování hodnotícího období o informaci, zda je součástí zkráceného hodnotící období i doba realizace (tak jako u standardního hodnotícího období), nebo zda se zkrácené hodnotící období stanoví tak, aby provozní fáze stavby se rovnala ekonomické životnosti stavby (tak, aby došlo k „dožití“ stavby přesně na konci hodnotícího období a nevznikala zůstatková hodnota;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Formální úprava: tabulka 8.32 v textové části metodiky - upravit sloupečky, aby údržba byla pouze nad prvním sloupcem a opravy byly nad opravami v ¼, ½ a ¾ cyklu. Nyní je matoucí - někteří projektanti považují opravu v ¼ za údržbu;</w:t>
      </w:r>
    </w:p>
    <w:p>
      <w:pPr>
        <w:pStyle w:val="MDSR"/>
        <w:numPr>
          <w:ilvl w:val="7"/>
          <w:numId w:val="3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Formální úprava: CBA je nazývána analýzou výnosů a nákladů. Považujeme za vhodnější název analýza přínosů a nákladů;</w:t>
      </w:r>
    </w:p>
    <w:p>
      <w:pPr>
        <w:pStyle w:val="MDSR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7 (stanovení přepravních prognóz)</w:t>
      </w:r>
    </w:p>
    <w:p>
      <w:pPr>
        <w:pStyle w:val="MDSR"/>
        <w:numPr>
          <w:ilvl w:val="7"/>
          <w:numId w:val="4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Aktualizovat růstové a socioekonomické koeficienty;</w:t>
      </w:r>
    </w:p>
    <w:p>
      <w:pPr>
        <w:pStyle w:val="MDSR"/>
        <w:numPr>
          <w:ilvl w:val="7"/>
          <w:numId w:val="4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Upřesnit postup výpočtu jaký okres (resp. kraj) se má zvolit pro koeficient v rámci zjednodušeného prognózování – zda podle toho, kde se nachází stavba, z/do jakých regionů jezdí vlaky projíždějící daným úsekem nebo podle toho, kde leží celá trať;</w:t>
      </w:r>
    </w:p>
    <w:p>
      <w:pPr>
        <w:pStyle w:val="MDSR"/>
        <w:numPr>
          <w:ilvl w:val="7"/>
          <w:numId w:val="4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Formální úprava - v kapitole 6.5 se odkazuje, že „Pokyny pro zpracování přepravních prognóz a jejich výstupů (SŽDC 2011)“ byly popsány v kapitole 5.1, pravděpodobně se má jednat o kapitolu 6.1.</w:t>
      </w:r>
    </w:p>
    <w:p>
      <w:pPr>
        <w:pStyle w:val="MDSR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pro odevzdání požadovaných výstupů bude následující:</w:t>
      </w:r>
    </w:p>
    <w:p>
      <w:pPr>
        <w:pStyle w:val="MDSR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1 nejpozději do 30. 11. 2020</w:t>
      </w:r>
    </w:p>
    <w:p>
      <w:pPr>
        <w:pStyle w:val="MDSR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2 nejpozději do 31. 12. 2020</w:t>
      </w:r>
    </w:p>
    <w:p>
      <w:pPr>
        <w:pStyle w:val="MDSR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3 nejpozději do 15. 2. 2021</w:t>
      </w:r>
    </w:p>
    <w:p>
      <w:pPr>
        <w:pStyle w:val="MDSR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zpracování: celkem 244 800,-- (bez DPH) sestává z následujících částí a bude fakturována na základě převzetí a akceptace požadovaných výstupů:</w:t>
      </w:r>
    </w:p>
    <w:p>
      <w:pPr>
        <w:pStyle w:val="MDSR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1: 28 800,-- Kč</w:t>
      </w:r>
    </w:p>
    <w:p>
      <w:pPr>
        <w:pStyle w:val="MDSR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2: 96 000,-- Kč</w:t>
      </w:r>
    </w:p>
    <w:p>
      <w:pPr>
        <w:pStyle w:val="MDSR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3: 120 000,-- Kč</w:t>
      </w:r>
    </w:p>
    <w:p>
      <w:pPr>
        <w:pStyle w:val="MDSR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Formální náležitosti</w:t>
      </w: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Aktualizace bude spočívat v úpravě textů formou revizí do dohodnutého dokumentu poslední verze finálního odevzdání současného znění metodiky a dále formou úpravy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 xml:space="preserve"> souborů CBA tabulek, včetně doplnění změnových listů a vydáním jejich nové verze (1.09).</w:t>
      </w: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Zbyněk Hořelica</w:t>
      </w:r>
    </w:p>
    <w:p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SFDI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Dodavatel: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SUDOP PRAHA a.s.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3, Žižkov, Olšanská 2643/1a, PSČ 130 80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25793349</w:t>
      </w:r>
    </w:p>
    <w:p>
      <w:pPr>
        <w:jc w:val="both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 25793349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</w:rPr>
        <w:t>nd9sqfy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osoby: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 w:line="360" w:lineRule="auto"/>
        <w:ind w:firstLin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a název komodity dle číselníku NIPEZ: </w:t>
      </w:r>
      <w:r>
        <w:rPr>
          <w:rStyle w:val="detail"/>
        </w:rPr>
        <w:t>71311000-</w:t>
      </w:r>
      <w:r>
        <w:rPr>
          <w:rFonts w:ascii="Arial" w:hAnsi="Arial" w:cs="Arial"/>
          <w:sz w:val="22"/>
          <w:szCs w:val="22"/>
        </w:rPr>
        <w:t>1 Poradenství v oblasti stavebního inženýrství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Rozpočtová položka: 611901 Ostatní dlouhodobý nehmotný majetek normativy a ceníky</w:t>
      </w: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313/2020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5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1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457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0CE6FD5"/>
    <w:multiLevelType w:val="hybridMultilevel"/>
    <w:tmpl w:val="930EFBC6"/>
    <w:lvl w:ilvl="0" w:tplc="D4A2EEF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68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D538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2020-11-18T09:46:00Z</dcterms:created>
  <dcterms:modified xsi:type="dcterms:W3CDTF">2020-11-18T09:46:00Z</dcterms:modified>
</cp:coreProperties>
</file>