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93520" cy="84137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93520" cy="841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center"/>
      </w:pPr>
      <w:bookmarkStart w:id="1" w:name="bookmark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dílo II/360 Třebíč, ul. Spojovací, ze dne 4. 8. 2020</w:t>
      </w:r>
      <w:bookmarkEnd w:id="1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" w:name="bookmark2"/>
      <w:r>
        <w:rPr>
          <w:rFonts w:ascii="Calibri" w:eastAsia="Calibri" w:hAnsi="Calibri" w:cs="Calibri"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Číslo smlouvy objednatele: 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N-ST-1-2020-4-5</w:t>
      </w:r>
      <w:bookmarkEnd w:id="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3" w:name="bookmark3"/>
      <w:r>
        <w:rPr>
          <w:rFonts w:ascii="Calibri" w:eastAsia="Calibri" w:hAnsi="Calibri" w:cs="Calibri"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Číslo smlouvy zhotovitele: 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201121919</w:t>
      </w:r>
      <w:bookmarkEnd w:id="3"/>
    </w:p>
    <w:tbl>
      <w:tblPr>
        <w:tblOverlap w:val="never"/>
        <w:jc w:val="center"/>
        <w:tblLayout w:type="fixed"/>
      </w:tblPr>
      <w:tblGrid>
        <w:gridCol w:w="1978"/>
        <w:gridCol w:w="8347"/>
      </w:tblGrid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24"/>
                <w:szCs w:val="24"/>
              </w:rPr>
            </w:pPr>
            <w:bookmarkStart w:id="4" w:name="bookmark4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Článek 1</w:t>
            </w:r>
            <w:bookmarkEnd w:id="4"/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</w:t>
      </w:r>
    </w:p>
    <w:tbl>
      <w:tblPr>
        <w:tblOverlap w:val="never"/>
        <w:jc w:val="center"/>
        <w:tblLayout w:type="fixed"/>
      </w:tblPr>
      <w:tblGrid>
        <w:gridCol w:w="1978"/>
        <w:gridCol w:w="8347"/>
      </w:tblGrid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tbl>
      <w:tblPr>
        <w:tblOverlap w:val="never"/>
        <w:jc w:val="center"/>
        <w:tblLayout w:type="fixed"/>
      </w:tblPr>
      <w:tblGrid>
        <w:gridCol w:w="1978"/>
        <w:gridCol w:w="8347"/>
      </w:tblGrid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73" w:lineRule="auto"/>
        <w:ind w:left="0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rFonts w:ascii="Calibri" w:eastAsia="Calibri" w:hAnsi="Calibri" w:cs="Calibri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Objednatel“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widowControl w:val="0"/>
        <w:spacing w:after="25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73" w:lineRule="auto"/>
        <w:ind w:left="0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COLAS CZ, a.s.</w:t>
      </w:r>
    </w:p>
    <w:tbl>
      <w:tblPr>
        <w:tblOverlap w:val="never"/>
        <w:jc w:val="center"/>
        <w:tblLayout w:type="fixed"/>
      </w:tblPr>
      <w:tblGrid>
        <w:gridCol w:w="1978"/>
        <w:gridCol w:w="8347"/>
      </w:tblGrid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Rubeška 215/1, 190 00 Praha 9 - Vysočany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, ředitelem oblasti Jih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 u Městského soudu v Praze, oddíl B, vložka 6556</w:t>
      </w:r>
    </w:p>
    <w:tbl>
      <w:tblPr>
        <w:tblOverlap w:val="never"/>
        <w:jc w:val="center"/>
        <w:tblLayout w:type="fixed"/>
      </w:tblPr>
      <w:tblGrid>
        <w:gridCol w:w="1978"/>
        <w:gridCol w:w="8347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Doručovací adresa: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COLAS CZ, a.s. Oblast Jih, Kosovská 10, 586 37, Jihlava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Československá obchodní banka, a.s.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tbl>
      <w:tblPr>
        <w:tblOverlap w:val="never"/>
        <w:jc w:val="center"/>
        <w:tblLayout w:type="fixed"/>
      </w:tblPr>
      <w:tblGrid>
        <w:gridCol w:w="1978"/>
        <w:gridCol w:w="8347"/>
      </w:tblGrid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26177005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CZ26177005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bookmarkStart w:id="5" w:name="bookmark5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(společně také jako „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 nebo jednotlivě „</w:t>
      </w:r>
      <w:r>
        <w:rPr>
          <w:rFonts w:ascii="Calibri" w:eastAsia="Calibri" w:hAnsi="Calibri" w:cs="Calibri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“)</w:t>
      </w:r>
      <w:bookmarkEnd w:id="5"/>
    </w:p>
    <w:p>
      <w:pPr>
        <w:widowControl w:val="0"/>
        <w:spacing w:after="259" w:line="1" w:lineRule="exact"/>
      </w:pP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  <w:bookmarkEnd w:id="6"/>
      <w:bookmarkEnd w:id="7"/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ohledem na okolnosti zjištěné v průběhu stavby a zjištění skutečného stavu plnění dle zaměření, uzavírají smluvní strany v souladu s ustanovením § 222 odst. 4 a 6 zákona č. 134/2016 Sb., o zadávání veřejných zakázek (dále jen „zákon“) tento dodatek č. 2 ke smlouvě o dílo číslo objednatele N-ST-1-2020- 4-5, číslo zhotovitele 201121919 ze dne 4. 8. 2020, ve znění dodatku č. 1 ze dne 28. 8. 2020.</w:t>
      </w:r>
      <w:bookmarkEnd w:id="8"/>
      <w:bookmarkEnd w:id="9"/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93520" cy="84137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93520" cy="841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  <w:bookmarkEnd w:id="10"/>
      <w:bookmarkEnd w:id="11"/>
    </w:p>
    <w:p>
      <w:pPr>
        <w:pStyle w:val="Style2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II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smlouvy v aktuálním znění se mění o dodatečné stavební práce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Z1 a Z2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(vícepráce) a méněpráce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tak, jak je uvedeno v přílohách tohoto dodatku.</w:t>
      </w:r>
      <w:bookmarkEnd w:id="12"/>
      <w:bookmarkEnd w:id="13"/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cena díla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VI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odst. 6.1.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je ve znění tohoto dodatku stanovena násle</w:t>
        <w:softHyphen/>
        <w:t>dovně:</w:t>
      </w:r>
      <w:bookmarkEnd w:id="14"/>
      <w:bookmarkEnd w:id="15"/>
    </w:p>
    <w:tbl>
      <w:tblPr>
        <w:tblOverlap w:val="never"/>
        <w:jc w:val="center"/>
        <w:tblLayout w:type="fixed"/>
      </w:tblPr>
      <w:tblGrid>
        <w:gridCol w:w="5506"/>
        <w:gridCol w:w="974"/>
        <w:gridCol w:w="2030"/>
      </w:tblGrid>
      <w:tr>
        <w:trPr>
          <w:trHeight w:val="307" w:hRule="exact"/>
        </w:trPr>
        <w:tc>
          <w:tcPr>
            <w:gridSpan w:val="2"/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bookmarkStart w:id="16" w:name="bookmark16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Původní cena díla dle smlouvy o dílo bez DPH</w:t>
            </w:r>
            <w:bookmarkEnd w:id="16"/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bookmarkStart w:id="17" w:name="bookmark17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7 718 783,58 Kč</w:t>
            </w:r>
            <w:bookmarkEnd w:id="17"/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41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18" w:name="bookmark18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Vícepráce</w:t>
              <w:tab/>
              <w:t>Z1</w:t>
            </w:r>
            <w:bookmarkEnd w:id="18"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4"/>
                <w:szCs w:val="24"/>
              </w:rPr>
            </w:pPr>
            <w:bookmarkStart w:id="19" w:name="bookmark19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+</w:t>
            </w:r>
            <w:bookmarkEnd w:id="19"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4"/>
                <w:szCs w:val="24"/>
              </w:rPr>
            </w:pPr>
            <w:bookmarkStart w:id="20" w:name="bookmark20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68 040,00 Kč</w:t>
            </w:r>
            <w:bookmarkEnd w:id="20"/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41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21" w:name="bookmark21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Vícepráce</w:t>
              <w:tab/>
              <w:t>Z2</w:t>
            </w:r>
            <w:bookmarkEnd w:id="21"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4"/>
                <w:szCs w:val="24"/>
              </w:rPr>
            </w:pPr>
            <w:bookmarkStart w:id="22" w:name="bookmark22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+</w:t>
            </w:r>
            <w:bookmarkEnd w:id="22"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4"/>
                <w:szCs w:val="24"/>
              </w:rPr>
            </w:pPr>
            <w:bookmarkStart w:id="23" w:name="bookmark23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81 378,00 Kč</w:t>
            </w:r>
            <w:bookmarkEnd w:id="23"/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24" w:name="bookmark24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Méněpráce Z2</w:t>
            </w:r>
            <w:bookmarkEnd w:id="24"/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4"/>
                <w:szCs w:val="24"/>
              </w:rPr>
            </w:pPr>
            <w:bookmarkStart w:id="25" w:name="bookmark25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</w:t>
            </w:r>
            <w:bookmarkEnd w:id="25"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bookmarkStart w:id="26" w:name="bookmark26"/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1 120 046,96 Kč</w:t>
            </w:r>
            <w:bookmarkEnd w:id="26"/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27" w:name="bookmark27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Nově sjednaná cena dle dodatku č. 2 bez DPH</w:t>
            </w:r>
            <w:bookmarkEnd w:id="27"/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bookmarkStart w:id="28" w:name="bookmark28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6 748 154,62 Kč</w:t>
            </w:r>
            <w:bookmarkEnd w:id="28"/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29" w:name="bookmark29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DPH</w:t>
            </w:r>
            <w:bookmarkEnd w:id="29"/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bookmarkStart w:id="30" w:name="bookmark30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1 417 112,47 Kč</w:t>
            </w:r>
            <w:bookmarkEnd w:id="30"/>
          </w:p>
        </w:tc>
      </w:tr>
      <w:tr>
        <w:trPr>
          <w:trHeight w:val="312" w:hRule="exact"/>
        </w:trPr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31" w:name="bookmark31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Nově sjednaná cena dle dodatku č. 2 včetně DPH</w:t>
            </w:r>
            <w:bookmarkEnd w:id="31"/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bookmarkStart w:id="32" w:name="bookmark32"/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8 165 267,09 Kč</w:t>
            </w:r>
            <w:bookmarkEnd w:id="32"/>
          </w:p>
        </w:tc>
      </w:tr>
    </w:tbl>
    <w:p>
      <w:pPr>
        <w:widowControl w:val="0"/>
        <w:spacing w:after="59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33" w:name="bookmark33"/>
      <w:bookmarkStart w:id="34" w:name="bookmark3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4</w:t>
      </w:r>
      <w:bookmarkEnd w:id="33"/>
      <w:bookmarkEnd w:id="34"/>
    </w:p>
    <w:p>
      <w:pPr>
        <w:pStyle w:val="Style2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/>
        <w:ind w:right="0"/>
        <w:jc w:val="both"/>
      </w:pPr>
      <w:bookmarkStart w:id="35" w:name="bookmark35"/>
      <w:bookmarkStart w:id="36" w:name="bookmark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tohoto dodatku jsou změny závazku z původní smlouvy na veřejnou zakázku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Z1 a Z2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které se nepovažují za podstatnou změnu závazku, neboť ve smyslu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§ 222 odst. 4 zákona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za podstatnou změnu závazku ze smlouvy na veřejnou zakázku nepovažuje změna, která nemění celkovou povahu ve</w:t>
        <w:softHyphen/>
        <w:t>řejné zakázky a jejíž hodnota je:</w:t>
      </w:r>
      <w:bookmarkEnd w:id="35"/>
      <w:bookmarkEnd w:id="36"/>
    </w:p>
    <w:p>
      <w:pPr>
        <w:pStyle w:val="Style24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/>
        <w:ind w:left="0" w:right="0" w:firstLine="300"/>
        <w:jc w:val="both"/>
      </w:pPr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nižší než finanční limit pro nadlimitní veřejnou zakázku a</w:t>
      </w:r>
      <w:bookmarkEnd w:id="37"/>
      <w:bookmarkEnd w:id="38"/>
    </w:p>
    <w:p>
      <w:pPr>
        <w:pStyle w:val="Style24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/>
        <w:ind w:left="720" w:right="0" w:hanging="420"/>
        <w:jc w:val="both"/>
      </w:pPr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nižší než 15 % původní hodnoty ze smlouvy; dílčí změnou závazku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ze smlouvy jsou vícepráce spočívající v zpevnění krajnic z recyklovaného materiálu a reprofilací podhledu, svislých ploch sanační maltou, dílčí změnou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výplň spár asfaltem podle zjištěného stavu, přičemž hodnota změny závazku činí 1,94 % původní hodnoty závazku a nárůst ceny díla činí rovněž 1,94 % původní hodnoty závazku.</w:t>
      </w:r>
      <w:bookmarkEnd w:id="39"/>
      <w:bookmarkEnd w:id="40"/>
    </w:p>
    <w:p>
      <w:pPr>
        <w:pStyle w:val="Style2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/>
        <w:ind w:right="0"/>
        <w:jc w:val="both"/>
      </w:pPr>
      <w:bookmarkStart w:id="41" w:name="bookmark41"/>
      <w:bookmarkStart w:id="42" w:name="bookmark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tohoto dodatku je změna závazku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původní smlouvy na veřejnou zakázku, která se ne</w:t>
        <w:softHyphen/>
        <w:t xml:space="preserve">považuje za podstatnou změnu závazku, neboť ve smyslu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§ 222 odst. 6 zákona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za podstatnou změnu závazku ze smlouvy na veřejnou zakázku nepovažuje změna</w:t>
      </w:r>
      <w:bookmarkEnd w:id="41"/>
      <w:bookmarkEnd w:id="42"/>
    </w:p>
    <w:p>
      <w:pPr>
        <w:pStyle w:val="Style24"/>
        <w:keepNext/>
        <w:keepLines/>
        <w:widowControl w:val="0"/>
        <w:shd w:val="clear" w:color="auto" w:fill="auto"/>
        <w:bidi w:val="0"/>
        <w:spacing w:before="0"/>
        <w:ind w:left="720" w:right="0" w:hanging="420"/>
        <w:jc w:val="both"/>
      </w:pPr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jejíž potřeba vznikla v důsledku okolností, které zadavatel jednající s náležitou péčí nemohl předví</w:t>
        <w:softHyphen/>
        <w:t>dat,</w:t>
      </w:r>
      <w:bookmarkEnd w:id="43"/>
      <w:bookmarkEnd w:id="44"/>
    </w:p>
    <w:p>
      <w:pPr>
        <w:pStyle w:val="Style24"/>
        <w:keepNext/>
        <w:keepLines/>
        <w:widowControl w:val="0"/>
        <w:shd w:val="clear" w:color="auto" w:fill="auto"/>
        <w:bidi w:val="0"/>
        <w:spacing w:before="0"/>
        <w:ind w:left="0" w:right="0" w:firstLine="300"/>
        <w:jc w:val="both"/>
      </w:pPr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 nemění celkovou povahu veřejné zakázky a</w:t>
      </w:r>
      <w:bookmarkEnd w:id="45"/>
      <w:bookmarkEnd w:id="46"/>
    </w:p>
    <w:p>
      <w:pPr>
        <w:pStyle w:val="Style24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/>
        <w:ind w:left="720" w:right="0" w:hanging="420"/>
        <w:jc w:val="both"/>
      </w:pPr>
      <w:bookmarkStart w:id="47" w:name="bookmark47"/>
      <w:bookmarkStart w:id="48" w:name="bookmark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hodnota změny nepřekročí 50 % původní hodnoty závazku; dílčí změnou závazku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smlouvy jsou skutečně provedené práce dle zaměření - menší rozsah obrusné vrstvy, přičemž hodnota změny závazku činí 14,51 % původní hodnoty závazku a snížení ceny činí rovněž 14,51 % původní hodnoty závazku.</w:t>
      </w:r>
      <w:bookmarkEnd w:id="47"/>
      <w:bookmarkEnd w:id="48"/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93520" cy="84137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93520" cy="841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9" w:name="bookmark49"/>
      <w:bookmarkStart w:id="50" w:name="bookmark5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5</w:t>
      </w:r>
      <w:bookmarkEnd w:id="49"/>
      <w:bookmarkEnd w:id="5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osoby a ostatní ustanovení shora citované smlouvy se nemění a zůstávají v platnosti.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1" w:name="bookmark51"/>
      <w:bookmarkStart w:id="52" w:name="bookmark5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6</w:t>
      </w:r>
      <w:bookmarkEnd w:id="51"/>
      <w:bookmarkEnd w:id="5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nedílnou součástí stávající smlouvy.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00" w:right="0" w:hanging="3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vyhotoven v elektronické podobě, přičemž obě smluvní strany obdrží jeho elektronický originál.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platný dnem připojení platného uznávaného elektronického podpisu dle zákona č. 297/2016 Sb., o službách vytvářejících důvěru pro elektronické transakce, ve znění pozdějších před</w:t>
        <w:softHyphen/>
        <w:t>pisů, do tohoto dodatku a jeho jednotlivých příloh, nejsou-li součástí jediného elektronického doku</w:t>
        <w:softHyphen/>
        <w:t>mentu (tj. do všech samostatných souborů tvořících v souhrnu dodatek, a to oběma smluvními strana</w:t>
        <w:softHyphen/>
        <w:t>mi).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účinný dnem jeho uveřejnění v registru smluv.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podléhá zveřejnění dle zákona č. 340/2015 Sb. o zvláštních podmínkách účinnosti někte</w:t>
        <w:softHyphen/>
        <w:t>rých smluv, uveřejňování těchto smluv a o registru smluv (zákon o registru smluv), v platném a účinném znění.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</w:t>
        <w:softHyphen/>
        <w:t>sahem souhlasí, že dodatek č. 2 byl sepsán na základě pravdivých údajů, z jejich pravé a svobodné vůle a nebyl uzavřen v tísni za jednostranně nevýhodných podmínek.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jsou následující přílohy: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58" w:val="left"/>
        </w:tabs>
        <w:bidi w:val="0"/>
        <w:spacing w:before="0" w:after="14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  <w:tab/>
        <w:t>Položkový rozpočet stavby Změnového listu č. 1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58" w:val="left"/>
        </w:tabs>
        <w:bidi w:val="0"/>
        <w:spacing w:before="0" w:after="14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  <w:tab/>
        <w:t>Položkový rozpočet stavby Změnového listu č. 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922" w:left="934" w:right="578" w:bottom="1860" w:header="494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697230</wp:posOffset>
            </wp:positionH>
            <wp:positionV relativeFrom="paragraph">
              <wp:posOffset>12700</wp:posOffset>
            </wp:positionV>
            <wp:extent cx="835025" cy="347345"/>
            <wp:wrapSquare wrapText="righ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835025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 TR 2020 - II/360 Třebíč, ulice Spojovací Colas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2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Varianta: Vícepráce neuvedené ve smluvním rozpočtu</w:t>
      </w:r>
    </w:p>
    <w:tbl>
      <w:tblPr>
        <w:tblOverlap w:val="never"/>
        <w:jc w:val="center"/>
        <w:tblLayout w:type="fixed"/>
      </w:tblPr>
      <w:tblGrid>
        <w:gridCol w:w="514"/>
        <w:gridCol w:w="792"/>
        <w:gridCol w:w="1464"/>
        <w:gridCol w:w="1613"/>
        <w:gridCol w:w="1685"/>
        <w:gridCol w:w="1291"/>
        <w:gridCol w:w="1238"/>
        <w:gridCol w:w="1123"/>
      </w:tblGrid>
      <w:tr>
        <w:trPr>
          <w:trHeight w:val="437" w:hRule="exact"/>
        </w:trPr>
        <w:tc>
          <w:tcPr>
            <w:gridSpan w:val="3"/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Odbytová cena: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OC + DPH:</w:t>
            </w:r>
          </w:p>
        </w:tc>
        <w:tc>
          <w:tcPr>
            <w:gridSpan w:val="3"/>
            <w:tcBorders/>
            <w:shd w:val="clear" w:color="auto" w:fill="D9D9D9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68 040,00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82 328,40</w:t>
            </w:r>
          </w:p>
        </w:tc>
      </w:tr>
      <w:tr>
        <w:trPr>
          <w:trHeight w:val="125" w:hRule="exact"/>
        </w:trPr>
        <w:tc>
          <w:tcPr>
            <w:tcBorders/>
            <w:shd w:val="clear" w:color="auto" w:fill="CC441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FFFFFF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780"/>
              <w:jc w:val="left"/>
              <w:rPr>
                <w:sz w:val="11"/>
                <w:szCs w:val="11"/>
              </w:rPr>
            </w:pPr>
            <w:r>
              <w:rPr>
                <w:color w:val="FFFFFF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FFFFFF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OC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color w:val="FFFFFF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FFFFFF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OC+DPH</w:t>
            </w:r>
          </w:p>
        </w:tc>
      </w:tr>
      <w:tr>
        <w:trPr>
          <w:trHeight w:val="144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SO 101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Silnice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68 040,00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14 288,40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82 328,40</w:t>
            </w:r>
          </w:p>
        </w:tc>
      </w:tr>
    </w:tbl>
    <w:p>
      <w:pPr>
        <w:sectPr>
          <w:headerReference w:type="default" r:id="rId14"/>
          <w:footerReference w:type="default" r:id="rId15"/>
          <w:footnotePr>
            <w:pos w:val="pageBottom"/>
            <w:numFmt w:val="decimal"/>
            <w:numRestart w:val="continuous"/>
          </w:footnotePr>
          <w:pgSz w:w="11900" w:h="16840"/>
          <w:pgMar w:top="1839" w:left="1093" w:right="420" w:bottom="1839" w:header="0" w:footer="1411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77"/>
        <w:gridCol w:w="840"/>
        <w:gridCol w:w="552"/>
        <w:gridCol w:w="4056"/>
        <w:gridCol w:w="677"/>
        <w:gridCol w:w="955"/>
        <w:gridCol w:w="1142"/>
        <w:gridCol w:w="787"/>
      </w:tblGrid>
      <w:tr>
        <w:trPr>
          <w:trHeight w:val="149" w:hRule="exact"/>
        </w:trPr>
        <w:tc>
          <w:tcPr>
            <w:gridSpan w:val="2"/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TR 2020</w:t>
            </w:r>
          </w:p>
        </w:tc>
        <w:tc>
          <w:tcPr>
            <w:gridSpan w:val="3"/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II/360 Třebíč, ulice Spojovací Colas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101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68 040,00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SO 101</w:t>
            </w: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Silnice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CC441A"/>
            <w:vAlign w:val="top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120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30" w:hRule="exact"/>
        </w:trPr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Ostatní konstrukce a práce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68 040,00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56982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ZPEVNĚNÍ KRAJNIC Z RECYKLOVANÉHO MATERIÁLU TL. DO 100 MM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675,000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54 000,00</w:t>
            </w:r>
          </w:p>
        </w:tc>
      </w:tr>
    </w:tbl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8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810" w:left="903" w:right="610" w:bottom="13301" w:header="0" w:footer="12873" w:gutter="0"/>
          <w:cols w:space="720"/>
          <w:noEndnote/>
          <w:rtlGutter w:val="0"/>
          <w:docGrid w:linePitch="360"/>
        </w:sectPr>
      </w:pPr>
      <w:r>
        <w:drawing>
          <wp:anchor distT="88265" distB="24130" distL="114300" distR="5695315" simplePos="0" relativeHeight="125829379" behindDoc="0" locked="0" layoutInCell="1" allowOverlap="1">
            <wp:simplePos x="0" y="0"/>
            <wp:positionH relativeFrom="page">
              <wp:posOffset>798830</wp:posOffset>
            </wp:positionH>
            <wp:positionV relativeFrom="margin">
              <wp:posOffset>749935</wp:posOffset>
            </wp:positionV>
            <wp:extent cx="426720" cy="15875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42672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88265" distB="24130" distL="541020" distR="5161915" simplePos="0" relativeHeight="125829380" behindDoc="0" locked="0" layoutInCell="1" allowOverlap="1">
            <wp:simplePos x="0" y="0"/>
            <wp:positionH relativeFrom="page">
              <wp:posOffset>1225550</wp:posOffset>
            </wp:positionH>
            <wp:positionV relativeFrom="margin">
              <wp:posOffset>749935</wp:posOffset>
            </wp:positionV>
            <wp:extent cx="530225" cy="15875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53022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88265" distB="24130" distL="1074420" distR="4808220" simplePos="0" relativeHeight="125829381" behindDoc="0" locked="0" layoutInCell="1" allowOverlap="1">
            <wp:simplePos x="0" y="0"/>
            <wp:positionH relativeFrom="page">
              <wp:posOffset>1758950</wp:posOffset>
            </wp:positionH>
            <wp:positionV relativeFrom="margin">
              <wp:posOffset>749935</wp:posOffset>
            </wp:positionV>
            <wp:extent cx="353695" cy="15875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35369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428115" distR="2720340" simplePos="0" relativeHeight="125829382" behindDoc="0" locked="0" layoutInCell="1" allowOverlap="1">
                <wp:simplePos x="0" y="0"/>
                <wp:positionH relativeFrom="page">
                  <wp:posOffset>2112645</wp:posOffset>
                </wp:positionH>
                <wp:positionV relativeFrom="margin">
                  <wp:posOffset>661670</wp:posOffset>
                </wp:positionV>
                <wp:extent cx="2084705" cy="27114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84705" cy="271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675,0=675,000 [A]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REPROFILACE PODHLEDŮ, SVISLÝCH PLOCH SANAČNÍ MALTOU JEDNOVRSTVOU 20 MM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66.34999999999999pt;margin-top:52.100000000000001pt;width:164.15000000000001pt;height:21.350000000000001pt;z-index:-125829371;mso-wrap-distance-left:112.45pt;mso-wrap-distance-right:214.1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675,0=675,000 [A]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REPROFILACE PODHLEDŮ, SVISLÝCH PLOCH SANAČNÍ MALTOU JEDNOVRSTVOU 20 MM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88265" distB="24130" distL="4003675" distR="1805940" simplePos="0" relativeHeight="125829384" behindDoc="0" locked="0" layoutInCell="1" allowOverlap="1">
            <wp:simplePos x="0" y="0"/>
            <wp:positionH relativeFrom="page">
              <wp:posOffset>4688205</wp:posOffset>
            </wp:positionH>
            <wp:positionV relativeFrom="margin">
              <wp:posOffset>749935</wp:posOffset>
            </wp:positionV>
            <wp:extent cx="426720" cy="158750"/>
            <wp:wrapTopAndBottom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42672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88265" distB="24130" distL="4430395" distR="1199515" simplePos="0" relativeHeight="125829385" behindDoc="0" locked="0" layoutInCell="1" allowOverlap="1">
            <wp:simplePos x="0" y="0"/>
            <wp:positionH relativeFrom="page">
              <wp:posOffset>5114925</wp:posOffset>
            </wp:positionH>
            <wp:positionV relativeFrom="margin">
              <wp:posOffset>749935</wp:posOffset>
            </wp:positionV>
            <wp:extent cx="603250" cy="158750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60325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88265" distB="24130" distL="5036820" distR="589915" simplePos="0" relativeHeight="125829386" behindDoc="0" locked="0" layoutInCell="1" allowOverlap="1">
            <wp:simplePos x="0" y="0"/>
            <wp:positionH relativeFrom="page">
              <wp:posOffset>5721350</wp:posOffset>
            </wp:positionH>
            <wp:positionV relativeFrom="margin">
              <wp:posOffset>749935</wp:posOffset>
            </wp:positionV>
            <wp:extent cx="609600" cy="158750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60960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18745" distB="54610" distL="5789930" distR="114300" simplePos="0" relativeHeight="125829387" behindDoc="0" locked="0" layoutInCell="1" allowOverlap="1">
                <wp:simplePos x="0" y="0"/>
                <wp:positionH relativeFrom="page">
                  <wp:posOffset>6474460</wp:posOffset>
                </wp:positionH>
                <wp:positionV relativeFrom="margin">
                  <wp:posOffset>780415</wp:posOffset>
                </wp:positionV>
                <wp:extent cx="328930" cy="9779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930" cy="97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14 040,00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509.80000000000001pt;margin-top:61.450000000000003pt;width:25.899999999999999pt;height:7.7000000000000002pt;z-index:-125829366;mso-wrap-distance-left:455.89999999999998pt;mso-wrap-distance-top:9.3499999999999996pt;mso-wrap-distance-right:9.pt;mso-wrap-distance-bottom:4.2999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14 040,00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9,0=9,000 [A]</w:t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89" behindDoc="0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12700</wp:posOffset>
            </wp:positionV>
            <wp:extent cx="835025" cy="347345"/>
            <wp:wrapSquare wrapText="right"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835025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 TR 2020 - II/360 Třebíč, ulice Spojovací Colas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pos="6346" w:val="left"/>
        </w:tabs>
        <w:bidi w:val="0"/>
        <w:spacing w:before="0" w:after="0" w:line="276" w:lineRule="auto"/>
        <w:ind w:left="4920" w:right="0" w:hanging="328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Varianta: Méněpráce a vícepráce dle geodetického zaměření a skutečně provedených prací Odbytová cena:</w:t>
        <w:tab/>
        <w:t>-1 038 668,96</w:t>
      </w:r>
    </w:p>
    <w:p>
      <w:pPr>
        <w:pStyle w:val="Style30"/>
        <w:keepNext w:val="0"/>
        <w:keepLines w:val="0"/>
        <w:widowControl w:val="0"/>
        <w:shd w:val="clear" w:color="auto" w:fill="auto"/>
        <w:tabs>
          <w:tab w:pos="6346" w:val="left"/>
        </w:tabs>
        <w:bidi w:val="0"/>
        <w:spacing w:before="0" w:after="120" w:line="276" w:lineRule="auto"/>
        <w:ind w:left="520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OC + DPH:</w:t>
        <w:tab/>
        <w:t>-1 256 789,44</w:t>
      </w:r>
    </w:p>
    <w:tbl>
      <w:tblPr>
        <w:tblOverlap w:val="never"/>
        <w:jc w:val="center"/>
        <w:tblLayout w:type="fixed"/>
      </w:tblPr>
      <w:tblGrid>
        <w:gridCol w:w="1632"/>
        <w:gridCol w:w="4195"/>
        <w:gridCol w:w="1296"/>
        <w:gridCol w:w="1301"/>
        <w:gridCol w:w="1320"/>
      </w:tblGrid>
      <w:tr>
        <w:trPr>
          <w:trHeight w:val="125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color w:val="FFFFFF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color w:val="FFFFFF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color w:val="FFFFFF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OC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color w:val="FFFFFF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color w:val="FFFFFF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OC + DPH</w:t>
            </w:r>
          </w:p>
        </w:tc>
      </w:tr>
      <w:tr>
        <w:trPr>
          <w:trHeight w:val="13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SO 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Všeobecné položky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-6 000,00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-1 260,00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-7 260,00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SO 101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Silnice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-1 032 668,96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-216 860,48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-1 249 529,44</w:t>
            </w:r>
          </w:p>
        </w:tc>
      </w:tr>
    </w:tbl>
    <w:p>
      <w:pPr>
        <w:widowControl w:val="0"/>
        <w:spacing w:after="2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622"/>
        <w:gridCol w:w="4195"/>
        <w:gridCol w:w="1301"/>
        <w:gridCol w:w="1301"/>
        <w:gridCol w:w="1310"/>
      </w:tblGrid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Méněpráce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-1 120 046,96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-235 209,86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-1 355 256,82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Vícepráce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81 378,00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17 089,38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98 467,38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839" w:left="1071" w:right="1085" w:bottom="1839" w:header="0" w:footer="1411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77"/>
        <w:gridCol w:w="840"/>
        <w:gridCol w:w="552"/>
        <w:gridCol w:w="4056"/>
        <w:gridCol w:w="677"/>
        <w:gridCol w:w="955"/>
        <w:gridCol w:w="1166"/>
        <w:gridCol w:w="763"/>
      </w:tblGrid>
      <w:tr>
        <w:trPr>
          <w:trHeight w:val="149" w:hRule="exact"/>
        </w:trPr>
        <w:tc>
          <w:tcPr>
            <w:gridSpan w:val="2"/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TR 2020</w:t>
            </w:r>
          </w:p>
        </w:tc>
        <w:tc>
          <w:tcPr>
            <w:gridSpan w:val="3"/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II/360 Třebíč, ulice Spojovací Colas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100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-6 000,00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SO 100 Všeobecné položky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CC441A"/>
            <w:vAlign w:val="top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Poř. číslo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Varianta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CC441A"/>
            <w:vAlign w:val="top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125" w:hRule="exact"/>
        </w:trPr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CC441A"/>
            <w:vAlign w:val="bottom"/>
          </w:tcPr>
          <w:p>
            <w:pPr>
              <w:pStyle w:val="Style15"/>
              <w:keepNext w:val="0"/>
              <w:keepLines w:val="0"/>
              <w:widowControl w:val="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25" w:hRule="exact"/>
        </w:trPr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Všeobecné konstrukce a práce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-6 000,00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029412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POŽADAVKY - VYPRACOVÁNÍ MOSTNÍHO LISTU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-6 000,00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8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832" w:left="1046" w:right="1106" w:bottom="1588" w:header="0" w:footer="1160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zahrnuje veškeré náklady spojené s objednatelem požadovanými pracemi</w:t>
      </w:r>
    </w:p>
    <w:tbl>
      <w:tblPr>
        <w:tblOverlap w:val="never"/>
        <w:jc w:val="left"/>
        <w:tblLayout w:type="fixed"/>
      </w:tblPr>
      <w:tblGrid>
        <w:gridCol w:w="931"/>
        <w:gridCol w:w="1152"/>
        <w:gridCol w:w="4056"/>
        <w:gridCol w:w="686"/>
        <w:gridCol w:w="994"/>
        <w:gridCol w:w="878"/>
        <w:gridCol w:w="998"/>
      </w:tblGrid>
      <w:tr>
        <w:trPr>
          <w:trHeight w:val="134" w:hRule="exact"/>
        </w:trPr>
        <w:tc>
          <w:tcPr>
            <w:gridSpan w:val="2"/>
            <w:vMerge w:val="restart"/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sanace 10%: 7958,0*0,1*0,3=238,740 [A]</w:t>
            </w:r>
          </w:p>
        </w:tc>
        <w:tc>
          <w:tcPr>
            <w:gridSpan w:val="4"/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gridSpan w:val="2"/>
            <w:vMerge/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 veškerou manipulaci s vybouranou sutí a s vybouranými hmotami vč. uložení na skládku. Nezahrnuje poplatek za skládku.</w:t>
            </w: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</w:pP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113728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ZPEVNĚNÝCH PLOCH ASFALTOVÝCH, ODVOZ DO 20KM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-40,022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969,00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-38 781,32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plocha: 7958,0*0,1*1,04=827,632 [A] sanace 10%: 7958,0*0,05*0,1=39,790 [B] Celkem: A+B=867,422 [C]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 veškerou manipulaci s vybouranou sutí a s vybouranými hmotami vč. uložení na skládku (vč. urovnání do figury).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Nezahrnuje poplatek za skládku.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12932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PŘÍKOPŮ OD NÁNOSU DO 0,5M3/M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-537,180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-46 734,66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(239,0+670,0)*1,02=927,180 [A]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vodorovná a svislá doprava, přemístění, přeložení, manipulace s výkopkem a uložení na skládku (bez poplatku)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12996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POTRUBÍ DN DO 800MM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692,00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-8 304,00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propustku vč. vtoku, výtoku a příp. tokových jímek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12,0=12,000 [A]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vodorovná a svislá doprava, přemístění, přeložení, manipulace s výkopkem a uložení na skládku (bez poplatku)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PLÁNĚ SE ZHUTNĚNÍM V HORNINĚ TŘ.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-795,800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-11 937,00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sanaceplocha 10% výměry: 7958,0*0,1=795,800 [A]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 úpravu pláně včetně vyrovnání výškových rozdílů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ORNICE VE SVAHU V TL DO 0,10M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-1 390,770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-37 550,79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dodání ornice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příkopy: (239,0+670,0)*1,02*1,5=1 390,770 [A]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nutné přemístění ornice z dočasných skládek vzdálených do 50m rozprostření ornice v předepsané tloušťce ve svahu přes 1:5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TRÁVNÍKU RUČNÍM VÝSEVEM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-1 390,770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-20 861,55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příkopy: (239,0+670,0)*1,5*1,02=1 390,770 [A]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Zahrnuje dodání předepsané travní směsi, její výsev na ornici, zalévání, první pokosení, to vše bez ohledu na sklon terénu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" w:hRule="exact"/>
        </w:trPr>
        <w:tc>
          <w:tcPr>
            <w:tcBorders/>
            <w:shd w:val="clear" w:color="auto" w:fill="D9D9D9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-395 056,64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VRSTVY ZE ŠTĚRKODRTI TL. DO 150MM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-1 591,600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128,00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-203 724,80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ŠD 0/32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frakce 0/32: 7958,0*0,1=795,800 [A] frakce 0/63: 7958,0*0,1=795,800 [B] Celkem: A+B=1 591,600 [C]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kameniva předepsané kvality a zrnitosti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rozprostření a zhutnění vrstvy v předepsané tloušťce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zřízení vrstvy bez rozlišení šířky, pokládání vrstvy po etapách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nezahrnuje postřiky, nátěry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572121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INFILTRAČNÍ POSTŘIK ASFALTOVÝ DO 1,0KG/M2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-795,800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-11 141,20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1,0kg/m2 sanace plocha 10% výměry: 7958,0*0,1=795,800 [A]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všech předepsaných materiálů pro postřiky v předepsaném množství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provedení dle předepsaného technologického předpisu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zřízení vrstvy bez rozlišení šířky, pokládání vrstvy po etapách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úpravu napojení, ukončení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572211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POSTŘIK Z ASFALTU DO 0,5KG/M2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-3 586,880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-32 281,92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ACL se stávajícím asfaltem a vyrovnávkou: 7958,0*1,04=8 276,320 [A] vyrovnávka se stávajícím asfaltem: 7958,0*0,5*1,04=4 138,160 [B] Celkem: A+B=12 414,480 [C]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všech předepsaných materiálů pro postřiky v předepsaném množství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provedení dle předepsaného technologického předpisu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zřízení vrstvy bez rozlišení šířky, pokládání vrstvy po etapách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úpravu napojení, ukončení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572214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POSTŘIK Z MODIFIK EMULZE DO 0,5KG/M2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-199,560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-2 793,84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ACO s ACL: 7958,0*1,02=8 117,160 [A]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všech předepsaných materiálů pro postřiky v předepsaném množství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provedení dle předepsaného technologického předpisu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zřízení vrstvy bez rozlišení šířky, pokládání vrstvy po etapách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úpravu napojení, ukončení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57475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VÝZTUŽNÉ VRSTVY Z GEOMŘÍŽOVINY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-795,800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-63 664,00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pevnost min. 50/50 kN/m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sanace plocha 10% výměry: 7958,0*0,1=795,800 [A]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geomříže v požadované kvalitě a v množství včetně přesahů (přesahy započteny v jednotkové ceně)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očištění podkladu</w:t>
            </w:r>
          </w:p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pokládka geomříže dle předepsaného technologického předpisu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574A34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OBRUSNÉ VRSTVY ACO 11+, 11S TL. 40MM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-199,560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248,00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-49 490,88</w:t>
            </w: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ACO 11+ 50/70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10200" w:hSpace="24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7958,0*1,02=8 117,160 [A]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6" w:h="10200" w:hSpace="24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0"/>
        <w:keepNext w:val="0"/>
        <w:keepLines w:val="0"/>
        <w:framePr w:w="110" w:h="245" w:hSpace="9639" w:wrap="notBeside" w:vAnchor="text" w:hAnchor="text" w:y="3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01" w:h="245" w:hSpace="9648" w:wrap="notBeside" w:vAnchor="text" w:hAnchor="text" w:x="6" w:y="13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10" w:h="245" w:hSpace="9639" w:wrap="notBeside" w:vAnchor="text" w:hAnchor="text" w:y="20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10" w:h="245" w:hSpace="9639" w:wrap="notBeside" w:vAnchor="text" w:hAnchor="text" w:x="9639" w:y="20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]</w:t>
      </w:r>
    </w:p>
    <w:p>
      <w:pPr>
        <w:pStyle w:val="Style10"/>
        <w:keepNext w:val="0"/>
        <w:keepLines w:val="0"/>
        <w:framePr w:w="110" w:h="245" w:hSpace="9639" w:wrap="notBeside" w:vAnchor="text" w:hAnchor="text" w:y="26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10" w:h="245" w:hSpace="9639" w:wrap="notBeside" w:vAnchor="text" w:hAnchor="text" w:y="31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10" w:h="245" w:hSpace="9639" w:wrap="notBeside" w:vAnchor="text" w:hAnchor="text" w:y="39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10" w:h="245" w:hSpace="9639" w:wrap="notBeside" w:vAnchor="text" w:hAnchor="text" w:y="4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01" w:h="245" w:hSpace="9648" w:wrap="notBeside" w:vAnchor="text" w:hAnchor="text" w:x="6" w:y="58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10" w:h="245" w:hSpace="9639" w:wrap="notBeside" w:vAnchor="text" w:hAnchor="text" w:y="67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10" w:h="245" w:hSpace="9639" w:wrap="notBeside" w:vAnchor="text" w:hAnchor="text" w:y="79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10" w:h="245" w:hSpace="9639" w:wrap="notBeside" w:vAnchor="text" w:hAnchor="text" w:x="9639" w:y="79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]</w:t>
      </w:r>
    </w:p>
    <w:p>
      <w:pPr>
        <w:pStyle w:val="Style10"/>
        <w:keepNext w:val="0"/>
        <w:keepLines w:val="0"/>
        <w:framePr w:w="110" w:h="245" w:hSpace="9639" w:wrap="notBeside" w:vAnchor="text" w:hAnchor="text" w:y="88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10" w:h="245" w:hSpace="9639" w:wrap="notBeside" w:vAnchor="text" w:hAnchor="text" w:y="97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10" w:h="245" w:hSpace="9639" w:wrap="notBeside" w:vAnchor="text" w:hAnchor="text" w:x="9639" w:y="97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]</w:t>
      </w:r>
    </w:p>
    <w:p>
      <w:pPr>
        <w:pStyle w:val="Style10"/>
        <w:keepNext w:val="0"/>
        <w:keepLines w:val="0"/>
        <w:framePr w:w="110" w:h="245" w:hSpace="9639" w:wrap="notBeside" w:vAnchor="text" w:hAnchor="text" w:x="9639" w:y="3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]</w:t>
      </w:r>
    </w:p>
    <w:p>
      <w:pPr>
        <w:pStyle w:val="Style10"/>
        <w:keepNext w:val="0"/>
        <w:keepLines w:val="0"/>
        <w:framePr w:w="101" w:h="245" w:hSpace="9648" w:wrap="notBeside" w:vAnchor="text" w:hAnchor="text" w:x="9644" w:y="13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]</w:t>
      </w:r>
    </w:p>
    <w:p>
      <w:pPr>
        <w:pStyle w:val="Style10"/>
        <w:keepNext w:val="0"/>
        <w:keepLines w:val="0"/>
        <w:framePr w:w="110" w:h="245" w:hSpace="9639" w:wrap="notBeside" w:vAnchor="text" w:hAnchor="text" w:x="9639" w:y="26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]</w:t>
      </w:r>
    </w:p>
    <w:p>
      <w:pPr>
        <w:pStyle w:val="Style10"/>
        <w:keepNext w:val="0"/>
        <w:keepLines w:val="0"/>
        <w:framePr w:w="110" w:h="245" w:hSpace="9639" w:wrap="notBeside" w:vAnchor="text" w:hAnchor="text" w:x="9639" w:y="31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]</w:t>
      </w:r>
    </w:p>
    <w:p>
      <w:pPr>
        <w:pStyle w:val="Style10"/>
        <w:keepNext w:val="0"/>
        <w:keepLines w:val="0"/>
        <w:framePr w:w="110" w:h="245" w:hSpace="9639" w:wrap="notBeside" w:vAnchor="text" w:hAnchor="text" w:x="9639" w:y="39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]</w:t>
      </w:r>
    </w:p>
    <w:p>
      <w:pPr>
        <w:pStyle w:val="Style10"/>
        <w:keepNext w:val="0"/>
        <w:keepLines w:val="0"/>
        <w:framePr w:w="110" w:h="245" w:hSpace="9639" w:wrap="notBeside" w:vAnchor="text" w:hAnchor="text" w:x="9639" w:y="4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]</w:t>
      </w:r>
    </w:p>
    <w:p>
      <w:pPr>
        <w:pStyle w:val="Style10"/>
        <w:keepNext w:val="0"/>
        <w:keepLines w:val="0"/>
        <w:framePr w:w="101" w:h="245" w:hSpace="9648" w:wrap="notBeside" w:vAnchor="text" w:hAnchor="text" w:x="9644" w:y="58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]</w:t>
      </w:r>
    </w:p>
    <w:p>
      <w:pPr>
        <w:pStyle w:val="Style10"/>
        <w:keepNext w:val="0"/>
        <w:keepLines w:val="0"/>
        <w:framePr w:w="110" w:h="245" w:hSpace="9639" w:wrap="notBeside" w:vAnchor="text" w:hAnchor="text" w:x="9639" w:y="67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]</w:t>
      </w:r>
    </w:p>
    <w:p>
      <w:pPr>
        <w:pStyle w:val="Style10"/>
        <w:keepNext w:val="0"/>
        <w:keepLines w:val="0"/>
        <w:framePr w:w="110" w:h="245" w:hSpace="9639" w:wrap="notBeside" w:vAnchor="text" w:hAnchor="text" w:x="9639" w:y="88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]</w:t>
      </w:r>
    </w:p>
    <w:p>
      <w:pPr>
        <w:widowControl w:val="0"/>
        <w:spacing w:line="1" w:lineRule="exact"/>
        <w:sectPr>
          <w:headerReference w:type="default" r:id="rId30"/>
          <w:footerReference w:type="default" r:id="rId31"/>
          <w:footnotePr>
            <w:pos w:val="pageBottom"/>
            <w:numFmt w:val="decimal"/>
            <w:numRestart w:val="continuous"/>
          </w:footnotePr>
          <w:pgSz w:w="11900" w:h="16840"/>
          <w:pgMar w:top="1832" w:left="1046" w:right="1106" w:bottom="1588" w:header="1404" w:footer="1160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1390015" distL="114300" distR="114300" simplePos="0" relativeHeight="125829390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margin">
                  <wp:posOffset>-234950</wp:posOffset>
                </wp:positionV>
                <wp:extent cx="6156960" cy="82296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56960" cy="82296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686"/>
                              <w:gridCol w:w="840"/>
                              <w:gridCol w:w="552"/>
                              <w:gridCol w:w="4056"/>
                              <w:gridCol w:w="677"/>
                              <w:gridCol w:w="955"/>
                              <w:gridCol w:w="792"/>
                              <w:gridCol w:w="1138"/>
                            </w:tblGrid>
                            <w:tr>
                              <w:trPr>
                                <w:tblHeader/>
                                <w:trHeight w:val="374" w:hRule="exact"/>
                              </w:trPr>
                              <w:tc>
                                <w:tcPr>
                                  <w:gridSpan w:val="3"/>
                                  <w:tcBorders/>
                                  <w:shd w:val="clear" w:color="auto" w:fill="D9D9D9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2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B05B46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Aspe"</w:t>
                                  </w:r>
                                </w:p>
                              </w:tc>
                              <w:tc>
                                <w:tcPr>
                                  <w:gridSpan w:val="5"/>
                                  <w:tcBorders/>
                                  <w:shd w:val="clear" w:color="auto" w:fill="D9D9D9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Firma: Krajská správa a údržba silnic Vysočiny, příspěvková organizace</w:t>
                                  </w:r>
                                </w:p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00"/>
                                    <w:jc w:val="both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Příloha k Změnovému listu číslo 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4" w:hRule="exact"/>
                              </w:trPr>
                              <w:tc>
                                <w:tcPr>
                                  <w:gridSpan w:val="2"/>
                                  <w:tcBorders/>
                                  <w:shd w:val="clear" w:color="auto" w:fill="D9D9D9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Stavba: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D9D9D9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TR 2020</w:t>
                                  </w:r>
                                </w:p>
                              </w:tc>
                              <w:tc>
                                <w:tcPr>
                                  <w:gridSpan w:val="3"/>
                                  <w:tcBorders/>
                                  <w:shd w:val="clear" w:color="auto" w:fill="D9D9D9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II/360 Třebíč, ulice Spojovací Colas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D9D9D9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SO 101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D9D9D9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-1 032 668,96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" w:hRule="exact"/>
                              </w:trPr>
                              <w:tc>
                                <w:tcPr>
                                  <w:tcBorders/>
                                  <w:shd w:val="clear" w:color="auto" w:fill="D9D9D9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Rozpočet: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D9D9D9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D9D9D9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SO 101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D9D9D9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Silnice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D9D9D9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D9D9D9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D9D9D9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D9D9D9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Borders/>
                                  <w:shd w:val="clear" w:color="auto" w:fill="CC441A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Poř. číslo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CC441A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Kód položky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CC441A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Varianta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CC441A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Název položky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CC441A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CC441A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CC441A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Jednotková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CC441A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</w:t>
                                  </w:r>
                                </w:p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exact"/>
                              </w:trPr>
                              <w:tc>
                                <w:tcPr>
                                  <w:tcBorders/>
                                  <w:shd w:val="clear" w:color="auto" w:fill="CC441A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CC441A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C441A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CC441A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CC441A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CC441A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CC441A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440"/>
                                    <w:jc w:val="left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CC441A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CC441A"/>
                                      <w:left w:val="single" w:sz="0" w:space="0" w:color="CC441A"/>
                                      <w:bottom w:val="single" w:sz="0" w:space="0" w:color="CC441A"/>
                                      <w:right w:val="single" w:sz="0" w:space="0" w:color="CC441A"/>
                                    </w:pBdr>
                                    <w:shd w:val="clear" w:color="auto" w:fill="CC441A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</w:pPr>
                                  <w:r>
                                    <w:rPr>
                                      <w:color w:val="FFFFFF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exact"/>
                              </w:trPr>
                              <w:tc>
                                <w:tcPr>
                                  <w:tcBorders/>
                                  <w:shd w:val="clear" w:color="auto" w:fill="D9D9D9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D9D9D9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4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D9D9D9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D9D9D9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Všeobecné konstrukce a práce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D9D9D9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D9D9D9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D9D9D9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D9D9D9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-249 728,20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014102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POPLATKY ZA SKLÁDKU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-1 908,328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87,00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-166 024,54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53.75pt;margin-top:-18.5pt;width:484.80000000000001pt;height:64.799999999999997pt;z-index:-125829363;mso-wrap-distance-left:9.pt;mso-wrap-distance-right:9.pt;mso-wrap-distance-bottom:109.45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686"/>
                        <w:gridCol w:w="840"/>
                        <w:gridCol w:w="552"/>
                        <w:gridCol w:w="4056"/>
                        <w:gridCol w:w="677"/>
                        <w:gridCol w:w="955"/>
                        <w:gridCol w:w="792"/>
                        <w:gridCol w:w="1138"/>
                      </w:tblGrid>
                      <w:tr>
                        <w:trPr>
                          <w:tblHeader/>
                          <w:trHeight w:val="374" w:hRule="exact"/>
                        </w:trPr>
                        <w:tc>
                          <w:tcPr>
                            <w:gridSpan w:val="3"/>
                            <w:tcBorders/>
                            <w:shd w:val="clear" w:color="auto" w:fill="D9D9D9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B05B46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Aspe"</w:t>
                            </w:r>
                          </w:p>
                        </w:tc>
                        <w:tc>
                          <w:tcPr>
                            <w:gridSpan w:val="5"/>
                            <w:tcBorders/>
                            <w:shd w:val="clear" w:color="auto" w:fill="D9D9D9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Firma: Krajská správa a údržba silnic Vysočiny, příspěvková organizace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0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Příloha k Změnovému listu číslo 2</w:t>
                            </w:r>
                          </w:p>
                        </w:tc>
                      </w:tr>
                      <w:tr>
                        <w:trPr>
                          <w:trHeight w:val="144" w:hRule="exact"/>
                        </w:trPr>
                        <w:tc>
                          <w:tcPr>
                            <w:gridSpan w:val="2"/>
                            <w:tcBorders/>
                            <w:shd w:val="clear" w:color="auto" w:fill="D9D9D9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Stavba: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D9D9D9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TR 2020</w:t>
                            </w:r>
                          </w:p>
                        </w:tc>
                        <w:tc>
                          <w:tcPr>
                            <w:gridSpan w:val="3"/>
                            <w:tcBorders/>
                            <w:shd w:val="clear" w:color="auto" w:fill="D9D9D9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II/360 Třebíč, ulice Spojovací Colas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D9D9D9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 101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D9D9D9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-1 032 668,96</w:t>
                            </w:r>
                          </w:p>
                        </w:tc>
                      </w:tr>
                      <w:tr>
                        <w:trPr>
                          <w:trHeight w:val="158" w:hRule="exact"/>
                        </w:trPr>
                        <w:tc>
                          <w:tcPr>
                            <w:tcBorders/>
                            <w:shd w:val="clear" w:color="auto" w:fill="D9D9D9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Rozpočet: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D9D9D9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D9D9D9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SO 101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D9D9D9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Silnice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D9D9D9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D9D9D9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D9D9D9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D9D9D9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Borders/>
                            <w:shd w:val="clear" w:color="auto" w:fill="CC441A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Poř. číslo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CC441A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 položky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CC441A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Varianta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CC441A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Název položky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CC441A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CC441A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CC441A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Jednotková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CC441A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Celkem</w:t>
                            </w:r>
                          </w:p>
                        </w:tc>
                      </w:tr>
                      <w:tr>
                        <w:trPr>
                          <w:trHeight w:val="125" w:hRule="exact"/>
                        </w:trPr>
                        <w:tc>
                          <w:tcPr>
                            <w:tcBorders/>
                            <w:shd w:val="clear" w:color="auto" w:fill="CC441A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CC441A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C441A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CC441A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CC441A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CC441A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CC441A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440"/>
                              <w:jc w:val="left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CC441A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CC441A"/>
                                <w:left w:val="single" w:sz="0" w:space="0" w:color="CC441A"/>
                                <w:bottom w:val="single" w:sz="0" w:space="0" w:color="CC441A"/>
                                <w:right w:val="single" w:sz="0" w:space="0" w:color="CC441A"/>
                              </w:pBdr>
                              <w:shd w:val="clear" w:color="auto" w:fill="CC441A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125" w:hRule="exact"/>
                        </w:trPr>
                        <w:tc>
                          <w:tcPr>
                            <w:tcBorders/>
                            <w:shd w:val="clear" w:color="auto" w:fill="D9D9D9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D9D9D9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4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D9D9D9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D9D9D9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Všeobecné konstrukce a práce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D9D9D9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D9D9D9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D9D9D9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D9D9D9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-249 728,20</w:t>
                            </w:r>
                          </w:p>
                        </w:tc>
                      </w:tr>
                      <w:tr>
                        <w:trPr>
                          <w:trHeight w:val="139" w:hRule="exact"/>
                        </w:trPr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014102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POPLATKY ZA SKLÁDKU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-1 908,328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87,00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-166 024,54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86510" distB="798195" distL="443230" distR="5814060" simplePos="0" relativeHeight="125829392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margin">
                  <wp:posOffset>1051560</wp:posOffset>
                </wp:positionV>
                <wp:extent cx="128270" cy="12827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79.650000000000006pt;margin-top:82.799999999999997pt;width:10.1pt;height:10.1pt;z-index:-125829361;mso-wrap-distance-left:34.899999999999999pt;mso-wrap-distance-top:101.3pt;mso-wrap-distance-right:457.80000000000001pt;mso-wrap-distance-bottom:62.8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86510" distB="798195" distL="830580" distR="5231765" simplePos="0" relativeHeight="125829394" behindDoc="0" locked="0" layoutInCell="1" allowOverlap="1">
                <wp:simplePos x="0" y="0"/>
                <wp:positionH relativeFrom="page">
                  <wp:posOffset>1398905</wp:posOffset>
                </wp:positionH>
                <wp:positionV relativeFrom="margin">
                  <wp:posOffset>1051560</wp:posOffset>
                </wp:positionV>
                <wp:extent cx="323215" cy="12827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321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014102 3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10.15000000000001pt;margin-top:82.799999999999997pt;width:25.449999999999999pt;height:10.1pt;z-index:-125829359;mso-wrap-distance-left:65.400000000000006pt;mso-wrap-distance-top:101.3pt;mso-wrap-distance-right:411.94999999999999pt;mso-wrap-distance-bottom:62.8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014102 3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14070" distB="228600" distL="1431290" distR="2503805" simplePos="0" relativeHeight="125829396" behindDoc="0" locked="0" layoutInCell="1" allowOverlap="1">
                <wp:simplePos x="0" y="0"/>
                <wp:positionH relativeFrom="page">
                  <wp:posOffset>1999615</wp:posOffset>
                </wp:positionH>
                <wp:positionV relativeFrom="margin">
                  <wp:posOffset>579120</wp:posOffset>
                </wp:positionV>
                <wp:extent cx="2450465" cy="117030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50465" cy="1170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vozovkové souvrství 2200kg/m3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plocha: 7958,0*0,1*1,04*2,2=1 820,790 [A] sanace 10%: 7958,0*0,05*0,1*2,2=87,538 [B] Celkem: A+B=1 908,328 [C]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zahrnuje veškeré poplatky provozovateli skládky související s uložením odpadu na skládce.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POPLATKY ZA SKLÁDKU kamenivo, zemina 2000kg/m3 příkopy: (239,0+670,0)*0,5*1,02*1,8=834,462 [A] krajnice levá a pravá: 0,75*(239,0+670,0)*0,1*1,02*1,8=125,169 [B] sanace 10%: 7958,0*0,1*0,3*2,0=477,480 [C]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Celkem: A+B+C=1 437,111 [D]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zahrnuje veškeré poplatky provozovateli skládky související s uložením odpadu na skládce.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157.44999999999999pt;margin-top:45.600000000000001pt;width:192.94999999999999pt;height:92.150000000000006pt;z-index:-125829357;mso-wrap-distance-left:112.7pt;mso-wrap-distance-top:64.099999999999994pt;mso-wrap-distance-right:197.15000000000001pt;mso-wrap-distance-bottom:1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vozovkové souvrství 2200kg/m3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plocha: 7958,0*0,1*1,04*2,2=1 820,790 [A] sanace 10%: 7958,0*0,05*0,1*2,2=87,538 [B] Celkem: A+B=1 908,328 [C]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zahrnuje veškeré poplatky provozovateli skládky související s uložením odpadu na skládce.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POPLATKY ZA SKLÁDKU kamenivo, zemina 2000kg/m3 příkopy: (239,0+670,0)*0,5*1,02*1,8=834,462 [A] krajnice levá a pravá: 0,75*(239,0+670,0)*0,1*1,02*1,8=125,169 [B] sanace 10%: 7958,0*0,1*0,3*2,0=477,480 [C]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Celkem: A+B+C=1 437,111 [D]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zahrnuje veškeré poplatky provozovateli skládky související s uložením odpadu na skládce.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86510" distB="798195" distL="4564380" distR="1455420" simplePos="0" relativeHeight="125829398" behindDoc="0" locked="0" layoutInCell="1" allowOverlap="1">
                <wp:simplePos x="0" y="0"/>
                <wp:positionH relativeFrom="page">
                  <wp:posOffset>5132705</wp:posOffset>
                </wp:positionH>
                <wp:positionV relativeFrom="margin">
                  <wp:posOffset>1051560</wp:posOffset>
                </wp:positionV>
                <wp:extent cx="365760" cy="12827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576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-962,111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04.14999999999998pt;margin-top:82.799999999999997pt;width:28.800000000000001pt;height:10.1pt;z-index:-125829355;mso-wrap-distance-left:359.39999999999998pt;mso-wrap-distance-top:101.3pt;mso-wrap-distance-right:114.59999999999999pt;mso-wrap-distance-bottom:62.8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-962,111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301750" distB="813435" distL="5256530" distR="930910" simplePos="0" relativeHeight="125829400" behindDoc="0" locked="0" layoutInCell="1" allowOverlap="1">
                <wp:simplePos x="0" y="0"/>
                <wp:positionH relativeFrom="page">
                  <wp:posOffset>5824855</wp:posOffset>
                </wp:positionH>
                <wp:positionV relativeFrom="margin">
                  <wp:posOffset>1066800</wp:posOffset>
                </wp:positionV>
                <wp:extent cx="198120" cy="9779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120" cy="97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87,00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58.64999999999998pt;margin-top:84.pt;width:15.6pt;height:7.7000000000000002pt;z-index:-125829353;mso-wrap-distance-left:413.89999999999998pt;mso-wrap-distance-top:102.5pt;mso-wrap-distance-right:73.299999999999997pt;mso-wrap-distance-bottom:64.0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87,00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86510" distB="798195" distL="5756275" distR="214630" simplePos="0" relativeHeight="125829402" behindDoc="0" locked="0" layoutInCell="1" allowOverlap="1">
                <wp:simplePos x="0" y="0"/>
                <wp:positionH relativeFrom="page">
                  <wp:posOffset>6324600</wp:posOffset>
                </wp:positionH>
                <wp:positionV relativeFrom="margin">
                  <wp:posOffset>1051560</wp:posOffset>
                </wp:positionV>
                <wp:extent cx="414655" cy="12827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465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-83 703,66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98.pt;margin-top:82.799999999999997pt;width:32.649999999999999pt;height:10.1pt;z-index:-125829351;mso-wrap-distance-left:453.25pt;mso-wrap-distance-top:101.3pt;mso-wrap-distance-right:16.899999999999999pt;mso-wrap-distance-bottom:62.8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-83 703,66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959610" distB="635" distL="114300" distR="114300" simplePos="0" relativeHeight="125829404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margin">
                  <wp:posOffset>1724660</wp:posOffset>
                </wp:positionV>
                <wp:extent cx="6156960" cy="252730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56960" cy="2527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907"/>
                              <w:gridCol w:w="1171"/>
                              <w:gridCol w:w="4056"/>
                              <w:gridCol w:w="706"/>
                              <w:gridCol w:w="955"/>
                              <w:gridCol w:w="893"/>
                              <w:gridCol w:w="1008"/>
                            </w:tblGrid>
                            <w:tr>
                              <w:trPr>
                                <w:tblHeader/>
                                <w:trHeight w:val="125" w:hRule="exact"/>
                              </w:trPr>
                              <w:tc>
                                <w:tcPr>
                                  <w:gridSpan w:val="2"/>
                                  <w:tcBorders/>
                                  <w:shd w:val="clear" w:color="auto" w:fill="D9D9D9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42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gridSpan w:val="4"/>
                                  <w:tcBorders>
                                    <w:top w:val="single" w:sz="4"/>
                                  </w:tcBorders>
                                  <w:shd w:val="clear" w:color="auto" w:fill="D9D9D9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Zemní práce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D9D9D9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-283 539,32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113328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71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ODSTRAN PODKL ZPEVNĚNÝCH PLOCH Z KAMENIVA NESTMEL, ODVOZ DO 20KM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-238,740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-119 370,00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53.75pt;margin-top:135.80000000000001pt;width:484.80000000000001pt;height:19.899999999999999pt;z-index:-125829349;mso-wrap-distance-left:9.pt;mso-wrap-distance-top:154.30000000000001pt;mso-wrap-distance-right:9.pt;mso-wrap-distance-bottom:5.0000000000000003e-002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907"/>
                        <w:gridCol w:w="1171"/>
                        <w:gridCol w:w="4056"/>
                        <w:gridCol w:w="706"/>
                        <w:gridCol w:w="955"/>
                        <w:gridCol w:w="893"/>
                        <w:gridCol w:w="1008"/>
                      </w:tblGrid>
                      <w:tr>
                        <w:trPr>
                          <w:tblHeader/>
                          <w:trHeight w:val="125" w:hRule="exact"/>
                        </w:trPr>
                        <w:tc>
                          <w:tcPr>
                            <w:gridSpan w:val="2"/>
                            <w:tcBorders/>
                            <w:shd w:val="clear" w:color="auto" w:fill="D9D9D9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2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gridSpan w:val="4"/>
                            <w:tcBorders>
                              <w:top w:val="single" w:sz="4"/>
                            </w:tcBorders>
                            <w:shd w:val="clear" w:color="auto" w:fill="D9D9D9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Zemní práce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D9D9D9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-283 539,32</w:t>
                            </w: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113328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ODSTRAN PODKL ZPEVNĚNÝCH PLOCH Z KAMENIVA NESTMEL, ODVOZ DO 20KM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-238,740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-119 370,00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2083"/>
        <w:gridCol w:w="4056"/>
        <w:gridCol w:w="3557"/>
      </w:tblGrid>
      <w:tr>
        <w:trPr>
          <w:trHeight w:val="14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směsi v požadované kvalitě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očištění podkladu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uložení směsi dle předepsaného technologického předpisu, zhutnění vrstvy v předepsané tloušťce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zřízení vrstvy bez rozlišení šířky, pokládání vrstvy po etapách, včetně pracovních spar a spojů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úpravu napojení, ukončení podél obrubníků, dilatačních zařízení, odvodňovacích proužků, odvodňovačů, vpustí, šachet a pod.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nezahrnuje postřiky, nátěry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nezahrnuje těsnění podél obrubníků, dilatačních zařízení, odvodňovacích proužků, odvodňovačů, vpustí, šachet a pod.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283 574C56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LOŽNÍ VRSTVY ACL 16+, 16S TL. 60MM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M2 -199,720 270,00 -53 924,40</w:t>
            </w:r>
          </w:p>
        </w:tc>
      </w:tr>
      <w:tr>
        <w:trPr>
          <w:trHeight w:val="130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ACL 16+ 50/70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7958,0*1,04=8 276,320 [A]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</w:pPr>
          </w:p>
        </w:tc>
      </w:tr>
      <w:tr>
        <w:trPr>
          <w:trHeight w:val="14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směsi v požadované kvalitě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očištění podkladu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uložení směsi dle předepsaného technologického předpisu, zhutnění vrstvy v předepsané tloušťce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zřízení vrstvy bez rozlišení šířky, pokládání vrstvy po etapách, včetně pracovních spar a spojů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úpravu napojení, ukončení podél obrubníků, dilatačních zařízení, odvodňovacích proužků, odvodňovačů, vpustí, šachet a pod.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nezahrnuje postřiky, nátěry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nezahrnuje těsnění podél obrubníků, dilatačních zařízení, odvodňovacích proužků, odvodňovačů, vpustí, šachet a pod.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</w:pP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288 574E46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PODKLADNÍ VRSTVY ACP 16+, 16S TL. 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tabs>
                <w:tab w:pos="2520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M2 -44,800 262,00</w:t>
              <w:tab/>
              <w:t>-11 737,60</w:t>
            </w:r>
          </w:p>
        </w:tc>
      </w:tr>
      <w:tr>
        <w:trPr>
          <w:trHeight w:val="130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ACP 16+ 50/70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sanace plocha 10% výměry: 7958,0*0,1=795,800 [A]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</w:pPr>
          </w:p>
        </w:tc>
      </w:tr>
      <w:tr>
        <w:trPr>
          <w:trHeight w:val="1411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směsi v požadované kvalitě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očištění podkladu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uložení směsi dle předepsaného technologického předpisu, zhutnění vrstvy v předepsané tloušťce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zřízení vrstvy bez rozlišení šířky, pokládání vrstvy po etapách, včetně pracovních spar a spojů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úpravu napojení, ukončení podél obrubníků, dilatačních zařízení, odvodňovacích proužků, odvodňovačů, vpustí, šachet a pod.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nezahrnuje postřiky, nátěry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nezahrnuje těsnění podél obrubníků, dilatačních zařízení, odvodňovacích proužků, odvodňovačů, vpustí, šachet a pod.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</w:pPr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319 58910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VÝPLŇ SPAR ASFALTEM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 822,000 41,00 33 702,00</w:t>
            </w:r>
          </w:p>
        </w:tc>
      </w:tr>
      <w:tr>
        <w:trPr>
          <w:trHeight w:val="130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</w:pPr>
          </w:p>
        </w:tc>
      </w:tr>
      <w:tr>
        <w:trPr>
          <w:trHeight w:val="38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dodávku materiálu</w:t>
            </w:r>
          </w:p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vyčištění a výplň spar tímto materiálem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6" w:h="5928" w:hSpace="24" w:vSpace="187" w:wrap="notBeside" w:vAnchor="text" w:hAnchor="text" w:x="25" w:y="1"/>
            </w:pPr>
          </w:p>
        </w:tc>
      </w:tr>
      <w:tr>
        <w:trPr>
          <w:trHeight w:val="130" w:hRule="exact"/>
        </w:trPr>
        <w:tc>
          <w:tcPr>
            <w:gridSpan w:val="3"/>
            <w:tcBorders>
              <w:top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framePr w:w="9696" w:h="5928" w:hSpace="24" w:vSpace="187" w:wrap="notBeside" w:vAnchor="text" w:hAnchor="text" w:x="25" w:y="1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9 Ostatní konstrukce a práce 47 676,00</w:t>
            </w:r>
          </w:p>
        </w:tc>
      </w:tr>
    </w:tbl>
    <w:p>
      <w:pPr>
        <w:pStyle w:val="Style10"/>
        <w:keepNext w:val="0"/>
        <w:keepLines w:val="0"/>
        <w:framePr w:w="110" w:h="245" w:hSpace="9639" w:wrap="notBeside" w:vAnchor="text" w:hAnchor="text" w:y="13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01" w:h="245" w:hSpace="9648" w:wrap="notBeside" w:vAnchor="text" w:hAnchor="text" w:x="6" w:y="31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10" w:h="245" w:hSpace="9639" w:wrap="notBeside" w:vAnchor="text" w:hAnchor="text" w:y="49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10" w:h="245" w:hSpace="9639" w:wrap="notBeside" w:vAnchor="text" w:hAnchor="text" w:x="9639" w:y="49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]</w:t>
      </w:r>
    </w:p>
    <w:p>
      <w:pPr>
        <w:pStyle w:val="Style10"/>
        <w:keepNext w:val="0"/>
        <w:keepLines w:val="0"/>
        <w:framePr w:w="110" w:h="245" w:hSpace="9639" w:wrap="notBeside" w:vAnchor="text" w:hAnchor="text" w:y="58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[</w:t>
      </w:r>
    </w:p>
    <w:p>
      <w:pPr>
        <w:pStyle w:val="Style10"/>
        <w:keepNext w:val="0"/>
        <w:keepLines w:val="0"/>
        <w:framePr w:w="144" w:h="158" w:hSpace="9605" w:wrap="notBeside" w:vAnchor="text" w:hAnchor="text" w:x="6443" w:y="59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</w:p>
    <w:p>
      <w:pPr>
        <w:pStyle w:val="Style10"/>
        <w:keepNext w:val="0"/>
        <w:keepLines w:val="0"/>
        <w:framePr w:w="432" w:h="158" w:hSpace="9317" w:wrap="notBeside" w:vAnchor="text" w:hAnchor="text" w:x="7110" w:y="59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822,000</w:t>
      </w:r>
    </w:p>
    <w:p>
      <w:pPr>
        <w:pStyle w:val="Style10"/>
        <w:keepNext w:val="0"/>
        <w:keepLines w:val="0"/>
        <w:framePr w:w="312" w:h="158" w:hSpace="9437" w:wrap="notBeside" w:vAnchor="text" w:hAnchor="text" w:x="8127" w:y="59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58,00</w:t>
      </w:r>
    </w:p>
    <w:p>
      <w:pPr>
        <w:pStyle w:val="Style10"/>
        <w:keepNext w:val="0"/>
        <w:keepLines w:val="0"/>
        <w:framePr w:w="2774" w:h="158" w:hSpace="6975" w:wrap="notBeside" w:vAnchor="text" w:hAnchor="text" w:x="2108" w:y="59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ŘEZÁNÍ ASFALTOVÉHO KRYTU VOZOVEK TL DO 50MM</w:t>
      </w:r>
    </w:p>
    <w:p>
      <w:pPr>
        <w:pStyle w:val="Style10"/>
        <w:keepNext w:val="0"/>
        <w:keepLines w:val="0"/>
        <w:framePr w:w="110" w:h="245" w:hSpace="9639" w:wrap="notBeside" w:vAnchor="text" w:hAnchor="text" w:x="9639" w:y="13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]</w:t>
      </w:r>
    </w:p>
    <w:p>
      <w:pPr>
        <w:pStyle w:val="Style10"/>
        <w:keepNext w:val="0"/>
        <w:keepLines w:val="0"/>
        <w:framePr w:w="101" w:h="245" w:hSpace="9648" w:wrap="notBeside" w:vAnchor="text" w:hAnchor="text" w:x="9644" w:y="31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]</w:t>
      </w:r>
    </w:p>
    <w:p>
      <w:pPr>
        <w:pStyle w:val="Style10"/>
        <w:keepNext w:val="0"/>
        <w:keepLines w:val="0"/>
        <w:framePr w:w="226" w:h="154" w:hSpace="9523" w:wrap="notBeside" w:vAnchor="text" w:hAnchor="text" w:x="491" w:y="59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485</w:t>
      </w:r>
    </w:p>
    <w:p>
      <w:pPr>
        <w:pStyle w:val="Style10"/>
        <w:keepNext w:val="0"/>
        <w:keepLines w:val="0"/>
        <w:framePr w:w="403" w:h="154" w:hSpace="9346" w:wrap="notBeside" w:vAnchor="text" w:hAnchor="text" w:x="1158" w:y="59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919111</w:t>
      </w:r>
    </w:p>
    <w:p>
      <w:pPr>
        <w:pStyle w:val="Style10"/>
        <w:keepNext w:val="0"/>
        <w:keepLines w:val="0"/>
        <w:framePr w:w="571" w:h="178" w:hSpace="9178" w:wrap="notBeside" w:vAnchor="text" w:hAnchor="text" w:x="8982" w:y="59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47 676,00</w:t>
      </w:r>
    </w:p>
    <w:p>
      <w:pPr>
        <w:widowControl w:val="0"/>
        <w:spacing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7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 řezání vozovkové vrstvy v předepsané tloušťce, včetně spotřeby</w:t>
      </w:r>
    </w:p>
    <w:tbl>
      <w:tblPr>
        <w:tblOverlap w:val="never"/>
        <w:jc w:val="center"/>
        <w:tblLayout w:type="fixed"/>
      </w:tblPr>
      <w:tblGrid>
        <w:gridCol w:w="907"/>
        <w:gridCol w:w="1171"/>
        <w:gridCol w:w="4056"/>
        <w:gridCol w:w="706"/>
        <w:gridCol w:w="955"/>
        <w:gridCol w:w="893"/>
        <w:gridCol w:w="1008"/>
      </w:tblGrid>
      <w:tr>
        <w:trPr>
          <w:trHeight w:val="120" w:hRule="exact"/>
        </w:trPr>
        <w:tc>
          <w:tcPr>
            <w:tcBorders/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91</w:t>
            </w:r>
          </w:p>
        </w:tc>
        <w:tc>
          <w:tcPr>
            <w:gridSpan w:val="4"/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Doplňující konstrukce a práce</w:t>
            </w: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-152 020,80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444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915211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DOPRAVNÍ ZNAČENÍ PLASTEM HLADKÉ - DODÁVKA A POKLÁDKA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-372,600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408,00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-152 020,80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0,125 m plná: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(201,0+60,0+123,0+20,0+34,0+100,0+182,0+20,0+26,0+111,0+82,0+55,0+31,0+38,0+ 14,0+16,0+18,0)*0,125=141,375 [A]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0,125 m přerušovaná: (58,0+7,0+16,0+37,0+12,0+8,2+47,0+200,0)*0,5*0,125=24,075 [B]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0,25 m: (677,0+42,0+607,0+25,0)*0,25=337,750 [C]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/>
        <w:ind w:left="21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0,5 m: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(48,0+7,0+3,5*2+9,9+184,0+59,0+74,5+41,1+13,0+15,0+11,5+56,0)*0,5=263,000 [D] směrové šipky: 1,2*22=26,400 [E]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40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Celkem: A+B+C+D+E=792,600 [F]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 zahrnuje: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dodání a pokládku nátěrového materiálu (měří se pouze natíraná plocha)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180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předznačení a reflexní úpravu</w:t>
      </w:r>
    </w:p>
    <w:sectPr>
      <w:footnotePr>
        <w:pos w:val="pageBottom"/>
        <w:numFmt w:val="decimal"/>
        <w:numRestart w:val="continuous"/>
      </w:footnotePr>
      <w:pgSz w:w="11900" w:h="16840"/>
      <w:pgMar w:top="1446" w:left="1042" w:right="1109" w:bottom="1446" w:header="1018" w:footer="1018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5788660</wp:posOffset>
              </wp:positionH>
              <wp:positionV relativeFrom="page">
                <wp:posOffset>10022205</wp:posOffset>
              </wp:positionV>
              <wp:extent cx="600710" cy="118745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07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5.80000000000001pt;margin-top:789.14999999999998pt;width:47.299999999999997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625475</wp:posOffset>
              </wp:positionH>
              <wp:positionV relativeFrom="page">
                <wp:posOffset>9998075</wp:posOffset>
              </wp:positionV>
              <wp:extent cx="6534785" cy="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347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9.25pt;margin-top:787.25pt;width:514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1730375</wp:posOffset>
              </wp:positionH>
              <wp:positionV relativeFrom="page">
                <wp:posOffset>919480</wp:posOffset>
              </wp:positionV>
              <wp:extent cx="2325370" cy="24384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25370" cy="243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cs-CZ" w:eastAsia="cs-CZ" w:bidi="cs-CZ"/>
                            </w:rPr>
                            <w:t>Firma: Krajská správa a údržba silnic Vysočiny, příspěvková organizace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Příloha k Změnovému listu číslo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136.25pt;margin-top:72.400000000000006pt;width:183.09999999999999pt;height:19.19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Firma: Krajská správa a údržba silnic Vysočiny, příspěvková organizace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Příloha k Změnovému listu číslo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 (4)_"/>
    <w:basedOn w:val="DefaultParagraphFont"/>
    <w:link w:val="Style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Základní text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6">
    <w:name w:val="Jiné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3">
    <w:name w:val="Nadpis #2_"/>
    <w:basedOn w:val="DefaultParagraphFont"/>
    <w:link w:val="Style2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5">
    <w:name w:val="Nadpis #1_"/>
    <w:basedOn w:val="DefaultParagraphFont"/>
    <w:link w:val="Style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8">
    <w:name w:val="Základní text (3)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1">
    <w:name w:val="Základní text (2)_"/>
    <w:basedOn w:val="DefaultParagraphFont"/>
    <w:link w:val="Styl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 (4)"/>
    <w:basedOn w:val="Normal"/>
    <w:link w:val="CharStyle6"/>
    <w:pPr>
      <w:widowControl w:val="0"/>
      <w:shd w:val="clear" w:color="auto" w:fill="FFFFFF"/>
      <w:spacing w:after="80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22">
    <w:name w:val="Nadpis #2"/>
    <w:basedOn w:val="Normal"/>
    <w:link w:val="CharStyle23"/>
    <w:pPr>
      <w:widowControl w:val="0"/>
      <w:shd w:val="clear" w:color="auto" w:fill="FFFFFF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24">
    <w:name w:val="Nadpis #1"/>
    <w:basedOn w:val="Normal"/>
    <w:link w:val="CharStyle25"/>
    <w:pPr>
      <w:widowControl w:val="0"/>
      <w:shd w:val="clear" w:color="auto" w:fill="FFFFFF"/>
      <w:spacing w:after="120" w:line="271" w:lineRule="auto"/>
      <w:ind w:left="300" w:hanging="300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7">
    <w:name w:val="Základní text (3)"/>
    <w:basedOn w:val="Normal"/>
    <w:link w:val="CharStyle2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0">
    <w:name w:val="Základní text (2)"/>
    <w:basedOn w:val="Normal"/>
    <w:link w:val="CharStyle31"/>
    <w:pPr>
      <w:widowControl w:val="0"/>
      <w:shd w:val="clear" w:color="auto" w:fill="FFFFFF"/>
      <w:spacing w:line="271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footer" Target="footer1.xm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header" Target="header1.xml"/><Relationship Id="rId15" Type="http://schemas.openxmlformats.org/officeDocument/2006/relationships/footer" Target="footer2.xml"/><Relationship Id="rId16" Type="http://schemas.openxmlformats.org/officeDocument/2006/relationships/image" Target="media/image5.jpeg"/><Relationship Id="rId17" Type="http://schemas.openxmlformats.org/officeDocument/2006/relationships/image" Target="media/image5.jpeg" TargetMode="External"/><Relationship Id="rId18" Type="http://schemas.openxmlformats.org/officeDocument/2006/relationships/image" Target="media/image6.jpeg"/><Relationship Id="rId19" Type="http://schemas.openxmlformats.org/officeDocument/2006/relationships/image" Target="media/image6.jpeg" TargetMode="External"/><Relationship Id="rId20" Type="http://schemas.openxmlformats.org/officeDocument/2006/relationships/image" Target="media/image7.png"/><Relationship Id="rId21" Type="http://schemas.openxmlformats.org/officeDocument/2006/relationships/image" Target="media/image7.png" TargetMode="External"/><Relationship Id="rId22" Type="http://schemas.openxmlformats.org/officeDocument/2006/relationships/image" Target="media/image8.jpeg"/><Relationship Id="rId23" Type="http://schemas.openxmlformats.org/officeDocument/2006/relationships/image" Target="media/image8.jpeg" TargetMode="External"/><Relationship Id="rId24" Type="http://schemas.openxmlformats.org/officeDocument/2006/relationships/image" Target="media/image9.jpeg"/><Relationship Id="rId25" Type="http://schemas.openxmlformats.org/officeDocument/2006/relationships/image" Target="media/image9.jpeg" TargetMode="External"/><Relationship Id="rId26" Type="http://schemas.openxmlformats.org/officeDocument/2006/relationships/image" Target="media/image10.jpeg"/><Relationship Id="rId27" Type="http://schemas.openxmlformats.org/officeDocument/2006/relationships/image" Target="media/image10.jpeg" TargetMode="External"/><Relationship Id="rId28" Type="http://schemas.openxmlformats.org/officeDocument/2006/relationships/image" Target="media/image11.jpeg"/><Relationship Id="rId29" Type="http://schemas.openxmlformats.org/officeDocument/2006/relationships/image" Target="media/image11.jpeg" TargetMode="External"/><Relationship Id="rId30" Type="http://schemas.openxmlformats.org/officeDocument/2006/relationships/header" Target="header2.xml"/><Relationship Id="rId31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II_360 TYebí
, ul. Spojovací Colas ZL_1.xls</dc:title>
  <dc:subject/>
  <dc:creator>baranovic</dc:creator>
  <cp:keywords/>
</cp:coreProperties>
</file>