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44E" w:rsidRDefault="0017244E">
      <w:pPr>
        <w:pStyle w:val="Heading1"/>
      </w:pPr>
      <w:r>
        <w:t xml:space="preserve">KUPNÍ SMLOUVA </w:t>
      </w:r>
    </w:p>
    <w:p w:rsidR="0017244E" w:rsidRDefault="0017244E">
      <w:pPr>
        <w:jc w:val="center"/>
        <w:rPr>
          <w:sz w:val="18"/>
        </w:rPr>
      </w:pPr>
      <w:r>
        <w:rPr>
          <w:sz w:val="18"/>
        </w:rPr>
        <w:t xml:space="preserve">uzavřená dle § </w:t>
      </w:r>
      <w:smartTag w:uri="urn:schemas-microsoft-com:office:smarttags" w:element="metricconverter">
        <w:smartTagPr>
          <w:attr w:name="ProductID" w:val="2079 a"/>
        </w:smartTagPr>
        <w:r>
          <w:rPr>
            <w:sz w:val="18"/>
          </w:rPr>
          <w:t>2079 a</w:t>
        </w:r>
      </w:smartTag>
      <w:r>
        <w:rPr>
          <w:sz w:val="18"/>
        </w:rPr>
        <w:t xml:space="preserve"> násl. z.č. 89/2012 Sb. – občanský zákoník</w:t>
      </w:r>
    </w:p>
    <w:p w:rsidR="0017244E" w:rsidRPr="00D14E4F" w:rsidRDefault="0017244E">
      <w:pPr>
        <w:jc w:val="center"/>
        <w:rPr>
          <w:b/>
          <w:sz w:val="16"/>
        </w:rPr>
      </w:pPr>
    </w:p>
    <w:p w:rsidR="0017244E" w:rsidRDefault="0017244E">
      <w:pPr>
        <w:jc w:val="center"/>
        <w:rPr>
          <w:b/>
        </w:rPr>
      </w:pPr>
    </w:p>
    <w:p w:rsidR="0017244E" w:rsidRDefault="0017244E">
      <w:pPr>
        <w:rPr>
          <w:b/>
        </w:rPr>
      </w:pPr>
      <w:r>
        <w:rPr>
          <w:i/>
        </w:rPr>
        <w:t>Prodávající</w:t>
      </w:r>
      <w:r>
        <w:t>:</w:t>
      </w:r>
      <w:r>
        <w:tab/>
      </w:r>
      <w:r w:rsidRPr="007D3956">
        <w:rPr>
          <w:b/>
          <w:bCs/>
        </w:rPr>
        <w:t>Globesystem s.r.o.</w:t>
      </w:r>
    </w:p>
    <w:p w:rsidR="0017244E" w:rsidRDefault="0017244E">
      <w:pPr>
        <w:pStyle w:val="Footer"/>
        <w:tabs>
          <w:tab w:val="clear" w:pos="4536"/>
          <w:tab w:val="clear" w:pos="9072"/>
        </w:tabs>
        <w:autoSpaceDE w:val="0"/>
        <w:autoSpaceDN w:val="0"/>
        <w:adjustRightInd w:val="0"/>
      </w:pPr>
      <w:r>
        <w:tab/>
        <w:t xml:space="preserve">              se sídlem: </w:t>
      </w:r>
      <w:r w:rsidRPr="007D3956">
        <w:t>Plumlovská 562/60, 796 01 Prostějov</w:t>
      </w:r>
    </w:p>
    <w:p w:rsidR="0017244E" w:rsidRDefault="0017244E">
      <w:pPr>
        <w:autoSpaceDE w:val="0"/>
        <w:autoSpaceDN w:val="0"/>
        <w:adjustRightInd w:val="0"/>
      </w:pPr>
      <w:r>
        <w:tab/>
      </w:r>
      <w:r>
        <w:tab/>
        <w:t xml:space="preserve">IČ: 06862063 </w:t>
      </w:r>
      <w:r>
        <w:tab/>
        <w:t xml:space="preserve">  </w:t>
      </w:r>
    </w:p>
    <w:p w:rsidR="0017244E" w:rsidRDefault="0017244E">
      <w:pPr>
        <w:autoSpaceDE w:val="0"/>
        <w:autoSpaceDN w:val="0"/>
        <w:adjustRightInd w:val="0"/>
      </w:pPr>
      <w:r>
        <w:tab/>
      </w:r>
      <w:r>
        <w:tab/>
        <w:t>DIČ: CZ</w:t>
      </w:r>
      <w:r w:rsidRPr="007D3956">
        <w:t>06862063</w:t>
      </w:r>
    </w:p>
    <w:p w:rsidR="0017244E" w:rsidRDefault="0017244E">
      <w:pPr>
        <w:pStyle w:val="Footer"/>
        <w:tabs>
          <w:tab w:val="clear" w:pos="4536"/>
          <w:tab w:val="clear" w:pos="9072"/>
        </w:tabs>
        <w:autoSpaceDE w:val="0"/>
        <w:autoSpaceDN w:val="0"/>
        <w:adjustRightInd w:val="0"/>
      </w:pPr>
      <w:r>
        <w:tab/>
      </w:r>
      <w:r>
        <w:tab/>
        <w:t xml:space="preserve">zapsána  </w:t>
      </w:r>
      <w:r w:rsidRPr="007D3956">
        <w:t>v</w:t>
      </w:r>
      <w:r>
        <w:t> obchodním rejstříku</w:t>
      </w:r>
      <w:r w:rsidRPr="007D3956">
        <w:t xml:space="preserve"> vedeném u Krajského soudu v Brně, sp. zn. C 104759</w:t>
      </w:r>
    </w:p>
    <w:p w:rsidR="0017244E" w:rsidRDefault="0017244E">
      <w:pPr>
        <w:autoSpaceDE w:val="0"/>
        <w:autoSpaceDN w:val="0"/>
        <w:adjustRightInd w:val="0"/>
      </w:pPr>
      <w:r>
        <w:tab/>
      </w:r>
      <w:r>
        <w:tab/>
        <w:t>bankovní spojení</w:t>
      </w:r>
      <w:r w:rsidRPr="007D3956">
        <w:t xml:space="preserve"> 5626056260/5500</w:t>
      </w:r>
      <w:r>
        <w:t xml:space="preserve"> </w:t>
      </w:r>
    </w:p>
    <w:p w:rsidR="0017244E" w:rsidRDefault="0017244E">
      <w:pPr>
        <w:autoSpaceDE w:val="0"/>
        <w:autoSpaceDN w:val="0"/>
        <w:adjustRightInd w:val="0"/>
      </w:pPr>
      <w:r>
        <w:tab/>
      </w:r>
      <w:r>
        <w:tab/>
        <w:t>zastoupena: Ing. Tomášem Zápařkou, jednatelem</w:t>
      </w:r>
    </w:p>
    <w:p w:rsidR="0017244E" w:rsidRDefault="0017244E">
      <w:pPr>
        <w:autoSpaceDE w:val="0"/>
        <w:autoSpaceDN w:val="0"/>
        <w:adjustRightInd w:val="0"/>
      </w:pPr>
      <w:r>
        <w:t xml:space="preserve">                            (dále jen „</w:t>
      </w:r>
      <w:r>
        <w:rPr>
          <w:i/>
        </w:rPr>
        <w:t>prodávající</w:t>
      </w:r>
      <w:r>
        <w:t>“)</w:t>
      </w:r>
    </w:p>
    <w:p w:rsidR="0017244E" w:rsidRPr="00D14E4F" w:rsidRDefault="0017244E">
      <w:pPr>
        <w:autoSpaceDE w:val="0"/>
        <w:autoSpaceDN w:val="0"/>
        <w:adjustRightInd w:val="0"/>
        <w:rPr>
          <w:sz w:val="16"/>
        </w:rPr>
      </w:pPr>
    </w:p>
    <w:p w:rsidR="0017244E" w:rsidRDefault="0017244E" w:rsidP="00B96D8C">
      <w:pPr>
        <w:autoSpaceDE w:val="0"/>
        <w:autoSpaceDN w:val="0"/>
        <w:adjustRightInd w:val="0"/>
        <w:rPr>
          <w:i/>
        </w:rPr>
      </w:pPr>
      <w:r>
        <w:tab/>
      </w:r>
      <w:r>
        <w:tab/>
      </w:r>
      <w:r>
        <w:rPr>
          <w:i/>
        </w:rPr>
        <w:t>a</w:t>
      </w:r>
    </w:p>
    <w:p w:rsidR="0017244E" w:rsidRPr="00D14E4F" w:rsidRDefault="0017244E">
      <w:pPr>
        <w:autoSpaceDE w:val="0"/>
        <w:autoSpaceDN w:val="0"/>
        <w:adjustRightInd w:val="0"/>
        <w:rPr>
          <w:sz w:val="16"/>
        </w:rPr>
      </w:pPr>
    </w:p>
    <w:p w:rsidR="0017244E" w:rsidRDefault="0017244E">
      <w:pPr>
        <w:autoSpaceDE w:val="0"/>
        <w:autoSpaceDN w:val="0"/>
        <w:adjustRightInd w:val="0"/>
        <w:rPr>
          <w:b/>
        </w:rPr>
      </w:pPr>
      <w:r>
        <w:rPr>
          <w:i/>
        </w:rPr>
        <w:t>Kupující</w:t>
      </w:r>
      <w:r>
        <w:t>:</w:t>
      </w:r>
      <w:r>
        <w:tab/>
      </w:r>
      <w:r>
        <w:rPr>
          <w:b/>
        </w:rPr>
        <w:t>Nemocnice ve Frýdku-Místku, příspěvková organizace</w:t>
      </w:r>
    </w:p>
    <w:p w:rsidR="0017244E" w:rsidRDefault="0017244E">
      <w:pPr>
        <w:autoSpaceDE w:val="0"/>
        <w:autoSpaceDN w:val="0"/>
        <w:adjustRightInd w:val="0"/>
      </w:pPr>
      <w:r>
        <w:rPr>
          <w:b/>
        </w:rPr>
        <w:tab/>
      </w:r>
      <w:r>
        <w:rPr>
          <w:b/>
        </w:rPr>
        <w:tab/>
      </w:r>
      <w:r>
        <w:t>se sídlem: El. Krásnohorské 321, Frýdek, 738  01   Frýdek-Místek</w:t>
      </w:r>
    </w:p>
    <w:p w:rsidR="0017244E" w:rsidRDefault="0017244E">
      <w:pPr>
        <w:autoSpaceDE w:val="0"/>
        <w:autoSpaceDN w:val="0"/>
        <w:adjustRightInd w:val="0"/>
      </w:pPr>
      <w:r>
        <w:tab/>
      </w:r>
      <w:r>
        <w:tab/>
        <w:t xml:space="preserve">IČ: 00534188 </w:t>
      </w:r>
    </w:p>
    <w:p w:rsidR="0017244E" w:rsidRDefault="0017244E">
      <w:pPr>
        <w:autoSpaceDE w:val="0"/>
        <w:autoSpaceDN w:val="0"/>
        <w:adjustRightInd w:val="0"/>
      </w:pPr>
      <w:r>
        <w:tab/>
      </w:r>
      <w:r>
        <w:tab/>
        <w:t>DIČ: CZ00534188</w:t>
      </w:r>
    </w:p>
    <w:p w:rsidR="0017244E" w:rsidRDefault="0017244E">
      <w:pPr>
        <w:autoSpaceDE w:val="0"/>
        <w:autoSpaceDN w:val="0"/>
        <w:adjustRightInd w:val="0"/>
        <w:ind w:left="1416"/>
      </w:pPr>
      <w:r>
        <w:t>zapsán v obchodním rejstříku vedeném Krajským soudem v Ostravě, oddíl Pr, vložka 938</w:t>
      </w:r>
    </w:p>
    <w:p w:rsidR="0017244E" w:rsidRDefault="0017244E">
      <w:pPr>
        <w:autoSpaceDE w:val="0"/>
        <w:autoSpaceDN w:val="0"/>
        <w:adjustRightInd w:val="0"/>
      </w:pPr>
      <w:r>
        <w:tab/>
      </w:r>
      <w:r>
        <w:tab/>
        <w:t>bankovní spojení: 174-63407764/0600</w:t>
      </w:r>
    </w:p>
    <w:p w:rsidR="0017244E" w:rsidRDefault="0017244E">
      <w:pPr>
        <w:pStyle w:val="Footer"/>
        <w:tabs>
          <w:tab w:val="clear" w:pos="4536"/>
          <w:tab w:val="clear" w:pos="9072"/>
        </w:tabs>
        <w:autoSpaceDE w:val="0"/>
        <w:autoSpaceDN w:val="0"/>
        <w:adjustRightInd w:val="0"/>
      </w:pPr>
      <w:r>
        <w:t xml:space="preserve">                            zastoupená: Ing. Tomášem Stejskalem, MBA, ředitelem</w:t>
      </w:r>
    </w:p>
    <w:p w:rsidR="0017244E" w:rsidRDefault="0017244E" w:rsidP="00BE4EC9">
      <w:r>
        <w:tab/>
      </w:r>
      <w:r>
        <w:tab/>
        <w:t>(dále jen „</w:t>
      </w:r>
      <w:r>
        <w:rPr>
          <w:i/>
        </w:rPr>
        <w:t>kupující</w:t>
      </w:r>
      <w:r>
        <w:t>“)</w:t>
      </w:r>
    </w:p>
    <w:p w:rsidR="0017244E" w:rsidRDefault="0017244E" w:rsidP="00BE4EC9">
      <w:pPr>
        <w:pStyle w:val="Footer"/>
        <w:tabs>
          <w:tab w:val="clear" w:pos="4536"/>
          <w:tab w:val="clear" w:pos="9072"/>
        </w:tabs>
      </w:pPr>
    </w:p>
    <w:p w:rsidR="0017244E" w:rsidRDefault="0017244E" w:rsidP="00BE4EC9">
      <w:pPr>
        <w:pStyle w:val="Footer"/>
        <w:tabs>
          <w:tab w:val="clear" w:pos="4536"/>
          <w:tab w:val="clear" w:pos="9072"/>
        </w:tabs>
      </w:pPr>
    </w:p>
    <w:p w:rsidR="0017244E" w:rsidRDefault="0017244E" w:rsidP="00BE4EC9">
      <w:pPr>
        <w:jc w:val="center"/>
        <w:rPr>
          <w:b/>
        </w:rPr>
      </w:pPr>
      <w:r>
        <w:rPr>
          <w:b/>
        </w:rPr>
        <w:t>I.</w:t>
      </w:r>
    </w:p>
    <w:p w:rsidR="0017244E" w:rsidRDefault="0017244E" w:rsidP="00BE4EC9">
      <w:pPr>
        <w:pStyle w:val="Heading2"/>
        <w:jc w:val="center"/>
      </w:pPr>
      <w:r>
        <w:t>Předmět smlouvy</w:t>
      </w:r>
    </w:p>
    <w:p w:rsidR="0017244E" w:rsidRDefault="0017244E" w:rsidP="009652BC">
      <w:pPr>
        <w:numPr>
          <w:ilvl w:val="0"/>
          <w:numId w:val="8"/>
        </w:numPr>
        <w:jc w:val="both"/>
      </w:pPr>
      <w:r w:rsidRPr="00BE4EC9">
        <w:t>Na základě této smlouvy se prodávající zavazuje dodat a odevzdat kupujícímu předmět koupě, a to</w:t>
      </w:r>
      <w:r w:rsidRPr="009652BC">
        <w:t xml:space="preserve"> </w:t>
      </w:r>
      <w:r w:rsidRPr="00BE4EC9">
        <w:t>počítače a SW licence Windows Server 2019 CAL Device</w:t>
      </w:r>
      <w:r w:rsidRPr="009652BC">
        <w:t xml:space="preserve"> (</w:t>
      </w:r>
      <w:r w:rsidRPr="00BE4EC9">
        <w:t>dále jen „</w:t>
      </w:r>
      <w:r w:rsidRPr="009652BC">
        <w:t>zboží</w:t>
      </w:r>
      <w:r w:rsidRPr="00BE4EC9">
        <w:t>“) a převést na kupujícího vlastnické právo ke zboží. Spolu se zbožím budou kupujícímu předány také tyto dokumenty: dodací a záruční list s vyznačením délky záruční doby</w:t>
      </w:r>
    </w:p>
    <w:p w:rsidR="0017244E" w:rsidRDefault="0017244E" w:rsidP="00BE4EC9">
      <w:pPr>
        <w:numPr>
          <w:ilvl w:val="0"/>
          <w:numId w:val="8"/>
        </w:numPr>
        <w:jc w:val="both"/>
      </w:pPr>
      <w:r>
        <w:t>Kupující se na základě této smlouvy zavazuje zaplatit prodávajícímu kupní cenu zboží specifikovanou v čl. II. této smlouvy.</w:t>
      </w:r>
    </w:p>
    <w:p w:rsidR="0017244E" w:rsidRDefault="0017244E" w:rsidP="00C43F17">
      <w:pPr>
        <w:numPr>
          <w:ilvl w:val="0"/>
          <w:numId w:val="8"/>
        </w:numPr>
        <w:jc w:val="both"/>
      </w:pPr>
      <w:r>
        <w:t xml:space="preserve">Podrobná specifikace zboží je uvedena v příloze č. 1 této smlouvy, která je nedílnou součástí této smlouvy. </w:t>
      </w:r>
    </w:p>
    <w:p w:rsidR="0017244E" w:rsidRDefault="0017244E" w:rsidP="00C43F17">
      <w:pPr>
        <w:numPr>
          <w:ilvl w:val="0"/>
          <w:numId w:val="8"/>
        </w:numPr>
        <w:jc w:val="both"/>
      </w:pPr>
      <w:r>
        <w:t>Prodávající prohlašuje, že zboží splňuje veškeré požadavky příslušných obecně závazných předpisů a českých a evropských norem ČSN a EN.</w:t>
      </w:r>
    </w:p>
    <w:p w:rsidR="0017244E" w:rsidRDefault="0017244E" w:rsidP="00C43F17">
      <w:pPr>
        <w:numPr>
          <w:ilvl w:val="0"/>
          <w:numId w:val="8"/>
        </w:numPr>
        <w:jc w:val="both"/>
      </w:pPr>
      <w:r>
        <w:t>Prodávající je povinen dodat kupujícímu zboží do místa plnění, kterým je sídlo kupujícího.</w:t>
      </w:r>
    </w:p>
    <w:p w:rsidR="0017244E" w:rsidRDefault="0017244E">
      <w:pPr>
        <w:numPr>
          <w:ilvl w:val="0"/>
          <w:numId w:val="8"/>
        </w:numPr>
        <w:jc w:val="both"/>
      </w:pPr>
      <w:r>
        <w:t>Prodávající prohlašuje, že dodané zboží je zcela nové, nepoužité či repasované a nemá žádné právní vady ve smyslu ustanovení § 1920 zákona č. 89/2012 Sb., občanského zákoníku.</w:t>
      </w:r>
    </w:p>
    <w:p w:rsidR="0017244E" w:rsidRDefault="0017244E">
      <w:pPr>
        <w:ind w:left="240"/>
        <w:jc w:val="both"/>
      </w:pPr>
    </w:p>
    <w:p w:rsidR="0017244E" w:rsidRDefault="0017244E">
      <w:pPr>
        <w:ind w:left="240"/>
        <w:jc w:val="both"/>
      </w:pPr>
    </w:p>
    <w:p w:rsidR="0017244E" w:rsidRDefault="0017244E">
      <w:pPr>
        <w:jc w:val="center"/>
        <w:rPr>
          <w:b/>
        </w:rPr>
      </w:pPr>
      <w:r>
        <w:t xml:space="preserve"> </w:t>
      </w:r>
      <w:r>
        <w:rPr>
          <w:b/>
        </w:rPr>
        <w:t>II.</w:t>
      </w:r>
    </w:p>
    <w:p w:rsidR="0017244E" w:rsidRDefault="0017244E">
      <w:pPr>
        <w:pStyle w:val="Heading2"/>
        <w:jc w:val="center"/>
      </w:pPr>
      <w:r>
        <w:t>Kupní cena zboží</w:t>
      </w:r>
    </w:p>
    <w:p w:rsidR="0017244E" w:rsidRDefault="0017244E">
      <w:pPr>
        <w:numPr>
          <w:ilvl w:val="0"/>
          <w:numId w:val="2"/>
        </w:numPr>
        <w:tabs>
          <w:tab w:val="clear" w:pos="600"/>
          <w:tab w:val="num" w:pos="426"/>
        </w:tabs>
        <w:spacing w:before="60"/>
        <w:ind w:left="425" w:hanging="357"/>
        <w:jc w:val="both"/>
      </w:pPr>
      <w:r w:rsidRPr="00D14E4F">
        <w:t xml:space="preserve">Kupní cena zboží je </w:t>
      </w:r>
      <w:r w:rsidRPr="00E228DF">
        <w:t>1 234 800,00</w:t>
      </w:r>
      <w:r w:rsidRPr="00D14E4F">
        <w:t xml:space="preserve"> Kč bez DPH, tj. </w:t>
      </w:r>
      <w:r w:rsidRPr="00E228DF">
        <w:t>1 494 108,00</w:t>
      </w:r>
      <w:r w:rsidRPr="00D14E4F">
        <w:t xml:space="preserve"> Kč včetně DPH</w:t>
      </w:r>
      <w:r>
        <w:t xml:space="preserve"> (z toho počítače                </w:t>
      </w:r>
      <w:r w:rsidRPr="00E228DF">
        <w:t>1 078 200,00</w:t>
      </w:r>
      <w:r>
        <w:t xml:space="preserve"> Kč bez DPH, tj. </w:t>
      </w:r>
      <w:r w:rsidRPr="00E228DF">
        <w:t>1 304 622,00</w:t>
      </w:r>
      <w:r>
        <w:t xml:space="preserve"> Kč vč. DPH a SW licence </w:t>
      </w:r>
      <w:r w:rsidRPr="00E228DF">
        <w:t>156 600,00</w:t>
      </w:r>
      <w:r>
        <w:t xml:space="preserve"> Kč bez DPH, tj.           </w:t>
      </w:r>
      <w:r w:rsidRPr="00E228DF">
        <w:t>189 486,00</w:t>
      </w:r>
      <w:r>
        <w:t>Kč vč. DPH). V kupní ceně zboží je zahrnuto dodání zboží kupujícímu do místa plnění, jeho uvedení do provozu a předání všech dokladů potřebných pro jeho řádné užívání (čl. I. odst. 1 této smlouvy). Zaškolení obsluhy zboží je zdarma.</w:t>
      </w:r>
    </w:p>
    <w:p w:rsidR="0017244E" w:rsidRDefault="0017244E">
      <w:pPr>
        <w:numPr>
          <w:ilvl w:val="0"/>
          <w:numId w:val="2"/>
        </w:numPr>
        <w:tabs>
          <w:tab w:val="clear" w:pos="600"/>
          <w:tab w:val="num" w:pos="426"/>
        </w:tabs>
        <w:ind w:left="426"/>
        <w:jc w:val="both"/>
      </w:pPr>
      <w:r>
        <w:t xml:space="preserve">Kupní cena zboží bude kupujícím uhrazena na základě řádně vystavené faktury – daňového dokladu prodávajícím. Prodávající je oprávněn vystavit fakturu až po řádném dodání zboží kupujícímu, jeho uvedení do provozu, předání všech dokladů potřebných pro jeho řádné užívání (čl. I. odst. 1 této smlouvy), zaškolení obsluhy zboží a podpisu protokolu o předání zboží oběma smluvními stranami. Faktura na výši  kupní ceny zboží je splatná  </w:t>
      </w:r>
      <w:r>
        <w:rPr>
          <w:b/>
        </w:rPr>
        <w:t>30 dnů</w:t>
      </w:r>
      <w:r>
        <w:t xml:space="preserve"> po dodání zboží kupujícímu, a to na bankovní účet prodávajícího, který je uveden v záhlaví této smlouvy.  Faktura musí mít náležitosti stanovené platnými právními předpisy, jinak je kupující oprávněn tuto fakturu prodávajícímu vrátit. Splatnost faktury tak v případě vrácení faktury začíná běžet až ode dne doručení nové faktury se všemi náležitostmi stanovenými platnými právními předpisy.   </w:t>
      </w:r>
    </w:p>
    <w:p w:rsidR="0017244E" w:rsidRDefault="0017244E">
      <w:pPr>
        <w:numPr>
          <w:ilvl w:val="0"/>
          <w:numId w:val="2"/>
        </w:numPr>
        <w:tabs>
          <w:tab w:val="num" w:pos="426"/>
        </w:tabs>
        <w:ind w:left="426"/>
        <w:jc w:val="both"/>
      </w:pPr>
      <w:r>
        <w:t>Nezaplatí-li kupující prodávajícímu kupní cenu zboží řádně a včas, zavazuje se kupující zaplatit prodávajícímu úrok z prodlení dle platných právních předpisů.</w:t>
      </w:r>
    </w:p>
    <w:p w:rsidR="0017244E" w:rsidRPr="00D14E4F" w:rsidRDefault="0017244E" w:rsidP="00D14E4F">
      <w:pPr>
        <w:ind w:left="426"/>
        <w:jc w:val="both"/>
      </w:pPr>
    </w:p>
    <w:p w:rsidR="0017244E" w:rsidRDefault="0017244E">
      <w:pPr>
        <w:jc w:val="center"/>
        <w:rPr>
          <w:b/>
        </w:rPr>
      </w:pPr>
    </w:p>
    <w:p w:rsidR="0017244E" w:rsidRDefault="0017244E">
      <w:pPr>
        <w:jc w:val="center"/>
        <w:rPr>
          <w:b/>
        </w:rPr>
      </w:pPr>
      <w:r>
        <w:rPr>
          <w:b/>
        </w:rPr>
        <w:t>III.</w:t>
      </w:r>
    </w:p>
    <w:p w:rsidR="0017244E" w:rsidRDefault="0017244E">
      <w:pPr>
        <w:pStyle w:val="Heading2"/>
        <w:jc w:val="center"/>
      </w:pPr>
      <w:r>
        <w:t>Doba a místo plnění</w:t>
      </w:r>
    </w:p>
    <w:p w:rsidR="0017244E" w:rsidRPr="00830577" w:rsidRDefault="0017244E">
      <w:pPr>
        <w:numPr>
          <w:ilvl w:val="0"/>
          <w:numId w:val="3"/>
        </w:numPr>
        <w:tabs>
          <w:tab w:val="clear" w:pos="600"/>
          <w:tab w:val="num" w:pos="426"/>
        </w:tabs>
        <w:spacing w:before="60"/>
        <w:ind w:left="425" w:hanging="357"/>
        <w:jc w:val="both"/>
      </w:pPr>
      <w:r>
        <w:t>Prodávající se zavazuje předat zboží kupujícímu v </w:t>
      </w:r>
      <w:r w:rsidRPr="00B96D8C">
        <w:t xml:space="preserve">termínu </w:t>
      </w:r>
      <w:r w:rsidRPr="00D14E4F">
        <w:t xml:space="preserve">do </w:t>
      </w:r>
      <w:r>
        <w:rPr>
          <w:b/>
        </w:rPr>
        <w:t>4 týdnů</w:t>
      </w:r>
      <w:r w:rsidRPr="00D14E4F">
        <w:rPr>
          <w:b/>
        </w:rPr>
        <w:t xml:space="preserve"> od </w:t>
      </w:r>
      <w:r>
        <w:rPr>
          <w:b/>
        </w:rPr>
        <w:t>podpisu smlouvy</w:t>
      </w:r>
      <w:r w:rsidRPr="00B96D8C">
        <w:rPr>
          <w:b/>
        </w:rPr>
        <w:t>.</w:t>
      </w:r>
      <w:r w:rsidRPr="00B96D8C">
        <w:t xml:space="preserve"> Za předání zboží se</w:t>
      </w:r>
      <w:r>
        <w:t xml:space="preserve"> považuje jeho dodání na adresu sídla kupujícího, jeho uvedení do provozu, předání všech dokladů potřebných pro jeho řádné užívání (čl. I. odst. 1 této smlouvy), </w:t>
      </w:r>
      <w:r w:rsidRPr="00830577">
        <w:t xml:space="preserve">zaškolení obsluhy zboží a podpisu protokolu o předání zboží oběma smluvními stranami.  </w:t>
      </w:r>
    </w:p>
    <w:p w:rsidR="0017244E" w:rsidRPr="00830577" w:rsidRDefault="0017244E">
      <w:pPr>
        <w:numPr>
          <w:ilvl w:val="0"/>
          <w:numId w:val="3"/>
        </w:numPr>
        <w:tabs>
          <w:tab w:val="clear" w:pos="600"/>
          <w:tab w:val="num" w:pos="426"/>
        </w:tabs>
        <w:ind w:left="426"/>
        <w:jc w:val="both"/>
        <w:rPr>
          <w:snapToGrid w:val="0"/>
        </w:rPr>
      </w:pPr>
      <w:r w:rsidRPr="00830577">
        <w:t>Předání zboží je možno provést v pracovních dnech v době od 7 – 15 hodin. Prodávající je povinen kupujícímu oznámit předání zboží, a to alespoň dv</w:t>
      </w:r>
      <w:r>
        <w:t xml:space="preserve">a pracovní dny předem. na tel. </w:t>
      </w:r>
      <w:r w:rsidRPr="00830577">
        <w:t>55841516</w:t>
      </w:r>
      <w:r>
        <w:t>2</w:t>
      </w:r>
      <w:r w:rsidRPr="00830577">
        <w:t xml:space="preserve"> nebo 55841516</w:t>
      </w:r>
      <w:r>
        <w:t>1 nebo e-mailem na adresu sit@nemfm.cz</w:t>
      </w:r>
      <w:r w:rsidRPr="00830577">
        <w:t xml:space="preserve">. Osobou oprávněnou převzít zboží za kupujícího je </w:t>
      </w:r>
      <w:r>
        <w:t>Bc.</w:t>
      </w:r>
      <w:r w:rsidRPr="00830577">
        <w:t xml:space="preserve">. </w:t>
      </w:r>
      <w:r>
        <w:t>Marek Minář</w:t>
      </w:r>
      <w:r w:rsidRPr="00830577">
        <w:t xml:space="preserve"> nebo </w:t>
      </w:r>
      <w:r>
        <w:t>Mgr. Ivo Václavek</w:t>
      </w:r>
      <w:r w:rsidRPr="00830577">
        <w:t>.</w:t>
      </w:r>
    </w:p>
    <w:p w:rsidR="0017244E" w:rsidRDefault="0017244E">
      <w:pPr>
        <w:numPr>
          <w:ilvl w:val="0"/>
          <w:numId w:val="3"/>
        </w:numPr>
        <w:tabs>
          <w:tab w:val="clear" w:pos="600"/>
          <w:tab w:val="num" w:pos="426"/>
        </w:tabs>
        <w:ind w:left="426"/>
        <w:jc w:val="both"/>
        <w:rPr>
          <w:snapToGrid w:val="0"/>
        </w:rPr>
      </w:pPr>
      <w:r>
        <w:t xml:space="preserve">Kupující není povinen převzít zboží, které vykazuje byť jen drobné vady či nedodělky. </w:t>
      </w:r>
    </w:p>
    <w:p w:rsidR="0017244E" w:rsidRDefault="0017244E">
      <w:pPr>
        <w:numPr>
          <w:ilvl w:val="0"/>
          <w:numId w:val="3"/>
        </w:numPr>
        <w:tabs>
          <w:tab w:val="clear" w:pos="600"/>
          <w:tab w:val="num" w:pos="426"/>
        </w:tabs>
        <w:ind w:left="426"/>
        <w:jc w:val="both"/>
      </w:pPr>
      <w:r>
        <w:rPr>
          <w:snapToGrid w:val="0"/>
        </w:rPr>
        <w:t xml:space="preserve">Prodávající odpovídá za bezpečnost a ochranu zdraví všech osob v místě plnění, jež se budou podílet na předání zboží. </w:t>
      </w:r>
    </w:p>
    <w:p w:rsidR="0017244E" w:rsidRDefault="0017244E">
      <w:pPr>
        <w:numPr>
          <w:ilvl w:val="0"/>
          <w:numId w:val="3"/>
        </w:numPr>
        <w:tabs>
          <w:tab w:val="clear" w:pos="600"/>
          <w:tab w:val="num" w:pos="426"/>
        </w:tabs>
        <w:ind w:left="426"/>
        <w:jc w:val="both"/>
      </w:pPr>
      <w:r>
        <w:t>Nedodá-li prodávající kupujícímu zboží řádně a včas, zavazuje se prodávající zaplatit kupujícímu smluvní pokutu ve výši 0,02 % z kupní ceny zboží za každý den prodlení, a to až do řádného předání zboží kupujícímu. Za kupní cenu zboží se pro účely smluvní pokuty považuje kupní cena zboží včetně DPH. Smluvní strany se dohodly na tom, že prodávající je povinen zaplatit kupujícímu vedle této smluvní pokuty také náhradu škody způsobené porušením povinnosti, na kterou se vztahuje tato smluvní pokuta, a to v plné výši (tzn. i ve výši přesahující tuto smluvní pokutu).</w:t>
      </w:r>
    </w:p>
    <w:p w:rsidR="0017244E" w:rsidRDefault="0017244E">
      <w:pPr>
        <w:ind w:left="240"/>
        <w:jc w:val="both"/>
      </w:pPr>
    </w:p>
    <w:p w:rsidR="0017244E" w:rsidRDefault="0017244E">
      <w:pPr>
        <w:jc w:val="center"/>
        <w:rPr>
          <w:b/>
        </w:rPr>
      </w:pPr>
      <w:r>
        <w:rPr>
          <w:b/>
        </w:rPr>
        <w:t>IV.</w:t>
      </w:r>
    </w:p>
    <w:p w:rsidR="0017244E" w:rsidRDefault="0017244E">
      <w:pPr>
        <w:pStyle w:val="Heading2"/>
        <w:jc w:val="center"/>
      </w:pPr>
      <w:r>
        <w:t>Nebezpečí škody na zboží</w:t>
      </w:r>
    </w:p>
    <w:p w:rsidR="0017244E" w:rsidRDefault="0017244E">
      <w:pPr>
        <w:pStyle w:val="BodyText"/>
        <w:spacing w:before="60"/>
        <w:ind w:left="425"/>
      </w:pPr>
      <w:r>
        <w:t xml:space="preserve">Nebezpečí škody na zboží přechází z prodávajícího na kupujícího okamžikem předání zboží (čl. III. odst. 1 této smlouvy). </w:t>
      </w:r>
    </w:p>
    <w:p w:rsidR="0017244E" w:rsidRDefault="0017244E">
      <w:pPr>
        <w:pStyle w:val="BodyText"/>
        <w:ind w:left="426"/>
      </w:pPr>
    </w:p>
    <w:p w:rsidR="0017244E" w:rsidRDefault="0017244E">
      <w:pPr>
        <w:jc w:val="center"/>
        <w:rPr>
          <w:b/>
        </w:rPr>
      </w:pPr>
      <w:r>
        <w:rPr>
          <w:b/>
        </w:rPr>
        <w:t>V.</w:t>
      </w:r>
    </w:p>
    <w:p w:rsidR="0017244E" w:rsidRDefault="0017244E">
      <w:pPr>
        <w:pStyle w:val="Heading3"/>
      </w:pPr>
      <w:r>
        <w:t>Odpovědnost za vady zboží</w:t>
      </w:r>
    </w:p>
    <w:p w:rsidR="0017244E" w:rsidRDefault="0017244E">
      <w:pPr>
        <w:pStyle w:val="BodyText"/>
        <w:numPr>
          <w:ilvl w:val="0"/>
          <w:numId w:val="6"/>
        </w:numPr>
        <w:spacing w:before="60"/>
        <w:ind w:left="357" w:hanging="357"/>
      </w:pPr>
      <w:r>
        <w:t xml:space="preserve">Prodávající se zavazuje dodat kupujícímu zboží v kvalitě, jež bude v souladu s příslušnými platnými právními předpisy a technickými či jinými normami, a to jak v České republice, tak i v zemi výrobce zboží. </w:t>
      </w:r>
    </w:p>
    <w:p w:rsidR="0017244E" w:rsidRDefault="0017244E">
      <w:pPr>
        <w:pStyle w:val="BodyText"/>
        <w:numPr>
          <w:ilvl w:val="0"/>
          <w:numId w:val="6"/>
        </w:numPr>
      </w:pPr>
      <w:r>
        <w:t>Prodávající poskytuje kupujícímu záruku na zboží. Záruční doba je 36 měsíců a začíná běžet ode dne následujícího po předání zboží (čl. III. odst. 1 této smlouvy).</w:t>
      </w:r>
    </w:p>
    <w:p w:rsidR="0017244E" w:rsidRDefault="0017244E">
      <w:pPr>
        <w:pStyle w:val="BodyText"/>
        <w:numPr>
          <w:ilvl w:val="0"/>
          <w:numId w:val="6"/>
        </w:numPr>
      </w:pPr>
      <w:r>
        <w:t>Po celou záruční dobu je prodávající povinen plnit bezplatný záruční servis na dodané zboží.</w:t>
      </w:r>
    </w:p>
    <w:p w:rsidR="0017244E" w:rsidRDefault="0017244E">
      <w:pPr>
        <w:pStyle w:val="BodyText"/>
        <w:numPr>
          <w:ilvl w:val="0"/>
          <w:numId w:val="6"/>
        </w:numPr>
      </w:pPr>
      <w:r>
        <w:t>Kupující je povinen reklamovat vady zboží písemně, nebo e-mailem na e-mail: reklamace@globesystem.cz (v případě nouze i telefonicky na tel. č.</w:t>
      </w:r>
      <w:r w:rsidRPr="007D3956">
        <w:t xml:space="preserve"> 724 783 749</w:t>
      </w:r>
      <w:r>
        <w:t>), a to neprodleně po jejich zjištění, nejpozději do konce záruční doby. Prodávající je povinen zahájit odstraňování vady neprodleně po obdržení reklamace, nejpozději však do jednoho pracovního dne od uplatnění reklamace. Prodávající je povinen vyřídit reklamaci nejpozději do 14 dnů od uplatnění reklamace. Pokud prodávající reklamaci v této lhůtě nevyřídí, je kupující oprávněn požadovat:</w:t>
      </w:r>
    </w:p>
    <w:p w:rsidR="0017244E" w:rsidRDefault="0017244E">
      <w:pPr>
        <w:pStyle w:val="BodyText"/>
        <w:numPr>
          <w:ilvl w:val="0"/>
          <w:numId w:val="9"/>
        </w:numPr>
        <w:ind w:hanging="76"/>
      </w:pPr>
      <w:r>
        <w:t>v případě, zakládá-li vadné zboží podstatné porušení smlouvy, odstranění vady dodáním nové věci bez vady nebo dodání chybějící věci, odstranění vady opravou věci, přiměřenou slevu z kupní ceny nebo odstoupit od smlouvy. Za vady zboží zakládající podstatné porušení této smlouvy podle čl. V. bod 3 této smlouvy se považují takové vady, které omezují nebo znemožňují správnou funkci zboží.</w:t>
      </w:r>
    </w:p>
    <w:p w:rsidR="0017244E" w:rsidRDefault="0017244E">
      <w:pPr>
        <w:pStyle w:val="BodyText"/>
        <w:numPr>
          <w:ilvl w:val="0"/>
          <w:numId w:val="9"/>
        </w:numPr>
        <w:ind w:hanging="76"/>
      </w:pPr>
      <w:r>
        <w:t>v ostatním se má za to, že vady zboží zakládají nepodstatné porušení smlouvy, v tomto případě má kupující právo na odstranění vady a nebo na přiměřenou slevu z kupní ceny.</w:t>
      </w:r>
    </w:p>
    <w:p w:rsidR="0017244E" w:rsidRDefault="0017244E">
      <w:pPr>
        <w:pStyle w:val="BodyText"/>
        <w:numPr>
          <w:ilvl w:val="0"/>
          <w:numId w:val="6"/>
        </w:numPr>
      </w:pPr>
      <w:r>
        <w:t xml:space="preserve">Prodávající neodpovídá za vady, které byly způsobeny nesprávným užíváním zboží uživatelem nebo třetí osobou. </w:t>
      </w:r>
    </w:p>
    <w:p w:rsidR="0017244E" w:rsidRDefault="0017244E">
      <w:pPr>
        <w:pStyle w:val="BodyText"/>
        <w:numPr>
          <w:ilvl w:val="0"/>
          <w:numId w:val="6"/>
        </w:numPr>
      </w:pPr>
      <w:r>
        <w:t>O odstranění reklamované vady sepíše prodávající protokol, ve kterém pověřený zaměstnanec kupujícího potvrdí odstranění vady nebo uvede důvody, pro které kupující odmítá opravu převzít.</w:t>
      </w:r>
    </w:p>
    <w:p w:rsidR="0017244E" w:rsidRDefault="0017244E">
      <w:pPr>
        <w:pStyle w:val="BodyText"/>
        <w:numPr>
          <w:ilvl w:val="0"/>
          <w:numId w:val="6"/>
        </w:numPr>
      </w:pPr>
      <w: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17244E" w:rsidRDefault="0017244E">
      <w:pPr>
        <w:pStyle w:val="BodyText"/>
        <w:numPr>
          <w:ilvl w:val="0"/>
          <w:numId w:val="6"/>
        </w:numPr>
      </w:pPr>
      <w:r>
        <w:t>Prodávající je povinen uhradit kupujícímu škodu, která mu vznikla vadným plněním, a to v plné výši. Prodávající rovněž kupujícímu uhradí náklady vzniklé při uplatňování práv z odpovědnosti za vady.</w:t>
      </w:r>
    </w:p>
    <w:p w:rsidR="0017244E" w:rsidRDefault="0017244E">
      <w:pPr>
        <w:pStyle w:val="BodyText"/>
        <w:numPr>
          <w:ilvl w:val="0"/>
          <w:numId w:val="6"/>
        </w:numPr>
      </w:pPr>
      <w:r>
        <w:t>Prodávající se zavazuje, že pokud neodstraní reklamovanou vadu od uplatnění reklamace do 14 dnů poskytne kupujícímu na základě jeho žádosti náhradní zboží, a to bezplatně. Dovoz a odvoz náhradního zboží zajistí prodávající na vlastní náklady.</w:t>
      </w:r>
    </w:p>
    <w:p w:rsidR="0017244E" w:rsidRDefault="0017244E">
      <w:pPr>
        <w:pStyle w:val="BodyText"/>
      </w:pPr>
    </w:p>
    <w:p w:rsidR="0017244E" w:rsidRDefault="0017244E" w:rsidP="002C5609">
      <w:pPr>
        <w:pStyle w:val="BodyText"/>
        <w:jc w:val="center"/>
        <w:rPr>
          <w:b/>
        </w:rPr>
      </w:pPr>
    </w:p>
    <w:p w:rsidR="0017244E" w:rsidRDefault="0017244E" w:rsidP="002C5609">
      <w:pPr>
        <w:pStyle w:val="BodyText"/>
        <w:jc w:val="center"/>
        <w:rPr>
          <w:b/>
        </w:rPr>
      </w:pPr>
    </w:p>
    <w:p w:rsidR="0017244E" w:rsidRDefault="0017244E" w:rsidP="002C5609">
      <w:pPr>
        <w:pStyle w:val="BodyText"/>
        <w:jc w:val="center"/>
        <w:rPr>
          <w:b/>
        </w:rPr>
      </w:pPr>
      <w:r>
        <w:rPr>
          <w:b/>
        </w:rPr>
        <w:t>VI.</w:t>
      </w:r>
      <w:r w:rsidRPr="002C5609">
        <w:rPr>
          <w:b/>
        </w:rPr>
        <w:t xml:space="preserve"> </w:t>
      </w:r>
    </w:p>
    <w:p w:rsidR="0017244E" w:rsidRDefault="0017244E" w:rsidP="002C5609">
      <w:pPr>
        <w:pStyle w:val="BodyText"/>
        <w:jc w:val="center"/>
        <w:rPr>
          <w:b/>
        </w:rPr>
      </w:pPr>
      <w:r>
        <w:rPr>
          <w:b/>
        </w:rPr>
        <w:t>Závěrečná ustanovení</w:t>
      </w:r>
    </w:p>
    <w:p w:rsidR="0017244E" w:rsidRDefault="0017244E">
      <w:pPr>
        <w:jc w:val="center"/>
        <w:rPr>
          <w:b/>
        </w:rPr>
      </w:pPr>
    </w:p>
    <w:p w:rsidR="0017244E" w:rsidRDefault="0017244E">
      <w:pPr>
        <w:pStyle w:val="BodyText"/>
        <w:numPr>
          <w:ilvl w:val="0"/>
          <w:numId w:val="4"/>
        </w:numPr>
        <w:spacing w:before="60"/>
        <w:ind w:left="357" w:hanging="357"/>
      </w:pPr>
      <w: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 Do té doby platí odpovídající úprava platných obecně závazných právních předpisů ČR.</w:t>
      </w:r>
    </w:p>
    <w:p w:rsidR="0017244E" w:rsidRDefault="0017244E">
      <w:pPr>
        <w:pStyle w:val="BodyText"/>
        <w:numPr>
          <w:ilvl w:val="0"/>
          <w:numId w:val="4"/>
        </w:numPr>
        <w:spacing w:before="60"/>
        <w:ind w:left="357" w:hanging="357"/>
      </w:pPr>
      <w:r>
        <w:t>V rámci smluvní volnosti se smluvní strany dohodly na následujícím postupu při doručování písemností dle této smlouvy:</w:t>
      </w:r>
    </w:p>
    <w:p w:rsidR="0017244E" w:rsidRDefault="0017244E">
      <w:pPr>
        <w:pStyle w:val="BodyText"/>
        <w:numPr>
          <w:ilvl w:val="0"/>
          <w:numId w:val="5"/>
        </w:numPr>
      </w:pPr>
      <w:r>
        <w:t>Veškeré písemnosti se druhé smluvní straně (dále jen ”</w:t>
      </w:r>
      <w:r>
        <w:rPr>
          <w:i/>
        </w:rPr>
        <w:t>adresát</w:t>
      </w:r>
      <w:r>
        <w:t>”) doručují na adresu uvedenou v záhlaví této smlouvy, nebude-li adresátem písemně sdělena jiná adresa pro doručování písemností.</w:t>
      </w:r>
    </w:p>
    <w:p w:rsidR="0017244E" w:rsidRDefault="0017244E">
      <w:pPr>
        <w:pStyle w:val="BodyText"/>
        <w:numPr>
          <w:ilvl w:val="0"/>
          <w:numId w:val="5"/>
        </w:numPr>
      </w:pPr>
      <w:r>
        <w:t>Písemnost odesílaná prostřednictvím provozovatele poštovních služeb, která je adresátovi odesílaná jako doporučená zásilka, doporučená zásilka s dodejkou nebo doporučená zásilka s dodáním do vlastních rukou adresáta (vše dále jen ”</w:t>
      </w:r>
      <w:r>
        <w:rPr>
          <w:i/>
        </w:rPr>
        <w:t>zásilka</w:t>
      </w:r>
      <w:r>
        <w:t>”) se považuje za doručenou (a tedy i převzatou adresátem) pátým pracovním dnem, který následuje po dni odeslání zásilky, i když se adresát o jejím odeslání vůbec nedozví. Pokud si adresát zásilku převezme anebo odepře převzetí zásilky, a pokud se tak stane dříve, než pátým pracovním dnem, který následuje po dni odeslání zásilky (případně pokud se tak stane pátým pracovním dnem, který následuje po dni odeslání zásilky), považuje se za den doručení zásilky (a tedy i převzetí adresátem) den převzetí zásilky adresátem, resp. den odepření převzetí zásilky adresátem. Pokud si adresát zásilku převezme anebo odepře převzetí zásilky, a pokud se tak stane později, než pátým pracovním dnem, který následuje po dni odeslání zásilky, považuje se za den doručení zásilky (a tedy i převzetí adresátem) pátý pracovní den, který následuje po dni odeslání zásilky.</w:t>
      </w:r>
    </w:p>
    <w:p w:rsidR="0017244E" w:rsidRDefault="0017244E">
      <w:pPr>
        <w:pStyle w:val="BodyText"/>
        <w:numPr>
          <w:ilvl w:val="0"/>
          <w:numId w:val="4"/>
        </w:numPr>
      </w:pPr>
      <w:r>
        <w:t xml:space="preserve">Obě smluvní strany jsou povinny oznámit si jakoukoliv změnu údajů uvedených v záhlaví této smlouvy, a to písemně bez zbytečného odkladu poté, kdy se o příslušné změně doví. </w:t>
      </w:r>
    </w:p>
    <w:p w:rsidR="0017244E" w:rsidRDefault="0017244E">
      <w:pPr>
        <w:pStyle w:val="BodyText"/>
        <w:numPr>
          <w:ilvl w:val="0"/>
          <w:numId w:val="4"/>
        </w:numPr>
      </w:pPr>
      <w:r>
        <w:t xml:space="preserve">Právní vztahy touto smlouvou neupravené se řídí  zákonem č. 89/2012 Sb., v platném znění. </w:t>
      </w:r>
    </w:p>
    <w:p w:rsidR="0017244E" w:rsidRDefault="0017244E">
      <w:pPr>
        <w:pStyle w:val="BodyText"/>
        <w:numPr>
          <w:ilvl w:val="0"/>
          <w:numId w:val="4"/>
        </w:numPr>
      </w:pPr>
      <w:r>
        <w:t>Strany této smlouvy se podle § 89a o.s.ř. dohodly, že pro projednávání a rozhodnutí sporů vyplývajících z této smlouvy je místně příslušný Okresní soud ve Frýdku-Místku.</w:t>
      </w:r>
    </w:p>
    <w:p w:rsidR="0017244E" w:rsidRDefault="0017244E">
      <w:pPr>
        <w:pStyle w:val="BodyText"/>
        <w:numPr>
          <w:ilvl w:val="0"/>
          <w:numId w:val="4"/>
        </w:numPr>
      </w:pPr>
      <w:r>
        <w:t>Tato smlouva nabývá platnosti dnem jejího podpisu oběma smluvními stranami.</w:t>
      </w:r>
    </w:p>
    <w:p w:rsidR="0017244E" w:rsidRDefault="0017244E">
      <w:pPr>
        <w:pStyle w:val="BodyText"/>
        <w:numPr>
          <w:ilvl w:val="0"/>
          <w:numId w:val="4"/>
        </w:numPr>
      </w:pPr>
      <w:r>
        <w:t xml:space="preserve">Tato smlouva nabývá účinnosti nejdříve dnem uveřejnění v registru smluv v souladu se zákonem č. 340/2015 Sb. </w:t>
      </w:r>
    </w:p>
    <w:p w:rsidR="0017244E" w:rsidRDefault="0017244E">
      <w:pPr>
        <w:pStyle w:val="BodyText"/>
        <w:numPr>
          <w:ilvl w:val="0"/>
          <w:numId w:val="4"/>
        </w:numPr>
      </w:pPr>
      <w:r>
        <w:t>Strany této smlouvy berou na vědomí, že tato smlouva podléhá povinnému uveřejnění v registru smluv dle z.č. 340/2015 Sb. v platném znění. Uveřejnění zajistí objednatel.</w:t>
      </w:r>
    </w:p>
    <w:p w:rsidR="0017244E" w:rsidRDefault="0017244E">
      <w:pPr>
        <w:pStyle w:val="BodyText"/>
        <w:numPr>
          <w:ilvl w:val="0"/>
          <w:numId w:val="4"/>
        </w:numPr>
      </w:pPr>
      <w:r>
        <w:t>Tato smlouva se vyhotovuje ve dvou stejnopisech s platností originálu, z nichž každá smluvní strana obdrží po jednom vyhotovení.</w:t>
      </w:r>
    </w:p>
    <w:p w:rsidR="0017244E" w:rsidRDefault="0017244E">
      <w:pPr>
        <w:pStyle w:val="BodyText"/>
        <w:numPr>
          <w:ilvl w:val="0"/>
          <w:numId w:val="4"/>
        </w:numPr>
      </w:pPr>
      <w:r>
        <w:t>Změny a doplňky této smlouvy mohou být prováděny na základě dohody obou smluvních stran a jsou platné pouze v písemné podobě.</w:t>
      </w:r>
    </w:p>
    <w:p w:rsidR="0017244E" w:rsidRDefault="0017244E">
      <w:pPr>
        <w:pStyle w:val="BodyText"/>
        <w:numPr>
          <w:ilvl w:val="0"/>
          <w:numId w:val="4"/>
        </w:numPr>
      </w:pPr>
      <w:r>
        <w:t xml:space="preserve">Příloha č. 1 je nedílnou součástí této smlouvy. </w:t>
      </w:r>
    </w:p>
    <w:p w:rsidR="0017244E" w:rsidRDefault="0017244E">
      <w:pPr>
        <w:pStyle w:val="BodyText"/>
        <w:numPr>
          <w:ilvl w:val="0"/>
          <w:numId w:val="4"/>
        </w:numPr>
      </w:pPr>
      <w:r>
        <w:t>Kupující je oprávněn zveřejnit na svých webových stránkách (interních a externích) veškeré údaje z této smlouvy. Zveřejnění se týká zejména těchto údajů: identifikace prodávajícího, specifikace zboží, kupní ceny zboží apod.</w:t>
      </w:r>
    </w:p>
    <w:p w:rsidR="0017244E" w:rsidRDefault="0017244E">
      <w:pPr>
        <w:pStyle w:val="BodyText"/>
        <w:numPr>
          <w:ilvl w:val="0"/>
          <w:numId w:val="4"/>
        </w:numPr>
      </w:pPr>
      <w:r>
        <w:t>Smluvní strany shodně prohlašují, že tato smlouva je uzavřena podle jejich pravé a svobodné vůle, nikoliv v tísni, za nápadně nevýhodných podmínek, což stvrzují svými vlastnoručními podpisy.</w:t>
      </w:r>
    </w:p>
    <w:p w:rsidR="0017244E" w:rsidRDefault="0017244E">
      <w:pPr>
        <w:pStyle w:val="BodyText"/>
      </w:pPr>
    </w:p>
    <w:p w:rsidR="0017244E" w:rsidRDefault="0017244E">
      <w:pPr>
        <w:pStyle w:val="BodyText"/>
      </w:pPr>
    </w:p>
    <w:p w:rsidR="0017244E" w:rsidRDefault="0017244E">
      <w:pPr>
        <w:pStyle w:val="BodyText"/>
      </w:pPr>
    </w:p>
    <w:p w:rsidR="0017244E" w:rsidRDefault="0017244E">
      <w:pPr>
        <w:pStyle w:val="BodyText"/>
      </w:pPr>
    </w:p>
    <w:p w:rsidR="0017244E" w:rsidRDefault="0017244E">
      <w:pPr>
        <w:pStyle w:val="BodyText"/>
        <w:ind w:left="360"/>
      </w:pPr>
      <w:r>
        <w:t>V Prostějově  dne ……………                                                  Ve Frýdku - Místku dne …………….</w:t>
      </w:r>
    </w:p>
    <w:p w:rsidR="0017244E" w:rsidRDefault="0017244E">
      <w:pPr>
        <w:pStyle w:val="BodyText"/>
        <w:ind w:left="360"/>
      </w:pPr>
    </w:p>
    <w:p w:rsidR="0017244E" w:rsidRDefault="0017244E">
      <w:pPr>
        <w:pStyle w:val="BodyText"/>
        <w:ind w:left="360"/>
      </w:pPr>
    </w:p>
    <w:p w:rsidR="0017244E" w:rsidRDefault="0017244E">
      <w:pPr>
        <w:pStyle w:val="BodyText"/>
        <w:ind w:left="360"/>
      </w:pPr>
    </w:p>
    <w:p w:rsidR="0017244E" w:rsidRDefault="0017244E">
      <w:pPr>
        <w:tabs>
          <w:tab w:val="left" w:pos="5103"/>
        </w:tabs>
        <w:ind w:left="708" w:hanging="708"/>
        <w:rPr>
          <w:b/>
        </w:rPr>
      </w:pPr>
      <w:r>
        <w:t xml:space="preserve">     …................................................</w:t>
      </w:r>
      <w:r>
        <w:tab/>
        <w:t xml:space="preserve">                  ….............................................             </w:t>
      </w:r>
      <w:r>
        <w:rPr>
          <w:b/>
        </w:rPr>
        <w:t xml:space="preserve">                           </w:t>
      </w:r>
    </w:p>
    <w:p w:rsidR="0017244E" w:rsidRDefault="0017244E">
      <w:pPr>
        <w:tabs>
          <w:tab w:val="left" w:pos="5103"/>
        </w:tabs>
        <w:ind w:left="708" w:hanging="708"/>
        <w:rPr>
          <w:b/>
        </w:rPr>
      </w:pPr>
      <w:r>
        <w:rPr>
          <w:b/>
        </w:rPr>
        <w:t xml:space="preserve">      Globesystem s.r.o.                                                                               Nemocnice ve Frýdku-Místku, p. o.                                                              </w:t>
      </w:r>
    </w:p>
    <w:p w:rsidR="0017244E" w:rsidRDefault="0017244E">
      <w:pPr>
        <w:tabs>
          <w:tab w:val="left" w:pos="5103"/>
        </w:tabs>
        <w:ind w:left="708" w:hanging="708"/>
      </w:pPr>
      <w:r>
        <w:t xml:space="preserve">      Ing. Tomáš Zápařka, jednatel                                                                Ing. Tomáš Stejskal, MBA, ředitel                 </w:t>
      </w:r>
    </w:p>
    <w:p w:rsidR="0017244E" w:rsidRDefault="0017244E">
      <w:pPr>
        <w:tabs>
          <w:tab w:val="left" w:pos="5103"/>
        </w:tabs>
        <w:ind w:left="708" w:hanging="708"/>
      </w:pPr>
      <w:r>
        <w:br w:type="page"/>
        <w:t>Příloha č.1</w:t>
      </w:r>
    </w:p>
    <w:p w:rsidR="0017244E" w:rsidRDefault="0017244E" w:rsidP="00D14E4F">
      <w:r>
        <w:t>Technická – specifikace zboží, cena</w:t>
      </w:r>
    </w:p>
    <w:p w:rsidR="0017244E" w:rsidRPr="00D14E4F" w:rsidRDefault="0017244E" w:rsidP="00D14E4F">
      <w:pPr>
        <w:rPr>
          <w:b/>
        </w:rPr>
      </w:pPr>
    </w:p>
    <w:p w:rsidR="0017244E" w:rsidRPr="00597B5B" w:rsidRDefault="0017244E" w:rsidP="00597B5B">
      <w:pPr>
        <w:pStyle w:val="BodyText"/>
        <w:ind w:left="360"/>
        <w:rPr>
          <w:b/>
          <w:sz w:val="32"/>
        </w:rPr>
      </w:pPr>
      <w:r w:rsidRPr="00597B5B">
        <w:rPr>
          <w:b/>
          <w:sz w:val="32"/>
        </w:rPr>
        <w:t>Počítač</w:t>
      </w:r>
    </w:p>
    <w:tbl>
      <w:tblPr>
        <w:tblW w:w="7600" w:type="dxa"/>
        <w:tblInd w:w="75" w:type="dxa"/>
        <w:tblCellMar>
          <w:left w:w="70" w:type="dxa"/>
          <w:right w:w="70" w:type="dxa"/>
        </w:tblCellMar>
        <w:tblLook w:val="00A0"/>
      </w:tblPr>
      <w:tblGrid>
        <w:gridCol w:w="2405"/>
        <w:gridCol w:w="5195"/>
      </w:tblGrid>
      <w:tr w:rsidR="0017244E" w:rsidRPr="003B1CB0" w:rsidTr="0092700F">
        <w:trPr>
          <w:trHeight w:val="300"/>
        </w:trPr>
        <w:tc>
          <w:tcPr>
            <w:tcW w:w="2405" w:type="dxa"/>
            <w:tcBorders>
              <w:top w:val="single" w:sz="4" w:space="0" w:color="000000"/>
              <w:left w:val="single" w:sz="4" w:space="0" w:color="000000"/>
              <w:bottom w:val="single" w:sz="4" w:space="0" w:color="000000"/>
              <w:right w:val="single" w:sz="4" w:space="0" w:color="000000"/>
            </w:tcBorders>
            <w:noWrap/>
            <w:vAlign w:val="bottom"/>
          </w:tcPr>
          <w:p w:rsidR="0017244E" w:rsidRPr="00973DB0" w:rsidRDefault="0017244E" w:rsidP="00597B5B">
            <w:pPr>
              <w:pStyle w:val="BodyText"/>
              <w:ind w:left="360"/>
              <w:rPr>
                <w:b/>
              </w:rPr>
            </w:pPr>
            <w:r w:rsidRPr="00973DB0">
              <w:rPr>
                <w:b/>
              </w:rPr>
              <w:t>Parametr</w:t>
            </w:r>
          </w:p>
        </w:tc>
        <w:tc>
          <w:tcPr>
            <w:tcW w:w="5195" w:type="dxa"/>
            <w:tcBorders>
              <w:top w:val="single" w:sz="4" w:space="0" w:color="000000"/>
              <w:left w:val="nil"/>
              <w:bottom w:val="single" w:sz="4" w:space="0" w:color="000000"/>
              <w:right w:val="single" w:sz="4" w:space="0" w:color="000000"/>
            </w:tcBorders>
            <w:noWrap/>
            <w:vAlign w:val="bottom"/>
          </w:tcPr>
          <w:p w:rsidR="0017244E" w:rsidRPr="00973DB0" w:rsidRDefault="0017244E" w:rsidP="00597B5B">
            <w:pPr>
              <w:pStyle w:val="BodyText"/>
              <w:ind w:left="360"/>
              <w:rPr>
                <w:b/>
              </w:rPr>
            </w:pPr>
            <w:r w:rsidRPr="00973DB0">
              <w:rPr>
                <w:b/>
              </w:rPr>
              <w:t>Hodnota</w:t>
            </w:r>
          </w:p>
        </w:tc>
      </w:tr>
      <w:tr w:rsidR="0017244E" w:rsidRPr="003B1CB0" w:rsidTr="0092700F">
        <w:trPr>
          <w:trHeight w:val="412"/>
        </w:trPr>
        <w:tc>
          <w:tcPr>
            <w:tcW w:w="2405" w:type="dxa"/>
            <w:tcBorders>
              <w:top w:val="nil"/>
              <w:left w:val="single" w:sz="4" w:space="0" w:color="000000"/>
              <w:bottom w:val="single" w:sz="4" w:space="0" w:color="000000"/>
              <w:right w:val="single" w:sz="4" w:space="0" w:color="000000"/>
            </w:tcBorders>
            <w:noWrap/>
            <w:vAlign w:val="center"/>
          </w:tcPr>
          <w:p w:rsidR="0017244E" w:rsidRPr="00973DB0" w:rsidRDefault="0017244E" w:rsidP="00597B5B">
            <w:pPr>
              <w:pStyle w:val="BodyText"/>
              <w:rPr>
                <w:b/>
                <w:i/>
              </w:rPr>
            </w:pPr>
            <w:r w:rsidRPr="00973DB0">
              <w:rPr>
                <w:b/>
                <w:i/>
              </w:rPr>
              <w:t>Typ:</w:t>
            </w:r>
          </w:p>
        </w:tc>
        <w:tc>
          <w:tcPr>
            <w:tcW w:w="5195" w:type="dxa"/>
            <w:tcBorders>
              <w:top w:val="nil"/>
              <w:left w:val="nil"/>
              <w:bottom w:val="single" w:sz="4" w:space="0" w:color="000000"/>
              <w:right w:val="single" w:sz="4" w:space="0" w:color="000000"/>
            </w:tcBorders>
            <w:vAlign w:val="center"/>
          </w:tcPr>
          <w:p w:rsidR="0017244E" w:rsidRPr="00973DB0" w:rsidRDefault="0017244E" w:rsidP="00597B5B">
            <w:pPr>
              <w:pStyle w:val="BodyText"/>
            </w:pPr>
            <w:r w:rsidRPr="00973DB0">
              <w:t>HP ELITEDESK 800G2</w:t>
            </w:r>
          </w:p>
        </w:tc>
      </w:tr>
      <w:tr w:rsidR="0017244E" w:rsidRPr="003B1CB0" w:rsidTr="0092700F">
        <w:trPr>
          <w:trHeight w:val="417"/>
        </w:trPr>
        <w:tc>
          <w:tcPr>
            <w:tcW w:w="2405" w:type="dxa"/>
            <w:tcBorders>
              <w:top w:val="nil"/>
              <w:left w:val="single" w:sz="4" w:space="0" w:color="000000"/>
              <w:bottom w:val="single" w:sz="4" w:space="0" w:color="000000"/>
              <w:right w:val="single" w:sz="4" w:space="0" w:color="000000"/>
            </w:tcBorders>
            <w:noWrap/>
            <w:vAlign w:val="center"/>
          </w:tcPr>
          <w:p w:rsidR="0017244E" w:rsidRPr="00973DB0" w:rsidRDefault="0017244E" w:rsidP="00597B5B">
            <w:pPr>
              <w:pStyle w:val="BodyText"/>
              <w:rPr>
                <w:b/>
                <w:i/>
              </w:rPr>
            </w:pPr>
            <w:r w:rsidRPr="00973DB0">
              <w:rPr>
                <w:b/>
                <w:i/>
              </w:rPr>
              <w:t>Procesor:</w:t>
            </w:r>
          </w:p>
        </w:tc>
        <w:tc>
          <w:tcPr>
            <w:tcW w:w="5195" w:type="dxa"/>
            <w:tcBorders>
              <w:top w:val="nil"/>
              <w:left w:val="nil"/>
              <w:bottom w:val="single" w:sz="4" w:space="0" w:color="000000"/>
              <w:right w:val="single" w:sz="4" w:space="0" w:color="000000"/>
            </w:tcBorders>
            <w:vAlign w:val="center"/>
          </w:tcPr>
          <w:p w:rsidR="0017244E" w:rsidRPr="00973DB0" w:rsidRDefault="0017244E" w:rsidP="00597B5B">
            <w:pPr>
              <w:pStyle w:val="BodyText"/>
            </w:pPr>
            <w:r w:rsidRPr="00973DB0">
              <w:t>Intel Core i5 / 3,2GHz</w:t>
            </w:r>
          </w:p>
        </w:tc>
      </w:tr>
      <w:tr w:rsidR="0017244E" w:rsidRPr="003B1CB0" w:rsidTr="0092700F">
        <w:trPr>
          <w:trHeight w:val="409"/>
        </w:trPr>
        <w:tc>
          <w:tcPr>
            <w:tcW w:w="2405" w:type="dxa"/>
            <w:tcBorders>
              <w:top w:val="nil"/>
              <w:left w:val="single" w:sz="4" w:space="0" w:color="000000"/>
              <w:bottom w:val="single" w:sz="4" w:space="0" w:color="000000"/>
              <w:right w:val="single" w:sz="4" w:space="0" w:color="000000"/>
            </w:tcBorders>
            <w:noWrap/>
            <w:vAlign w:val="center"/>
          </w:tcPr>
          <w:p w:rsidR="0017244E" w:rsidRPr="00973DB0" w:rsidRDefault="0017244E" w:rsidP="00597B5B">
            <w:pPr>
              <w:pStyle w:val="BodyText"/>
              <w:rPr>
                <w:b/>
                <w:i/>
              </w:rPr>
            </w:pPr>
            <w:r w:rsidRPr="00973DB0">
              <w:rPr>
                <w:b/>
                <w:i/>
              </w:rPr>
              <w:t>Paměť RAM:</w:t>
            </w:r>
          </w:p>
        </w:tc>
        <w:tc>
          <w:tcPr>
            <w:tcW w:w="5195" w:type="dxa"/>
            <w:tcBorders>
              <w:top w:val="nil"/>
              <w:left w:val="nil"/>
              <w:bottom w:val="single" w:sz="4" w:space="0" w:color="000000"/>
              <w:right w:val="single" w:sz="4" w:space="0" w:color="000000"/>
            </w:tcBorders>
            <w:vAlign w:val="center"/>
          </w:tcPr>
          <w:p w:rsidR="0017244E" w:rsidRPr="00973DB0" w:rsidRDefault="0017244E" w:rsidP="00597B5B">
            <w:pPr>
              <w:pStyle w:val="BodyText"/>
            </w:pPr>
            <w:r w:rsidRPr="00973DB0">
              <w:t>8GB</w:t>
            </w:r>
          </w:p>
        </w:tc>
      </w:tr>
      <w:tr w:rsidR="0017244E" w:rsidRPr="003B1CB0" w:rsidTr="0092700F">
        <w:trPr>
          <w:trHeight w:val="300"/>
        </w:trPr>
        <w:tc>
          <w:tcPr>
            <w:tcW w:w="2405" w:type="dxa"/>
            <w:tcBorders>
              <w:top w:val="nil"/>
              <w:left w:val="single" w:sz="4" w:space="0" w:color="000000"/>
              <w:bottom w:val="single" w:sz="4" w:space="0" w:color="000000"/>
              <w:right w:val="single" w:sz="4" w:space="0" w:color="000000"/>
            </w:tcBorders>
            <w:noWrap/>
            <w:vAlign w:val="center"/>
          </w:tcPr>
          <w:p w:rsidR="0017244E" w:rsidRPr="00973DB0" w:rsidRDefault="0017244E" w:rsidP="00597B5B">
            <w:pPr>
              <w:pStyle w:val="BodyText"/>
              <w:rPr>
                <w:b/>
                <w:i/>
              </w:rPr>
            </w:pPr>
            <w:r w:rsidRPr="00973DB0">
              <w:rPr>
                <w:b/>
                <w:i/>
              </w:rPr>
              <w:t>Pevný disk (typ kapacita):</w:t>
            </w:r>
          </w:p>
        </w:tc>
        <w:tc>
          <w:tcPr>
            <w:tcW w:w="5195" w:type="dxa"/>
            <w:tcBorders>
              <w:top w:val="nil"/>
              <w:left w:val="nil"/>
              <w:bottom w:val="single" w:sz="4" w:space="0" w:color="000000"/>
              <w:right w:val="single" w:sz="4" w:space="0" w:color="000000"/>
            </w:tcBorders>
            <w:vAlign w:val="center"/>
          </w:tcPr>
          <w:p w:rsidR="0017244E" w:rsidRPr="00973DB0" w:rsidRDefault="0017244E" w:rsidP="00597B5B">
            <w:pPr>
              <w:pStyle w:val="BodyText"/>
            </w:pPr>
            <w:r w:rsidRPr="00973DB0">
              <w:t>240GB</w:t>
            </w:r>
          </w:p>
        </w:tc>
      </w:tr>
      <w:tr w:rsidR="0017244E" w:rsidRPr="003B1CB0" w:rsidTr="0092700F">
        <w:trPr>
          <w:trHeight w:val="300"/>
        </w:trPr>
        <w:tc>
          <w:tcPr>
            <w:tcW w:w="2405" w:type="dxa"/>
            <w:tcBorders>
              <w:top w:val="nil"/>
              <w:left w:val="single" w:sz="4" w:space="0" w:color="000000"/>
              <w:bottom w:val="single" w:sz="4" w:space="0" w:color="000000"/>
              <w:right w:val="single" w:sz="4" w:space="0" w:color="000000"/>
            </w:tcBorders>
            <w:noWrap/>
            <w:vAlign w:val="center"/>
          </w:tcPr>
          <w:p w:rsidR="0017244E" w:rsidRPr="00973DB0" w:rsidRDefault="0017244E" w:rsidP="00597B5B">
            <w:pPr>
              <w:pStyle w:val="BodyText"/>
              <w:rPr>
                <w:b/>
                <w:i/>
              </w:rPr>
            </w:pPr>
            <w:r w:rsidRPr="00973DB0">
              <w:rPr>
                <w:b/>
                <w:i/>
              </w:rPr>
              <w:t>Grafická karta:</w:t>
            </w:r>
          </w:p>
        </w:tc>
        <w:tc>
          <w:tcPr>
            <w:tcW w:w="5195" w:type="dxa"/>
            <w:tcBorders>
              <w:top w:val="nil"/>
              <w:left w:val="nil"/>
              <w:bottom w:val="single" w:sz="4" w:space="0" w:color="000000"/>
              <w:right w:val="single" w:sz="4" w:space="0" w:color="000000"/>
            </w:tcBorders>
            <w:vAlign w:val="center"/>
          </w:tcPr>
          <w:p w:rsidR="0017244E" w:rsidRPr="00973DB0" w:rsidRDefault="0017244E" w:rsidP="00597B5B">
            <w:pPr>
              <w:pStyle w:val="BodyText"/>
            </w:pPr>
            <w:r w:rsidRPr="00973DB0">
              <w:t>Intel HD Graphics 530</w:t>
            </w:r>
          </w:p>
        </w:tc>
      </w:tr>
      <w:tr w:rsidR="0017244E" w:rsidRPr="003B1CB0" w:rsidTr="0092700F">
        <w:trPr>
          <w:trHeight w:val="353"/>
        </w:trPr>
        <w:tc>
          <w:tcPr>
            <w:tcW w:w="2405" w:type="dxa"/>
            <w:tcBorders>
              <w:top w:val="nil"/>
              <w:left w:val="single" w:sz="4" w:space="0" w:color="000000"/>
              <w:bottom w:val="single" w:sz="4" w:space="0" w:color="000000"/>
              <w:right w:val="single" w:sz="4" w:space="0" w:color="000000"/>
            </w:tcBorders>
            <w:noWrap/>
            <w:vAlign w:val="center"/>
          </w:tcPr>
          <w:p w:rsidR="0017244E" w:rsidRPr="00973DB0" w:rsidRDefault="0017244E" w:rsidP="00597B5B">
            <w:pPr>
              <w:pStyle w:val="BodyText"/>
              <w:rPr>
                <w:b/>
                <w:i/>
              </w:rPr>
            </w:pPr>
            <w:r w:rsidRPr="00973DB0">
              <w:rPr>
                <w:b/>
                <w:i/>
              </w:rPr>
              <w:t>Audio:</w:t>
            </w:r>
          </w:p>
        </w:tc>
        <w:tc>
          <w:tcPr>
            <w:tcW w:w="5195" w:type="dxa"/>
            <w:tcBorders>
              <w:top w:val="nil"/>
              <w:left w:val="nil"/>
              <w:bottom w:val="single" w:sz="4" w:space="0" w:color="000000"/>
              <w:right w:val="single" w:sz="4" w:space="0" w:color="000000"/>
            </w:tcBorders>
            <w:vAlign w:val="center"/>
          </w:tcPr>
          <w:p w:rsidR="0017244E" w:rsidRPr="00973DB0" w:rsidRDefault="0017244E" w:rsidP="00103C93">
            <w:pPr>
              <w:pStyle w:val="BodyText"/>
            </w:pPr>
            <w:r w:rsidRPr="00973DB0">
              <w:t>integrovaná zvuková karta Realtek ALC221 s technologií DTS Studio Sound</w:t>
            </w:r>
          </w:p>
          <w:p w:rsidR="0017244E" w:rsidRPr="00973DB0" w:rsidRDefault="0017244E" w:rsidP="00103C93">
            <w:pPr>
              <w:pStyle w:val="BodyText"/>
            </w:pPr>
            <w:r w:rsidRPr="00973DB0">
              <w:t>Interní reproduktor</w:t>
            </w:r>
          </w:p>
        </w:tc>
      </w:tr>
      <w:tr w:rsidR="0017244E" w:rsidRPr="003B1CB0" w:rsidTr="0092700F">
        <w:trPr>
          <w:trHeight w:val="300"/>
        </w:trPr>
        <w:tc>
          <w:tcPr>
            <w:tcW w:w="2405" w:type="dxa"/>
            <w:tcBorders>
              <w:top w:val="nil"/>
              <w:left w:val="single" w:sz="4" w:space="0" w:color="000000"/>
              <w:bottom w:val="single" w:sz="4" w:space="0" w:color="000000"/>
              <w:right w:val="single" w:sz="4" w:space="0" w:color="000000"/>
            </w:tcBorders>
            <w:noWrap/>
            <w:vAlign w:val="center"/>
          </w:tcPr>
          <w:p w:rsidR="0017244E" w:rsidRPr="00973DB0" w:rsidRDefault="0017244E" w:rsidP="00597B5B">
            <w:pPr>
              <w:pStyle w:val="BodyText"/>
              <w:rPr>
                <w:b/>
                <w:i/>
              </w:rPr>
            </w:pPr>
            <w:r w:rsidRPr="00973DB0">
              <w:rPr>
                <w:b/>
                <w:i/>
              </w:rPr>
              <w:t>Komunikace - síť:</w:t>
            </w:r>
          </w:p>
        </w:tc>
        <w:tc>
          <w:tcPr>
            <w:tcW w:w="5195" w:type="dxa"/>
            <w:tcBorders>
              <w:top w:val="nil"/>
              <w:left w:val="nil"/>
              <w:bottom w:val="single" w:sz="4" w:space="0" w:color="000000"/>
              <w:right w:val="single" w:sz="4" w:space="0" w:color="000000"/>
            </w:tcBorders>
            <w:vAlign w:val="center"/>
          </w:tcPr>
          <w:p w:rsidR="0017244E" w:rsidRPr="00973DB0" w:rsidRDefault="0017244E" w:rsidP="00597B5B">
            <w:pPr>
              <w:pStyle w:val="BodyText"/>
            </w:pPr>
            <w:r w:rsidRPr="00973DB0">
              <w:t>Integrovaná síťová karta Intel® I219LM 10/100/1000</w:t>
            </w:r>
          </w:p>
        </w:tc>
      </w:tr>
      <w:tr w:rsidR="0017244E" w:rsidRPr="003B1CB0" w:rsidTr="0092700F">
        <w:trPr>
          <w:trHeight w:val="831"/>
        </w:trPr>
        <w:tc>
          <w:tcPr>
            <w:tcW w:w="2405" w:type="dxa"/>
            <w:tcBorders>
              <w:top w:val="nil"/>
              <w:left w:val="single" w:sz="4" w:space="0" w:color="000000"/>
              <w:bottom w:val="single" w:sz="4" w:space="0" w:color="000000"/>
              <w:right w:val="single" w:sz="4" w:space="0" w:color="000000"/>
            </w:tcBorders>
            <w:noWrap/>
            <w:vAlign w:val="center"/>
          </w:tcPr>
          <w:p w:rsidR="0017244E" w:rsidRPr="00973DB0" w:rsidRDefault="0017244E" w:rsidP="00597B5B">
            <w:pPr>
              <w:pStyle w:val="BodyText"/>
              <w:rPr>
                <w:b/>
                <w:i/>
              </w:rPr>
            </w:pPr>
            <w:r w:rsidRPr="00973DB0">
              <w:rPr>
                <w:b/>
                <w:i/>
              </w:rPr>
              <w:t>Porty:</w:t>
            </w:r>
          </w:p>
        </w:tc>
        <w:tc>
          <w:tcPr>
            <w:tcW w:w="5195" w:type="dxa"/>
            <w:tcBorders>
              <w:top w:val="nil"/>
              <w:left w:val="nil"/>
              <w:bottom w:val="single" w:sz="4" w:space="0" w:color="auto"/>
              <w:right w:val="single" w:sz="4" w:space="0" w:color="000000"/>
            </w:tcBorders>
            <w:vAlign w:val="center"/>
          </w:tcPr>
          <w:p w:rsidR="0017244E" w:rsidRPr="00973DB0" w:rsidRDefault="0017244E" w:rsidP="00597B5B">
            <w:pPr>
              <w:pStyle w:val="BodyText"/>
            </w:pPr>
            <w:r w:rsidRPr="00973DB0">
              <w:t>VGA, USB 2.0-2x, USB 3.0-8x, Počet USB vzadu - 6, Počet USB vpředu - 4</w:t>
            </w:r>
          </w:p>
        </w:tc>
      </w:tr>
      <w:tr w:rsidR="0017244E" w:rsidRPr="003B1CB0" w:rsidTr="0092700F">
        <w:trPr>
          <w:trHeight w:val="570"/>
        </w:trPr>
        <w:tc>
          <w:tcPr>
            <w:tcW w:w="2405" w:type="dxa"/>
            <w:tcBorders>
              <w:top w:val="nil"/>
              <w:left w:val="single" w:sz="4" w:space="0" w:color="000000"/>
              <w:bottom w:val="single" w:sz="4" w:space="0" w:color="000000"/>
              <w:right w:val="single" w:sz="4" w:space="0" w:color="auto"/>
            </w:tcBorders>
            <w:noWrap/>
            <w:vAlign w:val="center"/>
          </w:tcPr>
          <w:p w:rsidR="0017244E" w:rsidRPr="00973DB0" w:rsidRDefault="0017244E" w:rsidP="00597B5B">
            <w:pPr>
              <w:pStyle w:val="BodyText"/>
              <w:rPr>
                <w:b/>
                <w:i/>
              </w:rPr>
            </w:pPr>
            <w:r w:rsidRPr="00973DB0">
              <w:rPr>
                <w:b/>
                <w:i/>
              </w:rPr>
              <w:t>Sloty:</w:t>
            </w:r>
          </w:p>
        </w:tc>
        <w:tc>
          <w:tcPr>
            <w:tcW w:w="5195" w:type="dxa"/>
            <w:tcBorders>
              <w:top w:val="single" w:sz="4" w:space="0" w:color="auto"/>
              <w:left w:val="single" w:sz="4" w:space="0" w:color="auto"/>
              <w:bottom w:val="single" w:sz="4" w:space="0" w:color="auto"/>
              <w:right w:val="single" w:sz="4" w:space="0" w:color="auto"/>
            </w:tcBorders>
            <w:vAlign w:val="center"/>
          </w:tcPr>
          <w:p w:rsidR="0017244E" w:rsidRPr="00973DB0" w:rsidRDefault="0017244E" w:rsidP="00597B5B">
            <w:pPr>
              <w:pStyle w:val="BodyText"/>
            </w:pPr>
            <w:r w:rsidRPr="00973DB0">
              <w:t>1x PCIe 4x, 1x PCIe 16x, 2x PCIe 1x</w:t>
            </w:r>
          </w:p>
        </w:tc>
      </w:tr>
      <w:tr w:rsidR="0017244E" w:rsidRPr="003B1CB0" w:rsidTr="0092700F">
        <w:trPr>
          <w:trHeight w:val="539"/>
        </w:trPr>
        <w:tc>
          <w:tcPr>
            <w:tcW w:w="2405" w:type="dxa"/>
            <w:tcBorders>
              <w:top w:val="nil"/>
              <w:left w:val="single" w:sz="4" w:space="0" w:color="000000"/>
              <w:bottom w:val="single" w:sz="4" w:space="0" w:color="000000"/>
              <w:right w:val="single" w:sz="4" w:space="0" w:color="auto"/>
            </w:tcBorders>
            <w:noWrap/>
            <w:vAlign w:val="center"/>
          </w:tcPr>
          <w:p w:rsidR="0017244E" w:rsidRPr="00973DB0" w:rsidRDefault="0017244E" w:rsidP="00597B5B">
            <w:pPr>
              <w:pStyle w:val="BodyText"/>
              <w:rPr>
                <w:b/>
                <w:i/>
              </w:rPr>
            </w:pPr>
            <w:r w:rsidRPr="00973DB0">
              <w:rPr>
                <w:b/>
                <w:i/>
              </w:rPr>
              <w:t>Operační systém:</w:t>
            </w:r>
          </w:p>
        </w:tc>
        <w:tc>
          <w:tcPr>
            <w:tcW w:w="5195" w:type="dxa"/>
            <w:tcBorders>
              <w:top w:val="single" w:sz="4" w:space="0" w:color="auto"/>
              <w:left w:val="single" w:sz="4" w:space="0" w:color="auto"/>
              <w:bottom w:val="single" w:sz="4" w:space="0" w:color="auto"/>
              <w:right w:val="single" w:sz="4" w:space="0" w:color="auto"/>
            </w:tcBorders>
            <w:vAlign w:val="bottom"/>
          </w:tcPr>
          <w:p w:rsidR="0017244E" w:rsidRPr="00973DB0" w:rsidRDefault="0017244E" w:rsidP="00597B5B">
            <w:pPr>
              <w:pStyle w:val="BodyText"/>
            </w:pPr>
            <w:r w:rsidRPr="00973DB0">
              <w:t>Windows 10 Pro x64 CZ</w:t>
            </w:r>
          </w:p>
        </w:tc>
      </w:tr>
      <w:tr w:rsidR="0017244E" w:rsidRPr="003B1CB0" w:rsidTr="0092700F">
        <w:trPr>
          <w:trHeight w:val="689"/>
        </w:trPr>
        <w:tc>
          <w:tcPr>
            <w:tcW w:w="2405" w:type="dxa"/>
            <w:tcBorders>
              <w:top w:val="nil"/>
              <w:left w:val="single" w:sz="4" w:space="0" w:color="000000"/>
              <w:bottom w:val="single" w:sz="4" w:space="0" w:color="000000"/>
              <w:right w:val="single" w:sz="4" w:space="0" w:color="000000"/>
            </w:tcBorders>
            <w:noWrap/>
            <w:vAlign w:val="center"/>
          </w:tcPr>
          <w:p w:rsidR="0017244E" w:rsidRPr="00973DB0" w:rsidRDefault="0017244E" w:rsidP="00597B5B">
            <w:pPr>
              <w:pStyle w:val="BodyText"/>
              <w:rPr>
                <w:b/>
                <w:i/>
              </w:rPr>
            </w:pPr>
            <w:r w:rsidRPr="00973DB0">
              <w:rPr>
                <w:b/>
                <w:i/>
              </w:rPr>
              <w:t>Provedení skříně:</w:t>
            </w:r>
          </w:p>
        </w:tc>
        <w:tc>
          <w:tcPr>
            <w:tcW w:w="5195" w:type="dxa"/>
            <w:tcBorders>
              <w:top w:val="nil"/>
              <w:left w:val="nil"/>
              <w:bottom w:val="single" w:sz="4" w:space="0" w:color="000000"/>
              <w:right w:val="single" w:sz="4" w:space="0" w:color="000000"/>
            </w:tcBorders>
            <w:vAlign w:val="center"/>
          </w:tcPr>
          <w:p w:rsidR="0017244E" w:rsidRPr="00973DB0" w:rsidRDefault="0017244E" w:rsidP="00597B5B">
            <w:pPr>
              <w:pStyle w:val="BodyText"/>
            </w:pPr>
            <w:r w:rsidRPr="00973DB0">
              <w:t>Small Form Factor</w:t>
            </w:r>
          </w:p>
        </w:tc>
      </w:tr>
      <w:tr w:rsidR="0017244E" w:rsidRPr="003B1CB0" w:rsidTr="0092700F">
        <w:trPr>
          <w:trHeight w:val="571"/>
        </w:trPr>
        <w:tc>
          <w:tcPr>
            <w:tcW w:w="2405" w:type="dxa"/>
            <w:tcBorders>
              <w:top w:val="nil"/>
              <w:left w:val="single" w:sz="4" w:space="0" w:color="000000"/>
              <w:bottom w:val="single" w:sz="4" w:space="0" w:color="000000"/>
              <w:right w:val="single" w:sz="4" w:space="0" w:color="000000"/>
            </w:tcBorders>
            <w:noWrap/>
            <w:vAlign w:val="center"/>
          </w:tcPr>
          <w:p w:rsidR="0017244E" w:rsidRPr="00973DB0" w:rsidRDefault="0017244E" w:rsidP="00597B5B">
            <w:pPr>
              <w:pStyle w:val="BodyText"/>
              <w:rPr>
                <w:b/>
                <w:i/>
              </w:rPr>
            </w:pPr>
            <w:r w:rsidRPr="00973DB0">
              <w:rPr>
                <w:b/>
                <w:i/>
              </w:rPr>
              <w:t>Zdroj:</w:t>
            </w:r>
          </w:p>
        </w:tc>
        <w:tc>
          <w:tcPr>
            <w:tcW w:w="5195" w:type="dxa"/>
            <w:tcBorders>
              <w:top w:val="nil"/>
              <w:left w:val="nil"/>
              <w:bottom w:val="single" w:sz="4" w:space="0" w:color="000000"/>
              <w:right w:val="single" w:sz="4" w:space="0" w:color="000000"/>
            </w:tcBorders>
            <w:vAlign w:val="center"/>
          </w:tcPr>
          <w:p w:rsidR="0017244E" w:rsidRPr="00973DB0" w:rsidRDefault="0017244E" w:rsidP="00597B5B">
            <w:pPr>
              <w:pStyle w:val="BodyText"/>
            </w:pPr>
            <w:r w:rsidRPr="00973DB0">
              <w:t>200 W zdroj s účinností až 92%</w:t>
            </w:r>
          </w:p>
        </w:tc>
      </w:tr>
      <w:tr w:rsidR="0017244E" w:rsidRPr="003B1CB0" w:rsidTr="0092700F">
        <w:trPr>
          <w:trHeight w:val="300"/>
        </w:trPr>
        <w:tc>
          <w:tcPr>
            <w:tcW w:w="2405" w:type="dxa"/>
            <w:tcBorders>
              <w:top w:val="nil"/>
              <w:left w:val="single" w:sz="4" w:space="0" w:color="000000"/>
              <w:bottom w:val="single" w:sz="4" w:space="0" w:color="000000"/>
              <w:right w:val="single" w:sz="4" w:space="0" w:color="000000"/>
            </w:tcBorders>
            <w:noWrap/>
            <w:vAlign w:val="center"/>
          </w:tcPr>
          <w:p w:rsidR="0017244E" w:rsidRPr="00973DB0" w:rsidRDefault="0017244E" w:rsidP="00597B5B">
            <w:pPr>
              <w:pStyle w:val="BodyText"/>
              <w:rPr>
                <w:b/>
                <w:i/>
              </w:rPr>
            </w:pPr>
            <w:r w:rsidRPr="00973DB0">
              <w:rPr>
                <w:b/>
                <w:i/>
              </w:rPr>
              <w:t>Záruka:</w:t>
            </w:r>
          </w:p>
        </w:tc>
        <w:tc>
          <w:tcPr>
            <w:tcW w:w="5195" w:type="dxa"/>
            <w:tcBorders>
              <w:top w:val="nil"/>
              <w:left w:val="nil"/>
              <w:bottom w:val="single" w:sz="4" w:space="0" w:color="000000"/>
              <w:right w:val="single" w:sz="4" w:space="0" w:color="000000"/>
            </w:tcBorders>
            <w:vAlign w:val="center"/>
          </w:tcPr>
          <w:p w:rsidR="0017244E" w:rsidRPr="00973DB0" w:rsidRDefault="0017244E" w:rsidP="00597B5B">
            <w:pPr>
              <w:pStyle w:val="BodyText"/>
            </w:pPr>
            <w:r w:rsidRPr="00973DB0">
              <w:t>36 měsíců</w:t>
            </w:r>
          </w:p>
        </w:tc>
      </w:tr>
      <w:tr w:rsidR="0017244E" w:rsidRPr="003B1CB0" w:rsidTr="0092700F">
        <w:trPr>
          <w:trHeight w:val="570"/>
        </w:trPr>
        <w:tc>
          <w:tcPr>
            <w:tcW w:w="2405" w:type="dxa"/>
            <w:tcBorders>
              <w:top w:val="nil"/>
              <w:left w:val="single" w:sz="4" w:space="0" w:color="000000"/>
              <w:bottom w:val="single" w:sz="4" w:space="0" w:color="000000"/>
              <w:right w:val="single" w:sz="4" w:space="0" w:color="000000"/>
            </w:tcBorders>
            <w:noWrap/>
            <w:vAlign w:val="center"/>
          </w:tcPr>
          <w:p w:rsidR="0017244E" w:rsidRPr="00973DB0" w:rsidRDefault="0017244E" w:rsidP="00597B5B">
            <w:pPr>
              <w:pStyle w:val="BodyText"/>
              <w:rPr>
                <w:b/>
                <w:i/>
              </w:rPr>
            </w:pPr>
            <w:r w:rsidRPr="00973DB0">
              <w:rPr>
                <w:b/>
                <w:i/>
              </w:rPr>
              <w:t>Servis:</w:t>
            </w:r>
          </w:p>
        </w:tc>
        <w:tc>
          <w:tcPr>
            <w:tcW w:w="5195" w:type="dxa"/>
            <w:tcBorders>
              <w:top w:val="nil"/>
              <w:left w:val="nil"/>
              <w:bottom w:val="single" w:sz="4" w:space="0" w:color="000000"/>
              <w:right w:val="single" w:sz="4" w:space="0" w:color="000000"/>
            </w:tcBorders>
            <w:vAlign w:val="center"/>
          </w:tcPr>
          <w:p w:rsidR="0017244E" w:rsidRPr="00973DB0" w:rsidRDefault="0017244E" w:rsidP="00597B5B">
            <w:pPr>
              <w:pStyle w:val="BodyText"/>
            </w:pPr>
            <w:r w:rsidRPr="00973DB0">
              <w:t xml:space="preserve">Možnost zásahu zadavatele do PC v záruční době bez ztráty záruky. </w:t>
            </w:r>
          </w:p>
        </w:tc>
      </w:tr>
      <w:tr w:rsidR="0017244E" w:rsidRPr="003B1CB0" w:rsidTr="0092700F">
        <w:trPr>
          <w:trHeight w:val="570"/>
        </w:trPr>
        <w:tc>
          <w:tcPr>
            <w:tcW w:w="2405" w:type="dxa"/>
            <w:tcBorders>
              <w:top w:val="nil"/>
              <w:left w:val="single" w:sz="4" w:space="0" w:color="000000"/>
              <w:bottom w:val="single" w:sz="4" w:space="0" w:color="000000"/>
              <w:right w:val="single" w:sz="4" w:space="0" w:color="000000"/>
            </w:tcBorders>
            <w:noWrap/>
            <w:vAlign w:val="center"/>
          </w:tcPr>
          <w:p w:rsidR="0017244E" w:rsidRPr="00973DB0" w:rsidRDefault="0017244E" w:rsidP="00597B5B">
            <w:pPr>
              <w:pStyle w:val="BodyText"/>
              <w:rPr>
                <w:b/>
                <w:i/>
              </w:rPr>
            </w:pPr>
            <w:r w:rsidRPr="00973DB0">
              <w:rPr>
                <w:b/>
                <w:i/>
              </w:rPr>
              <w:t>Ovladače – adresa ke stažení</w:t>
            </w:r>
          </w:p>
        </w:tc>
        <w:tc>
          <w:tcPr>
            <w:tcW w:w="5195" w:type="dxa"/>
            <w:tcBorders>
              <w:top w:val="nil"/>
              <w:left w:val="nil"/>
              <w:bottom w:val="single" w:sz="4" w:space="0" w:color="000000"/>
              <w:right w:val="single" w:sz="4" w:space="0" w:color="000000"/>
            </w:tcBorders>
            <w:vAlign w:val="center"/>
          </w:tcPr>
          <w:p w:rsidR="0017244E" w:rsidRPr="00973DB0" w:rsidRDefault="0017244E" w:rsidP="00103C93">
            <w:pPr>
              <w:pStyle w:val="BodyText"/>
            </w:pPr>
            <w:hyperlink r:id="rId7" w:history="1">
              <w:r w:rsidRPr="00973DB0">
                <w:rPr>
                  <w:rStyle w:val="Hyperlink"/>
                </w:rPr>
                <w:t>https://support.hp.com/cz-cs/drivers/selfservice/hp-elitedesk-800-g2-small-form-factor-pc/7633277/model/7633282</w:t>
              </w:r>
            </w:hyperlink>
          </w:p>
        </w:tc>
      </w:tr>
    </w:tbl>
    <w:p w:rsidR="0017244E" w:rsidRDefault="0017244E" w:rsidP="0092700F">
      <w:pPr>
        <w:pStyle w:val="BodyText"/>
      </w:pPr>
    </w:p>
    <w:p w:rsidR="0017244E" w:rsidRDefault="0017244E" w:rsidP="0092700F">
      <w:pPr>
        <w:pStyle w:val="BodyText"/>
      </w:pPr>
    </w:p>
    <w:tbl>
      <w:tblPr>
        <w:tblW w:w="76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405"/>
        <w:gridCol w:w="5195"/>
      </w:tblGrid>
      <w:tr w:rsidR="0017244E" w:rsidRPr="003B1CB0" w:rsidTr="0092700F">
        <w:trPr>
          <w:trHeight w:val="300"/>
        </w:trPr>
        <w:tc>
          <w:tcPr>
            <w:tcW w:w="2405" w:type="dxa"/>
            <w:noWrap/>
            <w:vAlign w:val="center"/>
          </w:tcPr>
          <w:p w:rsidR="0017244E" w:rsidRPr="00973DB0" w:rsidRDefault="0017244E" w:rsidP="000B4458">
            <w:pPr>
              <w:pStyle w:val="BodyText"/>
              <w:rPr>
                <w:b/>
                <w:i/>
              </w:rPr>
            </w:pPr>
            <w:r w:rsidRPr="00973DB0">
              <w:rPr>
                <w:b/>
                <w:i/>
              </w:rPr>
              <w:t>Licence</w:t>
            </w:r>
          </w:p>
        </w:tc>
        <w:tc>
          <w:tcPr>
            <w:tcW w:w="5195" w:type="dxa"/>
            <w:vAlign w:val="center"/>
          </w:tcPr>
          <w:p w:rsidR="0017244E" w:rsidRPr="00973DB0" w:rsidRDefault="0017244E" w:rsidP="000B4458">
            <w:pPr>
              <w:pStyle w:val="BodyText"/>
            </w:pPr>
            <w:r w:rsidRPr="00973DB0">
              <w:t>Windows Server 2019 Cal Device</w:t>
            </w:r>
          </w:p>
        </w:tc>
      </w:tr>
    </w:tbl>
    <w:p w:rsidR="0017244E" w:rsidRDefault="0017244E" w:rsidP="0092700F">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708"/>
        <w:gridCol w:w="1843"/>
        <w:gridCol w:w="1701"/>
        <w:gridCol w:w="1843"/>
        <w:gridCol w:w="1984"/>
      </w:tblGrid>
      <w:tr w:rsidR="0017244E" w:rsidTr="000B4458">
        <w:tc>
          <w:tcPr>
            <w:tcW w:w="993" w:type="dxa"/>
          </w:tcPr>
          <w:p w:rsidR="0017244E" w:rsidRPr="00973DB0" w:rsidRDefault="0017244E" w:rsidP="0092700F">
            <w:pPr>
              <w:pStyle w:val="BodyText"/>
            </w:pPr>
          </w:p>
        </w:tc>
        <w:tc>
          <w:tcPr>
            <w:tcW w:w="708" w:type="dxa"/>
          </w:tcPr>
          <w:p w:rsidR="0017244E" w:rsidRPr="00973DB0" w:rsidRDefault="0017244E" w:rsidP="0092700F">
            <w:pPr>
              <w:pStyle w:val="BodyText"/>
              <w:rPr>
                <w:b/>
              </w:rPr>
            </w:pPr>
            <w:r w:rsidRPr="00973DB0">
              <w:rPr>
                <w:b/>
              </w:rPr>
              <w:t>Počet</w:t>
            </w:r>
          </w:p>
        </w:tc>
        <w:tc>
          <w:tcPr>
            <w:tcW w:w="1843" w:type="dxa"/>
          </w:tcPr>
          <w:p w:rsidR="0017244E" w:rsidRPr="00973DB0" w:rsidRDefault="0017244E" w:rsidP="0092700F">
            <w:pPr>
              <w:pStyle w:val="BodyText"/>
              <w:rPr>
                <w:b/>
              </w:rPr>
            </w:pPr>
            <w:r w:rsidRPr="00973DB0">
              <w:rPr>
                <w:b/>
              </w:rPr>
              <w:t>Cena/ks bez DPH</w:t>
            </w:r>
          </w:p>
        </w:tc>
        <w:tc>
          <w:tcPr>
            <w:tcW w:w="1701" w:type="dxa"/>
          </w:tcPr>
          <w:p w:rsidR="0017244E" w:rsidRPr="00973DB0" w:rsidRDefault="0017244E" w:rsidP="0092700F">
            <w:pPr>
              <w:pStyle w:val="BodyText"/>
              <w:rPr>
                <w:b/>
              </w:rPr>
            </w:pPr>
            <w:r w:rsidRPr="00973DB0">
              <w:rPr>
                <w:b/>
              </w:rPr>
              <w:t>Cena/ks s DPH</w:t>
            </w:r>
          </w:p>
        </w:tc>
        <w:tc>
          <w:tcPr>
            <w:tcW w:w="1843" w:type="dxa"/>
          </w:tcPr>
          <w:p w:rsidR="0017244E" w:rsidRPr="00973DB0" w:rsidRDefault="0017244E" w:rsidP="0092700F">
            <w:pPr>
              <w:pStyle w:val="BodyText"/>
              <w:rPr>
                <w:b/>
              </w:rPr>
            </w:pPr>
            <w:r w:rsidRPr="00973DB0">
              <w:rPr>
                <w:b/>
              </w:rPr>
              <w:t>Celkem bez DPH</w:t>
            </w:r>
          </w:p>
        </w:tc>
        <w:tc>
          <w:tcPr>
            <w:tcW w:w="1984" w:type="dxa"/>
          </w:tcPr>
          <w:p w:rsidR="0017244E" w:rsidRPr="00973DB0" w:rsidRDefault="0017244E" w:rsidP="0092700F">
            <w:pPr>
              <w:pStyle w:val="BodyText"/>
              <w:rPr>
                <w:b/>
              </w:rPr>
            </w:pPr>
            <w:r w:rsidRPr="00973DB0">
              <w:rPr>
                <w:b/>
              </w:rPr>
              <w:t>Celkem s DPH</w:t>
            </w:r>
          </w:p>
        </w:tc>
      </w:tr>
      <w:tr w:rsidR="0017244E" w:rsidTr="000B4458">
        <w:tc>
          <w:tcPr>
            <w:tcW w:w="993" w:type="dxa"/>
          </w:tcPr>
          <w:p w:rsidR="0017244E" w:rsidRPr="00973DB0" w:rsidRDefault="0017244E" w:rsidP="0092700F">
            <w:pPr>
              <w:pStyle w:val="BodyText"/>
              <w:rPr>
                <w:b/>
              </w:rPr>
            </w:pPr>
            <w:r w:rsidRPr="00973DB0">
              <w:rPr>
                <w:b/>
              </w:rPr>
              <w:t>Počítač</w:t>
            </w:r>
          </w:p>
        </w:tc>
        <w:tc>
          <w:tcPr>
            <w:tcW w:w="708" w:type="dxa"/>
          </w:tcPr>
          <w:p w:rsidR="0017244E" w:rsidRPr="00973DB0" w:rsidRDefault="0017244E" w:rsidP="0092700F">
            <w:pPr>
              <w:pStyle w:val="BodyText"/>
            </w:pPr>
            <w:r w:rsidRPr="00973DB0">
              <w:t>180</w:t>
            </w:r>
          </w:p>
        </w:tc>
        <w:tc>
          <w:tcPr>
            <w:tcW w:w="1843" w:type="dxa"/>
          </w:tcPr>
          <w:p w:rsidR="0017244E" w:rsidRPr="00973DB0" w:rsidRDefault="0017244E" w:rsidP="00FC51C6">
            <w:pPr>
              <w:pStyle w:val="BodyText"/>
              <w:jc w:val="right"/>
            </w:pPr>
            <w:r w:rsidRPr="00973DB0">
              <w:t>5 990,00</w:t>
            </w:r>
          </w:p>
        </w:tc>
        <w:tc>
          <w:tcPr>
            <w:tcW w:w="1701" w:type="dxa"/>
          </w:tcPr>
          <w:p w:rsidR="0017244E" w:rsidRPr="00973DB0" w:rsidRDefault="0017244E" w:rsidP="00FC51C6">
            <w:pPr>
              <w:pStyle w:val="BodyText"/>
              <w:jc w:val="right"/>
            </w:pPr>
            <w:r w:rsidRPr="00973DB0">
              <w:t>7 247,90</w:t>
            </w:r>
          </w:p>
        </w:tc>
        <w:tc>
          <w:tcPr>
            <w:tcW w:w="1843" w:type="dxa"/>
          </w:tcPr>
          <w:p w:rsidR="0017244E" w:rsidRPr="00973DB0" w:rsidRDefault="0017244E" w:rsidP="00FC51C6">
            <w:pPr>
              <w:pStyle w:val="BodyText"/>
              <w:jc w:val="right"/>
            </w:pPr>
            <w:r w:rsidRPr="00973DB0">
              <w:t>1 078 200,00</w:t>
            </w:r>
          </w:p>
        </w:tc>
        <w:tc>
          <w:tcPr>
            <w:tcW w:w="1984" w:type="dxa"/>
          </w:tcPr>
          <w:p w:rsidR="0017244E" w:rsidRPr="00973DB0" w:rsidRDefault="0017244E" w:rsidP="00FC51C6">
            <w:pPr>
              <w:pStyle w:val="BodyText"/>
              <w:jc w:val="right"/>
            </w:pPr>
            <w:r w:rsidRPr="00973DB0">
              <w:t>1 304 622,00</w:t>
            </w:r>
          </w:p>
        </w:tc>
      </w:tr>
      <w:tr w:rsidR="0017244E" w:rsidTr="000B4458">
        <w:tc>
          <w:tcPr>
            <w:tcW w:w="993" w:type="dxa"/>
          </w:tcPr>
          <w:p w:rsidR="0017244E" w:rsidRPr="00973DB0" w:rsidRDefault="0017244E" w:rsidP="0092700F">
            <w:pPr>
              <w:pStyle w:val="BodyText"/>
              <w:rPr>
                <w:b/>
              </w:rPr>
            </w:pPr>
            <w:r w:rsidRPr="00973DB0">
              <w:rPr>
                <w:b/>
              </w:rPr>
              <w:t>Licence</w:t>
            </w:r>
          </w:p>
        </w:tc>
        <w:tc>
          <w:tcPr>
            <w:tcW w:w="708" w:type="dxa"/>
          </w:tcPr>
          <w:p w:rsidR="0017244E" w:rsidRPr="00973DB0" w:rsidRDefault="0017244E" w:rsidP="0092700F">
            <w:pPr>
              <w:pStyle w:val="BodyText"/>
            </w:pPr>
            <w:r w:rsidRPr="00973DB0">
              <w:t>180</w:t>
            </w:r>
          </w:p>
        </w:tc>
        <w:tc>
          <w:tcPr>
            <w:tcW w:w="1843" w:type="dxa"/>
          </w:tcPr>
          <w:p w:rsidR="0017244E" w:rsidRPr="00973DB0" w:rsidRDefault="0017244E" w:rsidP="00FC51C6">
            <w:pPr>
              <w:pStyle w:val="BodyText"/>
              <w:jc w:val="right"/>
            </w:pPr>
            <w:r w:rsidRPr="00973DB0">
              <w:t>870,00</w:t>
            </w:r>
          </w:p>
        </w:tc>
        <w:tc>
          <w:tcPr>
            <w:tcW w:w="1701" w:type="dxa"/>
          </w:tcPr>
          <w:p w:rsidR="0017244E" w:rsidRPr="00973DB0" w:rsidRDefault="0017244E" w:rsidP="00FC51C6">
            <w:pPr>
              <w:pStyle w:val="BodyText"/>
              <w:jc w:val="right"/>
            </w:pPr>
            <w:r w:rsidRPr="00973DB0">
              <w:t>1 052,70</w:t>
            </w:r>
          </w:p>
        </w:tc>
        <w:tc>
          <w:tcPr>
            <w:tcW w:w="1843" w:type="dxa"/>
          </w:tcPr>
          <w:p w:rsidR="0017244E" w:rsidRPr="00973DB0" w:rsidRDefault="0017244E" w:rsidP="00FC51C6">
            <w:pPr>
              <w:pStyle w:val="BodyText"/>
              <w:jc w:val="right"/>
            </w:pPr>
            <w:r w:rsidRPr="00973DB0">
              <w:t>156 600,00</w:t>
            </w:r>
          </w:p>
        </w:tc>
        <w:tc>
          <w:tcPr>
            <w:tcW w:w="1984" w:type="dxa"/>
          </w:tcPr>
          <w:p w:rsidR="0017244E" w:rsidRPr="00973DB0" w:rsidRDefault="0017244E" w:rsidP="00FC51C6">
            <w:pPr>
              <w:pStyle w:val="BodyText"/>
              <w:jc w:val="right"/>
            </w:pPr>
            <w:r w:rsidRPr="00973DB0">
              <w:t>189 486,00</w:t>
            </w:r>
          </w:p>
        </w:tc>
      </w:tr>
      <w:tr w:rsidR="0017244E" w:rsidTr="000B4458">
        <w:tc>
          <w:tcPr>
            <w:tcW w:w="993" w:type="dxa"/>
          </w:tcPr>
          <w:p w:rsidR="0017244E" w:rsidRPr="00973DB0" w:rsidRDefault="0017244E" w:rsidP="0092700F">
            <w:pPr>
              <w:pStyle w:val="BodyText"/>
              <w:rPr>
                <w:b/>
                <w:i/>
              </w:rPr>
            </w:pPr>
            <w:r w:rsidRPr="00973DB0">
              <w:rPr>
                <w:b/>
                <w:i/>
              </w:rPr>
              <w:t>Celkem</w:t>
            </w:r>
          </w:p>
        </w:tc>
        <w:tc>
          <w:tcPr>
            <w:tcW w:w="708" w:type="dxa"/>
            <w:shd w:val="clear" w:color="auto" w:fill="A6A6A6"/>
          </w:tcPr>
          <w:p w:rsidR="0017244E" w:rsidRPr="00973DB0" w:rsidRDefault="0017244E" w:rsidP="0092700F">
            <w:pPr>
              <w:pStyle w:val="BodyText"/>
            </w:pPr>
          </w:p>
        </w:tc>
        <w:tc>
          <w:tcPr>
            <w:tcW w:w="1843" w:type="dxa"/>
            <w:shd w:val="clear" w:color="auto" w:fill="A6A6A6"/>
          </w:tcPr>
          <w:p w:rsidR="0017244E" w:rsidRPr="00973DB0" w:rsidRDefault="0017244E" w:rsidP="0092700F">
            <w:pPr>
              <w:pStyle w:val="BodyText"/>
            </w:pPr>
          </w:p>
        </w:tc>
        <w:tc>
          <w:tcPr>
            <w:tcW w:w="1701" w:type="dxa"/>
            <w:shd w:val="clear" w:color="auto" w:fill="A6A6A6"/>
          </w:tcPr>
          <w:p w:rsidR="0017244E" w:rsidRPr="00973DB0" w:rsidRDefault="0017244E" w:rsidP="0092700F">
            <w:pPr>
              <w:pStyle w:val="BodyText"/>
            </w:pPr>
          </w:p>
        </w:tc>
        <w:tc>
          <w:tcPr>
            <w:tcW w:w="1843" w:type="dxa"/>
          </w:tcPr>
          <w:p w:rsidR="0017244E" w:rsidRPr="00973DB0" w:rsidRDefault="0017244E" w:rsidP="00FC51C6">
            <w:pPr>
              <w:pStyle w:val="BodyText"/>
              <w:jc w:val="right"/>
            </w:pPr>
            <w:r w:rsidRPr="00973DB0">
              <w:t>1 234 800,00</w:t>
            </w:r>
          </w:p>
        </w:tc>
        <w:tc>
          <w:tcPr>
            <w:tcW w:w="1984" w:type="dxa"/>
          </w:tcPr>
          <w:p w:rsidR="0017244E" w:rsidRPr="00973DB0" w:rsidRDefault="0017244E" w:rsidP="00FC51C6">
            <w:pPr>
              <w:pStyle w:val="BodyText"/>
              <w:jc w:val="right"/>
            </w:pPr>
            <w:r w:rsidRPr="00973DB0">
              <w:t>1 494 108,00</w:t>
            </w:r>
          </w:p>
        </w:tc>
      </w:tr>
    </w:tbl>
    <w:p w:rsidR="0017244E" w:rsidRDefault="0017244E" w:rsidP="00D14E4F">
      <w:pPr>
        <w:pStyle w:val="BodyText"/>
      </w:pPr>
      <w:r>
        <w:t xml:space="preserve">               </w:t>
      </w:r>
    </w:p>
    <w:p w:rsidR="0017244E" w:rsidRDefault="0017244E" w:rsidP="00D14E4F">
      <w:pPr>
        <w:pStyle w:val="BodyText"/>
      </w:pPr>
    </w:p>
    <w:p w:rsidR="0017244E" w:rsidRDefault="0017244E" w:rsidP="00D14E4F">
      <w:pPr>
        <w:pStyle w:val="BodyText"/>
      </w:pPr>
    </w:p>
    <w:p w:rsidR="0017244E" w:rsidRDefault="0017244E" w:rsidP="00D14E4F">
      <w:pPr>
        <w:pStyle w:val="BodyText"/>
      </w:pPr>
    </w:p>
    <w:p w:rsidR="0017244E" w:rsidRDefault="0017244E" w:rsidP="00D14E4F">
      <w:pPr>
        <w:pStyle w:val="BodyText"/>
      </w:pPr>
    </w:p>
    <w:p w:rsidR="0017244E" w:rsidRDefault="0017244E" w:rsidP="002C5609">
      <w:pPr>
        <w:tabs>
          <w:tab w:val="left" w:pos="5103"/>
        </w:tabs>
        <w:ind w:left="708" w:hanging="708"/>
        <w:rPr>
          <w:b/>
        </w:rPr>
      </w:pPr>
      <w:r>
        <w:t xml:space="preserve">     …................................................</w:t>
      </w:r>
      <w:r>
        <w:tab/>
        <w:t xml:space="preserve">                  ….............................................             </w:t>
      </w:r>
      <w:r>
        <w:rPr>
          <w:b/>
        </w:rPr>
        <w:t xml:space="preserve">                           </w:t>
      </w:r>
    </w:p>
    <w:p w:rsidR="0017244E" w:rsidRDefault="0017244E" w:rsidP="002C5609">
      <w:pPr>
        <w:tabs>
          <w:tab w:val="left" w:pos="5103"/>
        </w:tabs>
        <w:ind w:left="708" w:hanging="708"/>
        <w:rPr>
          <w:b/>
        </w:rPr>
      </w:pPr>
      <w:r>
        <w:rPr>
          <w:b/>
        </w:rPr>
        <w:t xml:space="preserve">      Globesystem s.r.o.                                                                               Nemocnice ve Frýdku-Místku, p. o.                                                              </w:t>
      </w:r>
    </w:p>
    <w:p w:rsidR="0017244E" w:rsidRDefault="0017244E" w:rsidP="002C5609">
      <w:pPr>
        <w:tabs>
          <w:tab w:val="left" w:pos="5103"/>
        </w:tabs>
        <w:ind w:left="708" w:hanging="708"/>
      </w:pPr>
      <w:r>
        <w:t xml:space="preserve">      Ing. Tomáš Zápařka, jednatel                                                                Ing. Tomáš Stejskal, MBA, ředitel                 </w:t>
      </w:r>
    </w:p>
    <w:p w:rsidR="0017244E" w:rsidRDefault="0017244E" w:rsidP="00D14E4F">
      <w:pPr>
        <w:pStyle w:val="BodyText"/>
      </w:pPr>
      <w:r>
        <w:t xml:space="preserve">    </w:t>
      </w:r>
    </w:p>
    <w:sectPr w:rsidR="0017244E" w:rsidSect="009652BC">
      <w:type w:val="evenPage"/>
      <w:pgSz w:w="11906" w:h="16838"/>
      <w:pgMar w:top="1110" w:right="1417" w:bottom="1276"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44E" w:rsidRDefault="0017244E">
      <w:r>
        <w:separator/>
      </w:r>
    </w:p>
  </w:endnote>
  <w:endnote w:type="continuationSeparator" w:id="0">
    <w:p w:rsidR="0017244E" w:rsidRDefault="0017244E">
      <w:r>
        <w:continuationSeparator/>
      </w:r>
    </w:p>
  </w:endnote>
  <w:endnote w:type="continuationNotice" w:id="1">
    <w:p w:rsidR="0017244E" w:rsidRDefault="0017244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44E" w:rsidRDefault="0017244E">
      <w:r>
        <w:separator/>
      </w:r>
    </w:p>
  </w:footnote>
  <w:footnote w:type="continuationSeparator" w:id="0">
    <w:p w:rsidR="0017244E" w:rsidRDefault="0017244E">
      <w:r>
        <w:continuationSeparator/>
      </w:r>
    </w:p>
  </w:footnote>
  <w:footnote w:type="continuationNotice" w:id="1">
    <w:p w:rsidR="0017244E" w:rsidRDefault="0017244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7F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
    <w:nsid w:val="07DF17F8"/>
    <w:multiLevelType w:val="hybridMultilevel"/>
    <w:tmpl w:val="01B86680"/>
    <w:lvl w:ilvl="0" w:tplc="FFFFFFFF">
      <w:start w:val="1"/>
      <w:numFmt w:val="decimal"/>
      <w:lvlText w:val="%1."/>
      <w:lvlJc w:val="left"/>
      <w:pPr>
        <w:tabs>
          <w:tab w:val="num" w:pos="426"/>
        </w:tabs>
        <w:ind w:left="426" w:hanging="360"/>
      </w:pPr>
      <w:rPr>
        <w:rFonts w:cs="Times New Roman"/>
      </w:rPr>
    </w:lvl>
    <w:lvl w:ilvl="1" w:tplc="FFFFFFFF" w:tentative="1">
      <w:start w:val="1"/>
      <w:numFmt w:val="lowerLetter"/>
      <w:lvlText w:val="%2."/>
      <w:lvlJc w:val="left"/>
      <w:pPr>
        <w:tabs>
          <w:tab w:val="num" w:pos="1146"/>
        </w:tabs>
        <w:ind w:left="1146" w:hanging="360"/>
      </w:pPr>
      <w:rPr>
        <w:rFonts w:cs="Times New Roman"/>
      </w:rPr>
    </w:lvl>
    <w:lvl w:ilvl="2" w:tplc="FFFFFFFF" w:tentative="1">
      <w:start w:val="1"/>
      <w:numFmt w:val="lowerRoman"/>
      <w:lvlText w:val="%3."/>
      <w:lvlJc w:val="right"/>
      <w:pPr>
        <w:tabs>
          <w:tab w:val="num" w:pos="1866"/>
        </w:tabs>
        <w:ind w:left="1866" w:hanging="180"/>
      </w:pPr>
      <w:rPr>
        <w:rFonts w:cs="Times New Roman"/>
      </w:rPr>
    </w:lvl>
    <w:lvl w:ilvl="3" w:tplc="FFFFFFFF" w:tentative="1">
      <w:start w:val="1"/>
      <w:numFmt w:val="decimal"/>
      <w:lvlText w:val="%4."/>
      <w:lvlJc w:val="left"/>
      <w:pPr>
        <w:tabs>
          <w:tab w:val="num" w:pos="2586"/>
        </w:tabs>
        <w:ind w:left="2586" w:hanging="360"/>
      </w:pPr>
      <w:rPr>
        <w:rFonts w:cs="Times New Roman"/>
      </w:rPr>
    </w:lvl>
    <w:lvl w:ilvl="4" w:tplc="FFFFFFFF" w:tentative="1">
      <w:start w:val="1"/>
      <w:numFmt w:val="lowerLetter"/>
      <w:lvlText w:val="%5."/>
      <w:lvlJc w:val="left"/>
      <w:pPr>
        <w:tabs>
          <w:tab w:val="num" w:pos="3306"/>
        </w:tabs>
        <w:ind w:left="3306" w:hanging="360"/>
      </w:pPr>
      <w:rPr>
        <w:rFonts w:cs="Times New Roman"/>
      </w:rPr>
    </w:lvl>
    <w:lvl w:ilvl="5" w:tplc="FFFFFFFF" w:tentative="1">
      <w:start w:val="1"/>
      <w:numFmt w:val="lowerRoman"/>
      <w:lvlText w:val="%6."/>
      <w:lvlJc w:val="right"/>
      <w:pPr>
        <w:tabs>
          <w:tab w:val="num" w:pos="4026"/>
        </w:tabs>
        <w:ind w:left="4026" w:hanging="180"/>
      </w:pPr>
      <w:rPr>
        <w:rFonts w:cs="Times New Roman"/>
      </w:rPr>
    </w:lvl>
    <w:lvl w:ilvl="6" w:tplc="FFFFFFFF" w:tentative="1">
      <w:start w:val="1"/>
      <w:numFmt w:val="decimal"/>
      <w:lvlText w:val="%7."/>
      <w:lvlJc w:val="left"/>
      <w:pPr>
        <w:tabs>
          <w:tab w:val="num" w:pos="4746"/>
        </w:tabs>
        <w:ind w:left="4746" w:hanging="360"/>
      </w:pPr>
      <w:rPr>
        <w:rFonts w:cs="Times New Roman"/>
      </w:rPr>
    </w:lvl>
    <w:lvl w:ilvl="7" w:tplc="FFFFFFFF" w:tentative="1">
      <w:start w:val="1"/>
      <w:numFmt w:val="lowerLetter"/>
      <w:lvlText w:val="%8."/>
      <w:lvlJc w:val="left"/>
      <w:pPr>
        <w:tabs>
          <w:tab w:val="num" w:pos="5466"/>
        </w:tabs>
        <w:ind w:left="5466" w:hanging="360"/>
      </w:pPr>
      <w:rPr>
        <w:rFonts w:cs="Times New Roman"/>
      </w:rPr>
    </w:lvl>
    <w:lvl w:ilvl="8" w:tplc="FFFFFFFF" w:tentative="1">
      <w:start w:val="1"/>
      <w:numFmt w:val="lowerRoman"/>
      <w:lvlText w:val="%9."/>
      <w:lvlJc w:val="right"/>
      <w:pPr>
        <w:tabs>
          <w:tab w:val="num" w:pos="6186"/>
        </w:tabs>
        <w:ind w:left="6186" w:hanging="180"/>
      </w:pPr>
      <w:rPr>
        <w:rFonts w:cs="Times New Roman"/>
      </w:rPr>
    </w:lvl>
  </w:abstractNum>
  <w:abstractNum w:abstractNumId="2">
    <w:nsid w:val="0B2E2383"/>
    <w:multiLevelType w:val="singleLevel"/>
    <w:tmpl w:val="331AEEBE"/>
    <w:lvl w:ilvl="0">
      <w:start w:val="1"/>
      <w:numFmt w:val="decimal"/>
      <w:lvlText w:val="%1."/>
      <w:lvlJc w:val="left"/>
      <w:pPr>
        <w:tabs>
          <w:tab w:val="num" w:pos="600"/>
        </w:tabs>
        <w:ind w:left="600" w:hanging="360"/>
      </w:pPr>
      <w:rPr>
        <w:rFonts w:cs="Times New Roman" w:hint="default"/>
      </w:rPr>
    </w:lvl>
  </w:abstractNum>
  <w:abstractNum w:abstractNumId="3">
    <w:nsid w:val="0BA61A68"/>
    <w:multiLevelType w:val="hybridMultilevel"/>
    <w:tmpl w:val="6E2AC6C4"/>
    <w:lvl w:ilvl="0" w:tplc="CEC852A6">
      <w:start w:val="1"/>
      <w:numFmt w:val="decimal"/>
      <w:lvlText w:val="%1."/>
      <w:lvlJc w:val="left"/>
      <w:pPr>
        <w:tabs>
          <w:tab w:val="num" w:pos="360"/>
        </w:tabs>
        <w:ind w:left="357" w:hanging="357"/>
      </w:pPr>
      <w:rPr>
        <w:rFonts w:cs="Times New Roman" w:hint="default"/>
        <w:b w:val="0"/>
        <w:i w:val="0"/>
      </w:rPr>
    </w:lvl>
    <w:lvl w:ilvl="1" w:tplc="1B16809E" w:tentative="1">
      <w:start w:val="1"/>
      <w:numFmt w:val="lowerLetter"/>
      <w:lvlText w:val="%2."/>
      <w:lvlJc w:val="left"/>
      <w:pPr>
        <w:tabs>
          <w:tab w:val="num" w:pos="1440"/>
        </w:tabs>
        <w:ind w:left="1440" w:hanging="360"/>
      </w:pPr>
      <w:rPr>
        <w:rFonts w:cs="Times New Roman"/>
      </w:rPr>
    </w:lvl>
    <w:lvl w:ilvl="2" w:tplc="9A92741E" w:tentative="1">
      <w:start w:val="1"/>
      <w:numFmt w:val="lowerRoman"/>
      <w:lvlText w:val="%3."/>
      <w:lvlJc w:val="right"/>
      <w:pPr>
        <w:tabs>
          <w:tab w:val="num" w:pos="2160"/>
        </w:tabs>
        <w:ind w:left="2160" w:hanging="180"/>
      </w:pPr>
      <w:rPr>
        <w:rFonts w:cs="Times New Roman"/>
      </w:rPr>
    </w:lvl>
    <w:lvl w:ilvl="3" w:tplc="0274824C" w:tentative="1">
      <w:start w:val="1"/>
      <w:numFmt w:val="decimal"/>
      <w:lvlText w:val="%4."/>
      <w:lvlJc w:val="left"/>
      <w:pPr>
        <w:tabs>
          <w:tab w:val="num" w:pos="2880"/>
        </w:tabs>
        <w:ind w:left="2880" w:hanging="360"/>
      </w:pPr>
      <w:rPr>
        <w:rFonts w:cs="Times New Roman"/>
      </w:rPr>
    </w:lvl>
    <w:lvl w:ilvl="4" w:tplc="2264D8CE" w:tentative="1">
      <w:start w:val="1"/>
      <w:numFmt w:val="lowerLetter"/>
      <w:lvlText w:val="%5."/>
      <w:lvlJc w:val="left"/>
      <w:pPr>
        <w:tabs>
          <w:tab w:val="num" w:pos="3600"/>
        </w:tabs>
        <w:ind w:left="3600" w:hanging="360"/>
      </w:pPr>
      <w:rPr>
        <w:rFonts w:cs="Times New Roman"/>
      </w:rPr>
    </w:lvl>
    <w:lvl w:ilvl="5" w:tplc="183AC762" w:tentative="1">
      <w:start w:val="1"/>
      <w:numFmt w:val="lowerRoman"/>
      <w:lvlText w:val="%6."/>
      <w:lvlJc w:val="right"/>
      <w:pPr>
        <w:tabs>
          <w:tab w:val="num" w:pos="4320"/>
        </w:tabs>
        <w:ind w:left="4320" w:hanging="180"/>
      </w:pPr>
      <w:rPr>
        <w:rFonts w:cs="Times New Roman"/>
      </w:rPr>
    </w:lvl>
    <w:lvl w:ilvl="6" w:tplc="9F040084" w:tentative="1">
      <w:start w:val="1"/>
      <w:numFmt w:val="decimal"/>
      <w:lvlText w:val="%7."/>
      <w:lvlJc w:val="left"/>
      <w:pPr>
        <w:tabs>
          <w:tab w:val="num" w:pos="5040"/>
        </w:tabs>
        <w:ind w:left="5040" w:hanging="360"/>
      </w:pPr>
      <w:rPr>
        <w:rFonts w:cs="Times New Roman"/>
      </w:rPr>
    </w:lvl>
    <w:lvl w:ilvl="7" w:tplc="348C4EB8" w:tentative="1">
      <w:start w:val="1"/>
      <w:numFmt w:val="lowerLetter"/>
      <w:lvlText w:val="%8."/>
      <w:lvlJc w:val="left"/>
      <w:pPr>
        <w:tabs>
          <w:tab w:val="num" w:pos="5760"/>
        </w:tabs>
        <w:ind w:left="5760" w:hanging="360"/>
      </w:pPr>
      <w:rPr>
        <w:rFonts w:cs="Times New Roman"/>
      </w:rPr>
    </w:lvl>
    <w:lvl w:ilvl="8" w:tplc="61C88910" w:tentative="1">
      <w:start w:val="1"/>
      <w:numFmt w:val="lowerRoman"/>
      <w:lvlText w:val="%9."/>
      <w:lvlJc w:val="right"/>
      <w:pPr>
        <w:tabs>
          <w:tab w:val="num" w:pos="6480"/>
        </w:tabs>
        <w:ind w:left="6480" w:hanging="180"/>
      </w:pPr>
      <w:rPr>
        <w:rFonts w:cs="Times New Roman"/>
      </w:rPr>
    </w:lvl>
  </w:abstractNum>
  <w:abstractNum w:abstractNumId="4">
    <w:nsid w:val="1B402748"/>
    <w:multiLevelType w:val="hybridMultilevel"/>
    <w:tmpl w:val="77DE1D20"/>
    <w:lvl w:ilvl="0" w:tplc="D1AE8276">
      <w:start w:val="1"/>
      <w:numFmt w:val="decimal"/>
      <w:lvlText w:val="%1."/>
      <w:lvlJc w:val="left"/>
      <w:pPr>
        <w:tabs>
          <w:tab w:val="num" w:pos="720"/>
        </w:tabs>
        <w:ind w:left="720" w:hanging="360"/>
      </w:pPr>
      <w:rPr>
        <w:rFonts w:cs="Times New Roman" w:hint="default"/>
      </w:rPr>
    </w:lvl>
    <w:lvl w:ilvl="1" w:tplc="75EA286E" w:tentative="1">
      <w:start w:val="1"/>
      <w:numFmt w:val="lowerLetter"/>
      <w:lvlText w:val="%2."/>
      <w:lvlJc w:val="left"/>
      <w:pPr>
        <w:tabs>
          <w:tab w:val="num" w:pos="1440"/>
        </w:tabs>
        <w:ind w:left="1440" w:hanging="360"/>
      </w:pPr>
      <w:rPr>
        <w:rFonts w:cs="Times New Roman"/>
      </w:rPr>
    </w:lvl>
    <w:lvl w:ilvl="2" w:tplc="7AD24BF0" w:tentative="1">
      <w:start w:val="1"/>
      <w:numFmt w:val="lowerRoman"/>
      <w:lvlText w:val="%3."/>
      <w:lvlJc w:val="right"/>
      <w:pPr>
        <w:tabs>
          <w:tab w:val="num" w:pos="2160"/>
        </w:tabs>
        <w:ind w:left="2160" w:hanging="180"/>
      </w:pPr>
      <w:rPr>
        <w:rFonts w:cs="Times New Roman"/>
      </w:rPr>
    </w:lvl>
    <w:lvl w:ilvl="3" w:tplc="B06CA838" w:tentative="1">
      <w:start w:val="1"/>
      <w:numFmt w:val="decimal"/>
      <w:lvlText w:val="%4."/>
      <w:lvlJc w:val="left"/>
      <w:pPr>
        <w:tabs>
          <w:tab w:val="num" w:pos="2880"/>
        </w:tabs>
        <w:ind w:left="2880" w:hanging="360"/>
      </w:pPr>
      <w:rPr>
        <w:rFonts w:cs="Times New Roman"/>
      </w:rPr>
    </w:lvl>
    <w:lvl w:ilvl="4" w:tplc="E320D4AA" w:tentative="1">
      <w:start w:val="1"/>
      <w:numFmt w:val="lowerLetter"/>
      <w:lvlText w:val="%5."/>
      <w:lvlJc w:val="left"/>
      <w:pPr>
        <w:tabs>
          <w:tab w:val="num" w:pos="3600"/>
        </w:tabs>
        <w:ind w:left="3600" w:hanging="360"/>
      </w:pPr>
      <w:rPr>
        <w:rFonts w:cs="Times New Roman"/>
      </w:rPr>
    </w:lvl>
    <w:lvl w:ilvl="5" w:tplc="1602BBAA" w:tentative="1">
      <w:start w:val="1"/>
      <w:numFmt w:val="lowerRoman"/>
      <w:lvlText w:val="%6."/>
      <w:lvlJc w:val="right"/>
      <w:pPr>
        <w:tabs>
          <w:tab w:val="num" w:pos="4320"/>
        </w:tabs>
        <w:ind w:left="4320" w:hanging="180"/>
      </w:pPr>
      <w:rPr>
        <w:rFonts w:cs="Times New Roman"/>
      </w:rPr>
    </w:lvl>
    <w:lvl w:ilvl="6" w:tplc="1A6056D0" w:tentative="1">
      <w:start w:val="1"/>
      <w:numFmt w:val="decimal"/>
      <w:lvlText w:val="%7."/>
      <w:lvlJc w:val="left"/>
      <w:pPr>
        <w:tabs>
          <w:tab w:val="num" w:pos="5040"/>
        </w:tabs>
        <w:ind w:left="5040" w:hanging="360"/>
      </w:pPr>
      <w:rPr>
        <w:rFonts w:cs="Times New Roman"/>
      </w:rPr>
    </w:lvl>
    <w:lvl w:ilvl="7" w:tplc="D32022FC" w:tentative="1">
      <w:start w:val="1"/>
      <w:numFmt w:val="lowerLetter"/>
      <w:lvlText w:val="%8."/>
      <w:lvlJc w:val="left"/>
      <w:pPr>
        <w:tabs>
          <w:tab w:val="num" w:pos="5760"/>
        </w:tabs>
        <w:ind w:left="5760" w:hanging="360"/>
      </w:pPr>
      <w:rPr>
        <w:rFonts w:cs="Times New Roman"/>
      </w:rPr>
    </w:lvl>
    <w:lvl w:ilvl="8" w:tplc="65668F1C" w:tentative="1">
      <w:start w:val="1"/>
      <w:numFmt w:val="lowerRoman"/>
      <w:lvlText w:val="%9."/>
      <w:lvlJc w:val="right"/>
      <w:pPr>
        <w:tabs>
          <w:tab w:val="num" w:pos="6480"/>
        </w:tabs>
        <w:ind w:left="6480" w:hanging="180"/>
      </w:pPr>
      <w:rPr>
        <w:rFonts w:cs="Times New Roman"/>
      </w:rPr>
    </w:lvl>
  </w:abstractNum>
  <w:abstractNum w:abstractNumId="5">
    <w:nsid w:val="388178C2"/>
    <w:multiLevelType w:val="singleLevel"/>
    <w:tmpl w:val="FA288E44"/>
    <w:lvl w:ilvl="0">
      <w:start w:val="1"/>
      <w:numFmt w:val="decimal"/>
      <w:lvlText w:val="%1."/>
      <w:lvlJc w:val="left"/>
      <w:pPr>
        <w:tabs>
          <w:tab w:val="num" w:pos="600"/>
        </w:tabs>
        <w:ind w:left="600" w:hanging="360"/>
      </w:pPr>
      <w:rPr>
        <w:rFonts w:cs="Times New Roman" w:hint="default"/>
      </w:rPr>
    </w:lvl>
  </w:abstractNum>
  <w:abstractNum w:abstractNumId="6">
    <w:nsid w:val="430A06AD"/>
    <w:multiLevelType w:val="hybridMultilevel"/>
    <w:tmpl w:val="7FC8BE42"/>
    <w:lvl w:ilvl="0" w:tplc="FFFFFFFF">
      <w:start w:val="1"/>
      <w:numFmt w:val="decimal"/>
      <w:lvlText w:val="%1."/>
      <w:lvlJc w:val="left"/>
      <w:pPr>
        <w:tabs>
          <w:tab w:val="num" w:pos="426"/>
        </w:tabs>
        <w:ind w:left="426"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6840320"/>
    <w:multiLevelType w:val="hybridMultilevel"/>
    <w:tmpl w:val="D3E6ABBE"/>
    <w:lvl w:ilvl="0" w:tplc="2D569C8A">
      <w:start w:val="3"/>
      <w:numFmt w:val="bullet"/>
      <w:lvlText w:val="-"/>
      <w:lvlJc w:val="left"/>
      <w:pPr>
        <w:tabs>
          <w:tab w:val="num" w:pos="785"/>
        </w:tabs>
        <w:ind w:left="785" w:hanging="360"/>
      </w:pPr>
      <w:rPr>
        <w:rFonts w:ascii="Times New Roman" w:eastAsia="Times New Roman" w:hAnsi="Times New Roman" w:hint="default"/>
      </w:rPr>
    </w:lvl>
    <w:lvl w:ilvl="1" w:tplc="BFCA6050" w:tentative="1">
      <w:start w:val="1"/>
      <w:numFmt w:val="bullet"/>
      <w:lvlText w:val="o"/>
      <w:lvlJc w:val="left"/>
      <w:pPr>
        <w:tabs>
          <w:tab w:val="num" w:pos="1505"/>
        </w:tabs>
        <w:ind w:left="1505" w:hanging="360"/>
      </w:pPr>
      <w:rPr>
        <w:rFonts w:ascii="Courier New" w:hAnsi="Courier New" w:hint="default"/>
      </w:rPr>
    </w:lvl>
    <w:lvl w:ilvl="2" w:tplc="34724488" w:tentative="1">
      <w:start w:val="1"/>
      <w:numFmt w:val="bullet"/>
      <w:lvlText w:val=""/>
      <w:lvlJc w:val="left"/>
      <w:pPr>
        <w:tabs>
          <w:tab w:val="num" w:pos="2225"/>
        </w:tabs>
        <w:ind w:left="2225" w:hanging="360"/>
      </w:pPr>
      <w:rPr>
        <w:rFonts w:ascii="Wingdings" w:hAnsi="Wingdings" w:hint="default"/>
      </w:rPr>
    </w:lvl>
    <w:lvl w:ilvl="3" w:tplc="9A24C04E" w:tentative="1">
      <w:start w:val="1"/>
      <w:numFmt w:val="bullet"/>
      <w:lvlText w:val=""/>
      <w:lvlJc w:val="left"/>
      <w:pPr>
        <w:tabs>
          <w:tab w:val="num" w:pos="2945"/>
        </w:tabs>
        <w:ind w:left="2945" w:hanging="360"/>
      </w:pPr>
      <w:rPr>
        <w:rFonts w:ascii="Symbol" w:hAnsi="Symbol" w:hint="default"/>
      </w:rPr>
    </w:lvl>
    <w:lvl w:ilvl="4" w:tplc="28768208" w:tentative="1">
      <w:start w:val="1"/>
      <w:numFmt w:val="bullet"/>
      <w:lvlText w:val="o"/>
      <w:lvlJc w:val="left"/>
      <w:pPr>
        <w:tabs>
          <w:tab w:val="num" w:pos="3665"/>
        </w:tabs>
        <w:ind w:left="3665" w:hanging="360"/>
      </w:pPr>
      <w:rPr>
        <w:rFonts w:ascii="Courier New" w:hAnsi="Courier New" w:hint="default"/>
      </w:rPr>
    </w:lvl>
    <w:lvl w:ilvl="5" w:tplc="CB32F3CA" w:tentative="1">
      <w:start w:val="1"/>
      <w:numFmt w:val="bullet"/>
      <w:lvlText w:val=""/>
      <w:lvlJc w:val="left"/>
      <w:pPr>
        <w:tabs>
          <w:tab w:val="num" w:pos="4385"/>
        </w:tabs>
        <w:ind w:left="4385" w:hanging="360"/>
      </w:pPr>
      <w:rPr>
        <w:rFonts w:ascii="Wingdings" w:hAnsi="Wingdings" w:hint="default"/>
      </w:rPr>
    </w:lvl>
    <w:lvl w:ilvl="6" w:tplc="15164238" w:tentative="1">
      <w:start w:val="1"/>
      <w:numFmt w:val="bullet"/>
      <w:lvlText w:val=""/>
      <w:lvlJc w:val="left"/>
      <w:pPr>
        <w:tabs>
          <w:tab w:val="num" w:pos="5105"/>
        </w:tabs>
        <w:ind w:left="5105" w:hanging="360"/>
      </w:pPr>
      <w:rPr>
        <w:rFonts w:ascii="Symbol" w:hAnsi="Symbol" w:hint="default"/>
      </w:rPr>
    </w:lvl>
    <w:lvl w:ilvl="7" w:tplc="C1AEEB04" w:tentative="1">
      <w:start w:val="1"/>
      <w:numFmt w:val="bullet"/>
      <w:lvlText w:val="o"/>
      <w:lvlJc w:val="left"/>
      <w:pPr>
        <w:tabs>
          <w:tab w:val="num" w:pos="5825"/>
        </w:tabs>
        <w:ind w:left="5825" w:hanging="360"/>
      </w:pPr>
      <w:rPr>
        <w:rFonts w:ascii="Courier New" w:hAnsi="Courier New" w:hint="default"/>
      </w:rPr>
    </w:lvl>
    <w:lvl w:ilvl="8" w:tplc="8DA8E650" w:tentative="1">
      <w:start w:val="1"/>
      <w:numFmt w:val="bullet"/>
      <w:lvlText w:val=""/>
      <w:lvlJc w:val="left"/>
      <w:pPr>
        <w:tabs>
          <w:tab w:val="num" w:pos="6545"/>
        </w:tabs>
        <w:ind w:left="6545" w:hanging="360"/>
      </w:pPr>
      <w:rPr>
        <w:rFonts w:ascii="Wingdings" w:hAnsi="Wingdings" w:hint="default"/>
      </w:rPr>
    </w:lvl>
  </w:abstractNum>
  <w:abstractNum w:abstractNumId="8">
    <w:nsid w:val="505E5F69"/>
    <w:multiLevelType w:val="multilevel"/>
    <w:tmpl w:val="178CB4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56BB0D1C"/>
    <w:multiLevelType w:val="singleLevel"/>
    <w:tmpl w:val="5DE80E62"/>
    <w:lvl w:ilvl="0">
      <w:start w:val="1"/>
      <w:numFmt w:val="decimal"/>
      <w:lvlText w:val="%1."/>
      <w:lvlJc w:val="left"/>
      <w:pPr>
        <w:tabs>
          <w:tab w:val="num" w:pos="600"/>
        </w:tabs>
        <w:ind w:left="600" w:hanging="360"/>
      </w:pPr>
      <w:rPr>
        <w:rFonts w:cs="Times New Roman" w:hint="default"/>
      </w:rPr>
    </w:lvl>
  </w:abstractNum>
  <w:abstractNum w:abstractNumId="10">
    <w:nsid w:val="5F6F7CD5"/>
    <w:multiLevelType w:val="singleLevel"/>
    <w:tmpl w:val="BA8287C0"/>
    <w:lvl w:ilvl="0">
      <w:start w:val="1"/>
      <w:numFmt w:val="lowerLetter"/>
      <w:lvlText w:val="%1)"/>
      <w:lvlJc w:val="left"/>
      <w:pPr>
        <w:tabs>
          <w:tab w:val="num" w:pos="720"/>
        </w:tabs>
        <w:ind w:left="720" w:hanging="360"/>
      </w:pPr>
      <w:rPr>
        <w:rFonts w:cs="Times New Roman" w:hint="default"/>
      </w:rPr>
    </w:lvl>
  </w:abstractNum>
  <w:abstractNum w:abstractNumId="11">
    <w:nsid w:val="643C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2">
    <w:nsid w:val="725B61C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3">
    <w:nsid w:val="72987194"/>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4">
    <w:nsid w:val="7AA43D1D"/>
    <w:multiLevelType w:val="multilevel"/>
    <w:tmpl w:val="66D6C136"/>
    <w:lvl w:ilvl="0">
      <w:start w:val="2"/>
      <w:numFmt w:val="bullet"/>
      <w:lvlText w:val="-"/>
      <w:lvlJc w:val="left"/>
      <w:pPr>
        <w:ind w:left="720" w:hanging="360"/>
      </w:pPr>
      <w:rPr>
        <w:rFonts w:ascii="Arial" w:hAnsi="Arial" w:hint="default"/>
        <w:sz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2"/>
  </w:num>
  <w:num w:numId="3">
    <w:abstractNumId w:val="5"/>
  </w:num>
  <w:num w:numId="4">
    <w:abstractNumId w:val="0"/>
  </w:num>
  <w:num w:numId="5">
    <w:abstractNumId w:val="10"/>
  </w:num>
  <w:num w:numId="6">
    <w:abstractNumId w:val="12"/>
  </w:num>
  <w:num w:numId="7">
    <w:abstractNumId w:val="11"/>
  </w:num>
  <w:num w:numId="8">
    <w:abstractNumId w:val="1"/>
  </w:num>
  <w:num w:numId="9">
    <w:abstractNumId w:val="13"/>
  </w:num>
  <w:num w:numId="10">
    <w:abstractNumId w:val="4"/>
  </w:num>
  <w:num w:numId="11">
    <w:abstractNumId w:val="7"/>
  </w:num>
  <w:num w:numId="12">
    <w:abstractNumId w:val="3"/>
  </w:num>
  <w:num w:numId="13">
    <w:abstractNumId w:val="14"/>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09B2"/>
    <w:rsid w:val="00022E77"/>
    <w:rsid w:val="000B4458"/>
    <w:rsid w:val="000B4C2E"/>
    <w:rsid w:val="000F508D"/>
    <w:rsid w:val="000F6D97"/>
    <w:rsid w:val="00103C93"/>
    <w:rsid w:val="0017244E"/>
    <w:rsid w:val="00180CD5"/>
    <w:rsid w:val="001A7B4F"/>
    <w:rsid w:val="001D454E"/>
    <w:rsid w:val="001F0690"/>
    <w:rsid w:val="002C5609"/>
    <w:rsid w:val="003050AB"/>
    <w:rsid w:val="003110AC"/>
    <w:rsid w:val="0034578E"/>
    <w:rsid w:val="00390D1F"/>
    <w:rsid w:val="003A2B01"/>
    <w:rsid w:val="003B1CB0"/>
    <w:rsid w:val="004076C2"/>
    <w:rsid w:val="0041061B"/>
    <w:rsid w:val="00476AFC"/>
    <w:rsid w:val="004C5F17"/>
    <w:rsid w:val="004D4E01"/>
    <w:rsid w:val="00532FCC"/>
    <w:rsid w:val="00597B5B"/>
    <w:rsid w:val="00615E3C"/>
    <w:rsid w:val="00641FF3"/>
    <w:rsid w:val="007422C0"/>
    <w:rsid w:val="00763731"/>
    <w:rsid w:val="00777D8F"/>
    <w:rsid w:val="007C5EB7"/>
    <w:rsid w:val="007D3956"/>
    <w:rsid w:val="00830577"/>
    <w:rsid w:val="008909B2"/>
    <w:rsid w:val="008937E7"/>
    <w:rsid w:val="008A7437"/>
    <w:rsid w:val="008F1CB9"/>
    <w:rsid w:val="0092700F"/>
    <w:rsid w:val="00951FC8"/>
    <w:rsid w:val="009652BC"/>
    <w:rsid w:val="00973DB0"/>
    <w:rsid w:val="00977D93"/>
    <w:rsid w:val="0098211C"/>
    <w:rsid w:val="009921FA"/>
    <w:rsid w:val="00995F88"/>
    <w:rsid w:val="009974C2"/>
    <w:rsid w:val="009B2BD9"/>
    <w:rsid w:val="009D6904"/>
    <w:rsid w:val="00A16C96"/>
    <w:rsid w:val="00A25673"/>
    <w:rsid w:val="00A866F6"/>
    <w:rsid w:val="00AE550C"/>
    <w:rsid w:val="00B96D8C"/>
    <w:rsid w:val="00BE4EC9"/>
    <w:rsid w:val="00C0538B"/>
    <w:rsid w:val="00C43F17"/>
    <w:rsid w:val="00C73FFB"/>
    <w:rsid w:val="00CC7051"/>
    <w:rsid w:val="00D14E4F"/>
    <w:rsid w:val="00DB0632"/>
    <w:rsid w:val="00DF4AB3"/>
    <w:rsid w:val="00E051F3"/>
    <w:rsid w:val="00E228DF"/>
    <w:rsid w:val="00EA58E6"/>
    <w:rsid w:val="00EE0DCB"/>
    <w:rsid w:val="00EE7B23"/>
    <w:rsid w:val="00F319A8"/>
    <w:rsid w:val="00F56436"/>
    <w:rsid w:val="00F62855"/>
    <w:rsid w:val="00FB108E"/>
    <w:rsid w:val="00FC51C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D9"/>
    <w:rPr>
      <w:sz w:val="20"/>
      <w:szCs w:val="20"/>
    </w:rPr>
  </w:style>
  <w:style w:type="paragraph" w:styleId="Heading1">
    <w:name w:val="heading 1"/>
    <w:basedOn w:val="Normal"/>
    <w:next w:val="Normal"/>
    <w:link w:val="Heading1Char"/>
    <w:uiPriority w:val="99"/>
    <w:qFormat/>
    <w:rsid w:val="009B2BD9"/>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B2BD9"/>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9B2BD9"/>
    <w:pPr>
      <w:keepNext/>
      <w:jc w:val="center"/>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6C96"/>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A16C96"/>
    <w:rPr>
      <w:rFonts w:ascii="Cambria" w:hAnsi="Cambria" w:cs="Times New Roman"/>
      <w:b/>
      <w:i/>
      <w:sz w:val="28"/>
    </w:rPr>
  </w:style>
  <w:style w:type="character" w:customStyle="1" w:styleId="Heading3Char">
    <w:name w:val="Heading 3 Char"/>
    <w:basedOn w:val="DefaultParagraphFont"/>
    <w:link w:val="Heading3"/>
    <w:uiPriority w:val="99"/>
    <w:semiHidden/>
    <w:locked/>
    <w:rsid w:val="00A16C96"/>
    <w:rPr>
      <w:rFonts w:ascii="Cambria" w:hAnsi="Cambria" w:cs="Times New Roman"/>
      <w:b/>
      <w:sz w:val="26"/>
    </w:rPr>
  </w:style>
  <w:style w:type="paragraph" w:styleId="BodyText">
    <w:name w:val="Body Text"/>
    <w:basedOn w:val="Normal"/>
    <w:link w:val="BodyTextChar"/>
    <w:uiPriority w:val="99"/>
    <w:rsid w:val="009B2BD9"/>
    <w:pPr>
      <w:jc w:val="both"/>
    </w:pPr>
  </w:style>
  <w:style w:type="character" w:customStyle="1" w:styleId="BodyTextChar">
    <w:name w:val="Body Text Char"/>
    <w:basedOn w:val="DefaultParagraphFont"/>
    <w:link w:val="BodyText"/>
    <w:uiPriority w:val="99"/>
    <w:semiHidden/>
    <w:locked/>
    <w:rsid w:val="00A16C96"/>
    <w:rPr>
      <w:rFonts w:cs="Times New Roman"/>
      <w:sz w:val="20"/>
    </w:rPr>
  </w:style>
  <w:style w:type="paragraph" w:styleId="Footer">
    <w:name w:val="footer"/>
    <w:basedOn w:val="Normal"/>
    <w:link w:val="FooterChar"/>
    <w:uiPriority w:val="99"/>
    <w:rsid w:val="009B2BD9"/>
    <w:pPr>
      <w:tabs>
        <w:tab w:val="center" w:pos="4536"/>
        <w:tab w:val="right" w:pos="9072"/>
      </w:tabs>
    </w:pPr>
  </w:style>
  <w:style w:type="character" w:customStyle="1" w:styleId="FooterChar">
    <w:name w:val="Footer Char"/>
    <w:basedOn w:val="DefaultParagraphFont"/>
    <w:link w:val="Footer"/>
    <w:uiPriority w:val="99"/>
    <w:semiHidden/>
    <w:locked/>
    <w:rsid w:val="00A16C96"/>
    <w:rPr>
      <w:rFonts w:cs="Times New Roman"/>
      <w:sz w:val="20"/>
    </w:rPr>
  </w:style>
  <w:style w:type="character" w:styleId="PageNumber">
    <w:name w:val="page number"/>
    <w:basedOn w:val="DefaultParagraphFont"/>
    <w:uiPriority w:val="99"/>
    <w:rsid w:val="009B2BD9"/>
    <w:rPr>
      <w:rFonts w:cs="Times New Roman"/>
    </w:rPr>
  </w:style>
  <w:style w:type="paragraph" w:styleId="DocumentMap">
    <w:name w:val="Document Map"/>
    <w:basedOn w:val="Normal"/>
    <w:link w:val="DocumentMapChar"/>
    <w:uiPriority w:val="99"/>
    <w:semiHidden/>
    <w:rsid w:val="009B2BD9"/>
    <w:pPr>
      <w:shd w:val="clear" w:color="auto" w:fill="000080"/>
    </w:pPr>
    <w:rPr>
      <w:sz w:val="2"/>
    </w:rPr>
  </w:style>
  <w:style w:type="character" w:customStyle="1" w:styleId="DocumentMapChar">
    <w:name w:val="Document Map Char"/>
    <w:basedOn w:val="DefaultParagraphFont"/>
    <w:link w:val="DocumentMap"/>
    <w:uiPriority w:val="99"/>
    <w:semiHidden/>
    <w:locked/>
    <w:rsid w:val="00A16C96"/>
    <w:rPr>
      <w:rFonts w:cs="Times New Roman"/>
      <w:sz w:val="2"/>
    </w:rPr>
  </w:style>
  <w:style w:type="paragraph" w:styleId="Header">
    <w:name w:val="header"/>
    <w:basedOn w:val="Normal"/>
    <w:link w:val="HeaderChar"/>
    <w:uiPriority w:val="99"/>
    <w:rsid w:val="009B2BD9"/>
    <w:pPr>
      <w:tabs>
        <w:tab w:val="center" w:pos="4536"/>
        <w:tab w:val="right" w:pos="9072"/>
      </w:tabs>
    </w:pPr>
  </w:style>
  <w:style w:type="character" w:customStyle="1" w:styleId="HeaderChar">
    <w:name w:val="Header Char"/>
    <w:basedOn w:val="DefaultParagraphFont"/>
    <w:link w:val="Header"/>
    <w:uiPriority w:val="99"/>
    <w:semiHidden/>
    <w:locked/>
    <w:rsid w:val="00A16C96"/>
    <w:rPr>
      <w:rFonts w:cs="Times New Roman"/>
      <w:sz w:val="20"/>
    </w:rPr>
  </w:style>
  <w:style w:type="character" w:styleId="Hyperlink">
    <w:name w:val="Hyperlink"/>
    <w:basedOn w:val="DefaultParagraphFont"/>
    <w:uiPriority w:val="99"/>
    <w:rsid w:val="009B2BD9"/>
    <w:rPr>
      <w:rFonts w:cs="Times New Roman"/>
      <w:color w:val="0000FF"/>
      <w:u w:val="single"/>
    </w:rPr>
  </w:style>
  <w:style w:type="paragraph" w:styleId="BalloonText">
    <w:name w:val="Balloon Text"/>
    <w:basedOn w:val="Normal"/>
    <w:link w:val="BalloonTextChar"/>
    <w:uiPriority w:val="99"/>
    <w:semiHidden/>
    <w:rsid w:val="009B2BD9"/>
    <w:rPr>
      <w:sz w:val="2"/>
    </w:rPr>
  </w:style>
  <w:style w:type="character" w:customStyle="1" w:styleId="BalloonTextChar">
    <w:name w:val="Balloon Text Char"/>
    <w:basedOn w:val="DefaultParagraphFont"/>
    <w:link w:val="BalloonText"/>
    <w:uiPriority w:val="99"/>
    <w:semiHidden/>
    <w:locked/>
    <w:rsid w:val="00A16C96"/>
    <w:rPr>
      <w:rFonts w:cs="Times New Roman"/>
      <w:sz w:val="2"/>
    </w:rPr>
  </w:style>
  <w:style w:type="character" w:customStyle="1" w:styleId="TextbublinyChar">
    <w:name w:val="Text bubliny Char"/>
    <w:uiPriority w:val="99"/>
    <w:semiHidden/>
    <w:rsid w:val="009B2BD9"/>
    <w:rPr>
      <w:rFonts w:ascii="Tahoma" w:hAnsi="Tahoma"/>
      <w:sz w:val="16"/>
    </w:rPr>
  </w:style>
  <w:style w:type="paragraph" w:styleId="BodyText2">
    <w:name w:val="Body Text 2"/>
    <w:basedOn w:val="Normal"/>
    <w:link w:val="BodyText2Char"/>
    <w:uiPriority w:val="99"/>
    <w:rsid w:val="009B2BD9"/>
    <w:pPr>
      <w:spacing w:after="120" w:line="480" w:lineRule="auto"/>
    </w:pPr>
  </w:style>
  <w:style w:type="character" w:customStyle="1" w:styleId="BodyText2Char">
    <w:name w:val="Body Text 2 Char"/>
    <w:basedOn w:val="DefaultParagraphFont"/>
    <w:link w:val="BodyText2"/>
    <w:uiPriority w:val="99"/>
    <w:semiHidden/>
    <w:locked/>
    <w:rsid w:val="00A16C96"/>
    <w:rPr>
      <w:rFonts w:cs="Times New Roman"/>
      <w:sz w:val="20"/>
    </w:rPr>
  </w:style>
  <w:style w:type="paragraph" w:customStyle="1" w:styleId="Smlouva-slo">
    <w:name w:val="Smlouva-číslo"/>
    <w:basedOn w:val="Normal"/>
    <w:uiPriority w:val="99"/>
    <w:rsid w:val="009B2BD9"/>
    <w:pPr>
      <w:widowControl w:val="0"/>
      <w:spacing w:before="120" w:line="240" w:lineRule="atLeast"/>
      <w:jc w:val="both"/>
    </w:pPr>
    <w:rPr>
      <w:sz w:val="24"/>
    </w:rPr>
  </w:style>
  <w:style w:type="character" w:customStyle="1" w:styleId="Nevyeenzmnka1">
    <w:name w:val="Nevyřešená zmínka1"/>
    <w:uiPriority w:val="99"/>
    <w:semiHidden/>
    <w:rsid w:val="009974C2"/>
    <w:rPr>
      <w:color w:val="605E5C"/>
      <w:shd w:val="clear" w:color="auto" w:fill="E1DFDD"/>
    </w:rPr>
  </w:style>
  <w:style w:type="table" w:styleId="TableGrid">
    <w:name w:val="Table Grid"/>
    <w:basedOn w:val="TableNormal"/>
    <w:uiPriority w:val="99"/>
    <w:rsid w:val="009270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9652BC"/>
    <w:rPr>
      <w:rFonts w:cs="Times New Roman"/>
      <w:sz w:val="16"/>
    </w:rPr>
  </w:style>
  <w:style w:type="paragraph" w:styleId="CommentText">
    <w:name w:val="annotation text"/>
    <w:basedOn w:val="Normal"/>
    <w:link w:val="CommentTextChar"/>
    <w:uiPriority w:val="99"/>
    <w:rsid w:val="009652BC"/>
  </w:style>
  <w:style w:type="character" w:customStyle="1" w:styleId="CommentTextChar">
    <w:name w:val="Comment Text Char"/>
    <w:basedOn w:val="DefaultParagraphFont"/>
    <w:link w:val="CommentText"/>
    <w:uiPriority w:val="99"/>
    <w:locked/>
    <w:rsid w:val="009652BC"/>
    <w:rPr>
      <w:rFonts w:cs="Times New Roman"/>
    </w:rPr>
  </w:style>
  <w:style w:type="paragraph" w:customStyle="1" w:styleId="Default">
    <w:name w:val="Default"/>
    <w:uiPriority w:val="99"/>
    <w:rsid w:val="009652B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14E4F"/>
    <w:rPr>
      <w:sz w:val="20"/>
      <w:szCs w:val="20"/>
    </w:rPr>
  </w:style>
  <w:style w:type="character" w:customStyle="1" w:styleId="UnresolvedMention">
    <w:name w:val="Unresolved Mention"/>
    <w:uiPriority w:val="99"/>
    <w:semiHidden/>
    <w:rsid w:val="00103C9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76711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hp.com/cz-cs/drivers/selfservice/hp-elitedesk-800-g2-small-form-factor-pc/7633277/model/76332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1943</Words>
  <Characters>11468</Characters>
  <Application>Microsoft Office Outlook</Application>
  <DocSecurity>0</DocSecurity>
  <Lines>0</Lines>
  <Paragraphs>0</Paragraphs>
  <ScaleCrop>false</ScaleCrop>
  <Company>Nemocnice ve Frýdku-Místku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Právní služba</dc:creator>
  <cp:keywords/>
  <dc:description/>
  <cp:lastModifiedBy>KnezkovaA</cp:lastModifiedBy>
  <cp:revision>3</cp:revision>
  <cp:lastPrinted>2014-11-07T09:03:00Z</cp:lastPrinted>
  <dcterms:created xsi:type="dcterms:W3CDTF">2020-11-18T08:35:00Z</dcterms:created>
  <dcterms:modified xsi:type="dcterms:W3CDTF">2020-11-24T10:08:00Z</dcterms:modified>
</cp:coreProperties>
</file>