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AF451" w14:textId="471ABAFB" w:rsidR="00776477" w:rsidRPr="007324D3" w:rsidRDefault="00FB1A62" w:rsidP="00776477">
      <w:pPr>
        <w:autoSpaceDE w:val="0"/>
        <w:autoSpaceDN w:val="0"/>
        <w:adjustRightInd w:val="0"/>
        <w:jc w:val="center"/>
        <w:rPr>
          <w:rFonts w:ascii="RotisSerif" w:hAnsi="RotisSerif" w:cs="Arial"/>
          <w:b/>
          <w:bCs/>
        </w:rPr>
      </w:pPr>
      <w:r w:rsidRPr="007324D3">
        <w:rPr>
          <w:rFonts w:ascii="RotisSerif" w:hAnsi="RotisSerif" w:cs="Arial"/>
          <w:b/>
          <w:bCs/>
        </w:rPr>
        <w:t xml:space="preserve">SMLOUVA O POSKYTNUTÍ </w:t>
      </w:r>
      <w:r w:rsidR="00796CF4" w:rsidRPr="007324D3">
        <w:rPr>
          <w:rFonts w:ascii="RotisSerif" w:hAnsi="RotisSerif" w:cs="Arial"/>
          <w:b/>
          <w:bCs/>
        </w:rPr>
        <w:t xml:space="preserve">NEADRESNÉHO </w:t>
      </w:r>
      <w:r w:rsidRPr="007324D3">
        <w:rPr>
          <w:rFonts w:ascii="RotisSerif" w:hAnsi="RotisSerif" w:cs="Arial"/>
          <w:b/>
          <w:bCs/>
        </w:rPr>
        <w:t>FINANČNÍHO BONUSU</w:t>
      </w:r>
    </w:p>
    <w:p w14:paraId="02ABA9F6" w14:textId="71E6455A" w:rsidR="00776477" w:rsidRPr="007324D3" w:rsidRDefault="001B3AD4" w:rsidP="003F7368">
      <w:pPr>
        <w:autoSpaceDE w:val="0"/>
        <w:autoSpaceDN w:val="0"/>
        <w:adjustRightInd w:val="0"/>
        <w:spacing w:after="480"/>
        <w:jc w:val="center"/>
        <w:rPr>
          <w:rFonts w:ascii="RotisSerif" w:hAnsi="RotisSerif" w:cs="Arial"/>
          <w:b/>
          <w:bCs/>
        </w:rPr>
      </w:pPr>
      <w:r w:rsidRPr="007324D3">
        <w:rPr>
          <w:rFonts w:ascii="RotisSerif" w:hAnsi="RotisSerif" w:cs="Arial"/>
          <w:b/>
          <w:bCs/>
        </w:rPr>
        <w:t>č.</w:t>
      </w:r>
      <w:r w:rsidR="00785DF4">
        <w:rPr>
          <w:rFonts w:ascii="RotisSerif" w:hAnsi="RotisSerif" w:cs="Arial"/>
          <w:b/>
          <w:bCs/>
        </w:rPr>
        <w:t xml:space="preserve"> </w:t>
      </w:r>
      <w:r w:rsidR="00665D43">
        <w:rPr>
          <w:rFonts w:ascii="RotisSerif" w:hAnsi="RotisSerif" w:cs="Arial"/>
          <w:b/>
          <w:bCs/>
        </w:rPr>
        <w:t>2011011</w:t>
      </w:r>
    </w:p>
    <w:p w14:paraId="42495A95" w14:textId="77777777" w:rsidR="00776477" w:rsidRPr="007324D3" w:rsidRDefault="00776477" w:rsidP="007324D3">
      <w:pPr>
        <w:autoSpaceDE w:val="0"/>
        <w:autoSpaceDN w:val="0"/>
        <w:adjustRightInd w:val="0"/>
        <w:spacing w:after="180"/>
        <w:rPr>
          <w:rFonts w:ascii="RotisSerif" w:hAnsi="RotisSerif" w:cs="Arial"/>
          <w:u w:val="single"/>
        </w:rPr>
      </w:pPr>
      <w:r w:rsidRPr="007324D3">
        <w:rPr>
          <w:rFonts w:ascii="RotisSerif" w:hAnsi="RotisSerif" w:cs="Arial"/>
          <w:u w:val="single"/>
        </w:rPr>
        <w:t>Smluvní strany:</w:t>
      </w:r>
    </w:p>
    <w:p w14:paraId="0B296251" w14:textId="77777777" w:rsidR="00FB1A62" w:rsidRPr="007324D3" w:rsidRDefault="00FB1A62" w:rsidP="007324D3">
      <w:pPr>
        <w:rPr>
          <w:rFonts w:ascii="RotisSerif" w:hAnsi="RotisSerif"/>
          <w:b/>
        </w:rPr>
      </w:pPr>
      <w:r w:rsidRPr="007324D3">
        <w:rPr>
          <w:rFonts w:ascii="RotisSerif" w:hAnsi="RotisSerif"/>
          <w:b/>
        </w:rPr>
        <w:t xml:space="preserve">B. Braun </w:t>
      </w:r>
      <w:proofErr w:type="spellStart"/>
      <w:r w:rsidRPr="007324D3">
        <w:rPr>
          <w:rFonts w:ascii="RotisSerif" w:hAnsi="RotisSerif"/>
          <w:b/>
        </w:rPr>
        <w:t>Medical</w:t>
      </w:r>
      <w:proofErr w:type="spellEnd"/>
      <w:r w:rsidRPr="007324D3">
        <w:rPr>
          <w:rFonts w:ascii="RotisSerif" w:hAnsi="RotisSerif"/>
          <w:b/>
        </w:rPr>
        <w:t xml:space="preserve"> s.r.o.</w:t>
      </w:r>
    </w:p>
    <w:p w14:paraId="4DAD7E8A" w14:textId="77777777" w:rsidR="00FB1A62" w:rsidRPr="007324D3" w:rsidRDefault="00FB1A62" w:rsidP="007324D3">
      <w:pPr>
        <w:rPr>
          <w:rFonts w:ascii="RotisSerif" w:hAnsi="RotisSerif"/>
        </w:rPr>
      </w:pPr>
      <w:r w:rsidRPr="007324D3">
        <w:rPr>
          <w:rFonts w:ascii="RotisSerif" w:hAnsi="RotisSerif"/>
        </w:rPr>
        <w:t>se sídlem: V Parku 2335/20, 148 00 Praha 4</w:t>
      </w:r>
    </w:p>
    <w:p w14:paraId="13DC480E" w14:textId="77777777" w:rsidR="00FB1A62" w:rsidRPr="007324D3" w:rsidRDefault="00FB1A62" w:rsidP="007324D3">
      <w:pPr>
        <w:rPr>
          <w:rFonts w:ascii="RotisSerif" w:hAnsi="RotisSerif"/>
        </w:rPr>
      </w:pPr>
      <w:r w:rsidRPr="007324D3">
        <w:rPr>
          <w:rFonts w:ascii="RotisSerif" w:hAnsi="RotisSerif"/>
        </w:rPr>
        <w:t>IČ: 48586285</w:t>
      </w:r>
    </w:p>
    <w:p w14:paraId="04C50559" w14:textId="77777777" w:rsidR="00FB1A62" w:rsidRPr="007324D3" w:rsidRDefault="00FB1A62" w:rsidP="007324D3">
      <w:pPr>
        <w:rPr>
          <w:rFonts w:ascii="RotisSerif" w:hAnsi="RotisSerif"/>
        </w:rPr>
      </w:pPr>
      <w:r w:rsidRPr="007324D3">
        <w:rPr>
          <w:rFonts w:ascii="RotisSerif" w:hAnsi="RotisSerif"/>
        </w:rPr>
        <w:t>DIČ: CZ48586285</w:t>
      </w:r>
    </w:p>
    <w:p w14:paraId="156AED05" w14:textId="79A01D5E" w:rsidR="00FB1A62" w:rsidRPr="007324D3" w:rsidRDefault="007324D3" w:rsidP="007324D3">
      <w:pPr>
        <w:rPr>
          <w:rFonts w:ascii="RotisSerif" w:hAnsi="RotisSerif"/>
          <w:color w:val="808080"/>
        </w:rPr>
      </w:pPr>
      <w:r>
        <w:rPr>
          <w:rFonts w:ascii="RotisSerif" w:hAnsi="RotisSerif"/>
        </w:rPr>
        <w:t>již zastupuje</w:t>
      </w:r>
      <w:r w:rsidR="00FB1A62" w:rsidRPr="007324D3">
        <w:rPr>
          <w:rFonts w:ascii="RotisSerif" w:hAnsi="RotisSerif"/>
        </w:rPr>
        <w:t xml:space="preserve">: </w:t>
      </w:r>
      <w:r>
        <w:rPr>
          <w:rFonts w:ascii="RotisSerif" w:hAnsi="RotisSerif"/>
        </w:rPr>
        <w:t xml:space="preserve">MUDr. Alan </w:t>
      </w:r>
      <w:proofErr w:type="spellStart"/>
      <w:r>
        <w:rPr>
          <w:rFonts w:ascii="RotisSerif" w:hAnsi="RotisSerif"/>
        </w:rPr>
        <w:t>Munteanu</w:t>
      </w:r>
      <w:proofErr w:type="spellEnd"/>
      <w:r>
        <w:rPr>
          <w:rFonts w:ascii="RotisSerif" w:hAnsi="RotisSerif"/>
        </w:rPr>
        <w:t xml:space="preserve">, ředitel divize </w:t>
      </w:r>
      <w:proofErr w:type="spellStart"/>
      <w:r>
        <w:rPr>
          <w:rFonts w:ascii="RotisSerif" w:hAnsi="RotisSerif"/>
        </w:rPr>
        <w:t>Aesculap</w:t>
      </w:r>
      <w:proofErr w:type="spellEnd"/>
    </w:p>
    <w:p w14:paraId="7C356E1B" w14:textId="77777777" w:rsidR="007324D3" w:rsidRPr="007324D3" w:rsidRDefault="007324D3" w:rsidP="007324D3">
      <w:pPr>
        <w:rPr>
          <w:rFonts w:ascii="RotisSerif" w:hAnsi="RotisSerif"/>
        </w:rPr>
      </w:pPr>
      <w:r w:rsidRPr="007324D3">
        <w:rPr>
          <w:rFonts w:ascii="RotisSerif" w:hAnsi="RotisSerif"/>
        </w:rPr>
        <w:t>spisová značka: Městský soud v Praze, oddíl C, vložka 17893</w:t>
      </w:r>
    </w:p>
    <w:p w14:paraId="28CDE9A9" w14:textId="77777777" w:rsidR="007324D3" w:rsidRPr="007324D3" w:rsidRDefault="007324D3" w:rsidP="007324D3">
      <w:pPr>
        <w:rPr>
          <w:rFonts w:ascii="RotisSerif" w:hAnsi="RotisSerif"/>
        </w:rPr>
      </w:pPr>
      <w:r w:rsidRPr="007324D3">
        <w:rPr>
          <w:rFonts w:ascii="RotisSerif" w:hAnsi="RotisSerif"/>
        </w:rPr>
        <w:t xml:space="preserve">bankovní spojení: </w:t>
      </w:r>
      <w:proofErr w:type="spellStart"/>
      <w:r w:rsidRPr="007324D3">
        <w:rPr>
          <w:rFonts w:ascii="RotisSerif" w:hAnsi="RotisSerif"/>
        </w:rPr>
        <w:t>UniCredit</w:t>
      </w:r>
      <w:proofErr w:type="spellEnd"/>
      <w:r w:rsidRPr="007324D3">
        <w:rPr>
          <w:rFonts w:ascii="RotisSerif" w:hAnsi="RotisSerif"/>
        </w:rPr>
        <w:t xml:space="preserve"> Bank Czech Republic and Slovakia, a.s.</w:t>
      </w:r>
    </w:p>
    <w:p w14:paraId="3F68DBD4" w14:textId="7E89C8F0" w:rsidR="007324D3" w:rsidRDefault="007324D3" w:rsidP="007324D3">
      <w:pPr>
        <w:rPr>
          <w:rFonts w:ascii="RotisSerif" w:hAnsi="RotisSerif"/>
        </w:rPr>
      </w:pPr>
      <w:r w:rsidRPr="007324D3">
        <w:rPr>
          <w:rFonts w:ascii="RotisSerif" w:hAnsi="RotisSerif"/>
        </w:rPr>
        <w:t>č. účtu: 515293009/2700</w:t>
      </w:r>
    </w:p>
    <w:p w14:paraId="0EA6A95E" w14:textId="0CE99FB2" w:rsidR="00FB1A62" w:rsidRPr="007324D3" w:rsidRDefault="00FB1A62" w:rsidP="007324D3">
      <w:pPr>
        <w:pStyle w:val="Zkladntext"/>
        <w:jc w:val="left"/>
        <w:rPr>
          <w:rFonts w:ascii="RotisSerif" w:hAnsi="RotisSerif"/>
          <w:szCs w:val="24"/>
        </w:rPr>
      </w:pPr>
      <w:r w:rsidRPr="007324D3">
        <w:rPr>
          <w:rFonts w:ascii="RotisSerif" w:hAnsi="RotisSerif"/>
          <w:szCs w:val="24"/>
        </w:rPr>
        <w:t>(dále jen „</w:t>
      </w:r>
      <w:r w:rsidRPr="007324D3">
        <w:rPr>
          <w:rFonts w:ascii="RotisSerif" w:hAnsi="RotisSerif"/>
          <w:b/>
          <w:szCs w:val="24"/>
        </w:rPr>
        <w:t>prodávající</w:t>
      </w:r>
      <w:r w:rsidR="00796CF4" w:rsidRPr="007324D3">
        <w:rPr>
          <w:rFonts w:ascii="RotisSerif" w:hAnsi="RotisSerif"/>
          <w:szCs w:val="24"/>
        </w:rPr>
        <w:t>“</w:t>
      </w:r>
      <w:r w:rsidRPr="007324D3">
        <w:rPr>
          <w:rFonts w:ascii="RotisSerif" w:hAnsi="RotisSerif"/>
          <w:szCs w:val="24"/>
        </w:rPr>
        <w:t>)</w:t>
      </w:r>
    </w:p>
    <w:p w14:paraId="0EBA744B" w14:textId="77777777" w:rsidR="00FB1A62" w:rsidRPr="007324D3" w:rsidRDefault="00FB1A62" w:rsidP="007324D3">
      <w:pPr>
        <w:spacing w:before="180" w:after="180"/>
        <w:rPr>
          <w:rFonts w:ascii="RotisSerif" w:hAnsi="RotisSerif"/>
        </w:rPr>
      </w:pPr>
      <w:r w:rsidRPr="007324D3">
        <w:rPr>
          <w:rFonts w:ascii="RotisSerif" w:hAnsi="RotisSerif"/>
        </w:rPr>
        <w:t>a</w:t>
      </w:r>
    </w:p>
    <w:p w14:paraId="468657BB" w14:textId="0399F100" w:rsidR="00FB1A62" w:rsidRPr="007324D3" w:rsidRDefault="007324D3" w:rsidP="007324D3">
      <w:pPr>
        <w:autoSpaceDE w:val="0"/>
        <w:autoSpaceDN w:val="0"/>
        <w:adjustRightInd w:val="0"/>
        <w:rPr>
          <w:rFonts w:ascii="RotisSerif" w:hAnsi="RotisSerif" w:cs="Arial"/>
          <w:b/>
        </w:rPr>
      </w:pPr>
      <w:r w:rsidRPr="007324D3">
        <w:rPr>
          <w:rFonts w:ascii="RotisSerif" w:hAnsi="RotisSerif" w:cs="Arial"/>
          <w:b/>
        </w:rPr>
        <w:t>Oblastní nemocnice Příbram, a.s.</w:t>
      </w:r>
    </w:p>
    <w:p w14:paraId="2AE0718F" w14:textId="4CC6C7C5" w:rsidR="00FB1A62" w:rsidRPr="007324D3" w:rsidRDefault="00FB1A62" w:rsidP="007324D3">
      <w:pPr>
        <w:rPr>
          <w:rFonts w:ascii="RotisSerif" w:hAnsi="RotisSerif"/>
          <w:b/>
        </w:rPr>
      </w:pPr>
      <w:r w:rsidRPr="007324D3">
        <w:rPr>
          <w:rFonts w:ascii="RotisSerif" w:hAnsi="RotisSerif"/>
        </w:rPr>
        <w:t xml:space="preserve">se sídlem: </w:t>
      </w:r>
      <w:r w:rsidR="007324D3" w:rsidRPr="007324D3">
        <w:rPr>
          <w:rFonts w:ascii="RotisSerif" w:hAnsi="RotisSerif" w:cs="Arial"/>
        </w:rPr>
        <w:t>Gen. R. Tesaříka 80, Příbram I, 261 01 Příbram</w:t>
      </w:r>
    </w:p>
    <w:p w14:paraId="7F713F81" w14:textId="2C63A77A" w:rsidR="00FB1A62" w:rsidRPr="007324D3" w:rsidRDefault="00FB1A62" w:rsidP="007324D3">
      <w:pPr>
        <w:rPr>
          <w:rFonts w:ascii="RotisSerif" w:hAnsi="RotisSerif"/>
        </w:rPr>
      </w:pPr>
      <w:r w:rsidRPr="007324D3">
        <w:rPr>
          <w:rFonts w:ascii="RotisSerif" w:hAnsi="RotisSerif"/>
        </w:rPr>
        <w:t xml:space="preserve">IČ: </w:t>
      </w:r>
      <w:r w:rsidR="007324D3">
        <w:rPr>
          <w:rFonts w:ascii="RotisSerif" w:hAnsi="RotisSerif" w:cs="Arial"/>
        </w:rPr>
        <w:t>27085031</w:t>
      </w:r>
    </w:p>
    <w:p w14:paraId="369E3FC9" w14:textId="4CD625F6" w:rsidR="00FB1A62" w:rsidRPr="007324D3" w:rsidRDefault="00FB1A62" w:rsidP="007324D3">
      <w:pPr>
        <w:rPr>
          <w:rFonts w:ascii="RotisSerif" w:hAnsi="RotisSerif"/>
        </w:rPr>
      </w:pPr>
      <w:r w:rsidRPr="007324D3">
        <w:rPr>
          <w:rFonts w:ascii="RotisSerif" w:hAnsi="RotisSerif"/>
        </w:rPr>
        <w:t xml:space="preserve">DIČ: </w:t>
      </w:r>
      <w:r w:rsidR="007324D3">
        <w:rPr>
          <w:rFonts w:ascii="RotisSerif" w:hAnsi="RotisSerif" w:cs="Arial"/>
        </w:rPr>
        <w:t>CZ27085031</w:t>
      </w:r>
    </w:p>
    <w:p w14:paraId="0045BFA1" w14:textId="20296647" w:rsidR="007324D3" w:rsidRDefault="007324D3" w:rsidP="007324D3">
      <w:pPr>
        <w:rPr>
          <w:rFonts w:ascii="RotisSerif" w:hAnsi="RotisSerif"/>
        </w:rPr>
      </w:pPr>
      <w:r>
        <w:rPr>
          <w:rFonts w:ascii="RotisSerif" w:hAnsi="RotisSerif"/>
        </w:rPr>
        <w:t>již zastupují</w:t>
      </w:r>
      <w:r w:rsidR="00FB1A62" w:rsidRPr="007324D3">
        <w:rPr>
          <w:rFonts w:ascii="RotisSerif" w:hAnsi="RotisSerif"/>
        </w:rPr>
        <w:t>:</w:t>
      </w:r>
      <w:r>
        <w:rPr>
          <w:rFonts w:ascii="RotisSerif" w:hAnsi="RotisSerif"/>
        </w:rPr>
        <w:tab/>
        <w:t xml:space="preserve">MUDr. Stanislav </w:t>
      </w:r>
      <w:proofErr w:type="spellStart"/>
      <w:r>
        <w:rPr>
          <w:rFonts w:ascii="RotisSerif" w:hAnsi="RotisSerif"/>
        </w:rPr>
        <w:t>Holobrada</w:t>
      </w:r>
      <w:proofErr w:type="spellEnd"/>
      <w:r>
        <w:rPr>
          <w:rFonts w:ascii="RotisSerif" w:hAnsi="RotisSerif"/>
        </w:rPr>
        <w:t>, předseda představenstva</w:t>
      </w:r>
    </w:p>
    <w:p w14:paraId="26B59BDE" w14:textId="2CAD7A26" w:rsidR="007324D3" w:rsidRDefault="007324D3" w:rsidP="007324D3">
      <w:pPr>
        <w:rPr>
          <w:rFonts w:ascii="RotisSerif" w:hAnsi="RotisSerif"/>
        </w:rPr>
      </w:pPr>
      <w:r>
        <w:rPr>
          <w:rFonts w:ascii="RotisSerif" w:hAnsi="RotisSerif"/>
        </w:rPr>
        <w:tab/>
      </w:r>
      <w:r>
        <w:rPr>
          <w:rFonts w:ascii="RotisSerif" w:hAnsi="RotisSerif"/>
        </w:rPr>
        <w:tab/>
        <w:t>Mgr. Tomáš Helebrant, místopředseda představenstva</w:t>
      </w:r>
    </w:p>
    <w:p w14:paraId="0F7C79B4" w14:textId="3FAC0A23" w:rsidR="00FB1A62" w:rsidRPr="007324D3" w:rsidRDefault="007324D3" w:rsidP="007324D3">
      <w:pPr>
        <w:rPr>
          <w:rFonts w:ascii="RotisSerif" w:hAnsi="RotisSerif" w:cs="Arial"/>
        </w:rPr>
      </w:pPr>
      <w:r>
        <w:rPr>
          <w:rFonts w:ascii="RotisSerif" w:hAnsi="RotisSerif"/>
        </w:rPr>
        <w:t>spisová značka</w:t>
      </w:r>
      <w:r w:rsidR="00FB1A62" w:rsidRPr="007324D3">
        <w:rPr>
          <w:rFonts w:ascii="RotisSerif" w:hAnsi="RotisSerif"/>
        </w:rPr>
        <w:t xml:space="preserve">: </w:t>
      </w:r>
      <w:r>
        <w:rPr>
          <w:rFonts w:ascii="RotisSerif" w:hAnsi="RotisSerif" w:cs="Arial"/>
        </w:rPr>
        <w:t>Městský soud v Praze, oddíl B, vložka 8883</w:t>
      </w:r>
    </w:p>
    <w:p w14:paraId="1683C6A1" w14:textId="16BAD6C5" w:rsidR="00FB1A62" w:rsidRPr="007324D3" w:rsidRDefault="00FB1A62" w:rsidP="007324D3">
      <w:pPr>
        <w:rPr>
          <w:rFonts w:ascii="RotisSerif" w:hAnsi="RotisSerif"/>
        </w:rPr>
      </w:pPr>
      <w:r w:rsidRPr="007324D3">
        <w:rPr>
          <w:rFonts w:ascii="RotisSerif" w:hAnsi="RotisSerif"/>
        </w:rPr>
        <w:t>(dále „</w:t>
      </w:r>
      <w:r w:rsidRPr="007324D3">
        <w:rPr>
          <w:rFonts w:ascii="RotisSerif" w:hAnsi="RotisSerif"/>
          <w:b/>
        </w:rPr>
        <w:t>kupující</w:t>
      </w:r>
      <w:r w:rsidRPr="007324D3">
        <w:rPr>
          <w:rFonts w:ascii="RotisSerif" w:hAnsi="RotisSerif"/>
        </w:rPr>
        <w:t>“)</w:t>
      </w:r>
    </w:p>
    <w:p w14:paraId="2071C7EE" w14:textId="726DDEC9" w:rsidR="00776477" w:rsidRPr="007324D3" w:rsidRDefault="007324D3" w:rsidP="007324D3">
      <w:pPr>
        <w:spacing w:before="360" w:after="360"/>
        <w:jc w:val="both"/>
        <w:rPr>
          <w:rFonts w:ascii="RotisSerif" w:hAnsi="RotisSerif"/>
        </w:rPr>
      </w:pPr>
      <w:r>
        <w:rPr>
          <w:rFonts w:ascii="RotisSerif" w:hAnsi="RotisSerif"/>
        </w:rPr>
        <w:t>V</w:t>
      </w:r>
      <w:r w:rsidR="00776477" w:rsidRPr="007324D3">
        <w:rPr>
          <w:rFonts w:ascii="RotisSerif" w:hAnsi="RotisSerif"/>
        </w:rPr>
        <w:t>zhledem k tomu, že</w:t>
      </w:r>
      <w:r>
        <w:rPr>
          <w:rFonts w:ascii="RotisSerif" w:hAnsi="RotisSerif"/>
        </w:rPr>
        <w:t xml:space="preserve"> smluvní strany</w:t>
      </w:r>
      <w:r w:rsidR="00776477" w:rsidRPr="007324D3">
        <w:rPr>
          <w:rFonts w:ascii="RotisSerif" w:hAnsi="RotisSerif"/>
        </w:rPr>
        <w:t xml:space="preserve"> dospěly k vzájemné a úplné shodě v níže uvedených skutečnostech, se</w:t>
      </w:r>
      <w:r>
        <w:rPr>
          <w:rFonts w:ascii="RotisSerif" w:hAnsi="RotisSerif"/>
        </w:rPr>
        <w:t xml:space="preserve"> rozhodly uzavřít v souladu s § </w:t>
      </w:r>
      <w:r w:rsidR="00776477" w:rsidRPr="007324D3">
        <w:rPr>
          <w:rFonts w:ascii="RotisSerif" w:hAnsi="RotisSerif"/>
        </w:rPr>
        <w:t>1746 odst. 2 zákona č. 89/2012 Sb., občanského zákoníku (dále jen „</w:t>
      </w:r>
      <w:r w:rsidR="00776477" w:rsidRPr="007324D3">
        <w:rPr>
          <w:rFonts w:ascii="RotisSerif" w:hAnsi="RotisSerif"/>
          <w:b/>
        </w:rPr>
        <w:t>OZ</w:t>
      </w:r>
      <w:r w:rsidR="00776477" w:rsidRPr="007324D3">
        <w:rPr>
          <w:rFonts w:ascii="RotisSerif" w:hAnsi="RotisSerif"/>
        </w:rPr>
        <w:t xml:space="preserve">“) tuto </w:t>
      </w:r>
      <w:r w:rsidR="009F1295" w:rsidRPr="007324D3">
        <w:rPr>
          <w:rFonts w:ascii="RotisSerif" w:hAnsi="RotisSerif"/>
          <w:i/>
          <w:u w:val="single"/>
        </w:rPr>
        <w:t>S</w:t>
      </w:r>
      <w:r w:rsidR="00776477" w:rsidRPr="007324D3">
        <w:rPr>
          <w:rFonts w:ascii="RotisSerif" w:hAnsi="RotisSerif"/>
          <w:i/>
          <w:u w:val="single"/>
        </w:rPr>
        <w:t xml:space="preserve">mlouvu o poskytnutí </w:t>
      </w:r>
      <w:r>
        <w:rPr>
          <w:rFonts w:ascii="RotisSerif" w:hAnsi="RotisSerif"/>
          <w:i/>
          <w:u w:val="single"/>
        </w:rPr>
        <w:t xml:space="preserve">neadresného </w:t>
      </w:r>
      <w:r w:rsidR="00776477" w:rsidRPr="007324D3">
        <w:rPr>
          <w:rFonts w:ascii="RotisSerif" w:hAnsi="RotisSerif"/>
          <w:i/>
          <w:u w:val="single"/>
        </w:rPr>
        <w:t>finančního bonusu</w:t>
      </w:r>
      <w:r w:rsidR="00776477" w:rsidRPr="007324D3">
        <w:rPr>
          <w:rFonts w:ascii="RotisSerif" w:hAnsi="RotisSerif"/>
        </w:rPr>
        <w:t xml:space="preserve"> (dále jen „</w:t>
      </w:r>
      <w:r w:rsidR="00776477" w:rsidRPr="007324D3">
        <w:rPr>
          <w:rFonts w:ascii="RotisSerif" w:hAnsi="RotisSerif"/>
          <w:b/>
        </w:rPr>
        <w:t>smlouva</w:t>
      </w:r>
      <w:r w:rsidR="00776477" w:rsidRPr="007324D3">
        <w:rPr>
          <w:rFonts w:ascii="RotisSerif" w:hAnsi="RotisSerif"/>
        </w:rPr>
        <w:t>“):</w:t>
      </w:r>
    </w:p>
    <w:p w14:paraId="1D775DDA" w14:textId="77777777" w:rsidR="00776477" w:rsidRPr="007324D3" w:rsidRDefault="00776477" w:rsidP="007324D3">
      <w:pPr>
        <w:pStyle w:val="NadpisLEG"/>
      </w:pPr>
      <w:r w:rsidRPr="007324D3">
        <w:t xml:space="preserve">Předmět </w:t>
      </w:r>
      <w:r w:rsidR="00FB1A62" w:rsidRPr="007324D3">
        <w:t>smlouvy</w:t>
      </w:r>
    </w:p>
    <w:p w14:paraId="07582F3E" w14:textId="492D822B" w:rsidR="004C2F0C" w:rsidRPr="007324D3" w:rsidRDefault="00776477" w:rsidP="004C2F0C">
      <w:pPr>
        <w:pStyle w:val="LEG1"/>
      </w:pPr>
      <w:bookmarkStart w:id="0" w:name="_Ref419102241"/>
      <w:r w:rsidRPr="007324D3">
        <w:t xml:space="preserve">Prodávající se zavazuje poskytnout kupujícímu finanční bonus </w:t>
      </w:r>
      <w:r w:rsidR="000C2B11" w:rsidRPr="007324D3">
        <w:t xml:space="preserve">z fakturovaných cen </w:t>
      </w:r>
      <w:r w:rsidRPr="007324D3">
        <w:t xml:space="preserve">za zboží odebrané kupujícím od prodávajícího od </w:t>
      </w:r>
      <w:r w:rsidR="00CE0DD8">
        <w:t>1. 1. 20</w:t>
      </w:r>
      <w:r w:rsidR="00785DF4">
        <w:t>20</w:t>
      </w:r>
      <w:r w:rsidR="00CE0DD8">
        <w:t xml:space="preserve"> </w:t>
      </w:r>
      <w:r w:rsidRPr="007324D3">
        <w:t xml:space="preserve">do </w:t>
      </w:r>
      <w:r w:rsidR="00CE0DD8">
        <w:t>31. 12. 20</w:t>
      </w:r>
      <w:r w:rsidR="00785DF4">
        <w:t>20</w:t>
      </w:r>
      <w:r w:rsidR="00CE0DD8">
        <w:t xml:space="preserve"> </w:t>
      </w:r>
      <w:r w:rsidR="000C2B11" w:rsidRPr="007324D3">
        <w:t>za podmínky, že kupující v daném období odebere od prodávajícího zboží</w:t>
      </w:r>
      <w:r w:rsidR="00441D5F" w:rsidRPr="007324D3">
        <w:t xml:space="preserve">, na </w:t>
      </w:r>
      <w:r w:rsidR="00796CF4" w:rsidRPr="007324D3">
        <w:t>jehož odběr je poskytnutí bonusu vázáno</w:t>
      </w:r>
      <w:r w:rsidR="00441D5F" w:rsidRPr="007324D3">
        <w:t>,</w:t>
      </w:r>
      <w:r w:rsidR="000C2B11" w:rsidRPr="007324D3">
        <w:t xml:space="preserve"> v minimální hodnotě</w:t>
      </w:r>
      <w:r w:rsidR="004C2F0C" w:rsidRPr="007324D3">
        <w:t xml:space="preserve"> (z fakturovaných cen bez DPH)</w:t>
      </w:r>
      <w:r w:rsidR="000C2B11" w:rsidRPr="007324D3">
        <w:t xml:space="preserve"> </w:t>
      </w:r>
      <w:r w:rsidR="004C2F0C" w:rsidRPr="007324D3">
        <w:t xml:space="preserve">uvedené v příloze č. </w:t>
      </w:r>
      <w:r w:rsidR="00441D5F" w:rsidRPr="007324D3">
        <w:t>1</w:t>
      </w:r>
      <w:r w:rsidR="004C2F0C" w:rsidRPr="007324D3">
        <w:t xml:space="preserve"> této smlouvy</w:t>
      </w:r>
      <w:r w:rsidRPr="007324D3">
        <w:t xml:space="preserve">. </w:t>
      </w:r>
      <w:r w:rsidR="00C1639D" w:rsidRPr="007324D3">
        <w:t xml:space="preserve">Kupujícímu </w:t>
      </w:r>
      <w:r w:rsidR="004C2F0C" w:rsidRPr="007324D3">
        <w:t xml:space="preserve">budou za předpokladu naplnění obratů dle přílohy č. </w:t>
      </w:r>
      <w:r w:rsidR="00441D5F" w:rsidRPr="007324D3">
        <w:t>1</w:t>
      </w:r>
      <w:r w:rsidR="004C2F0C" w:rsidRPr="007324D3">
        <w:t xml:space="preserve"> této smlouvy poskytnuty finanční bonusy ve výši uvedené v příloze č. </w:t>
      </w:r>
      <w:r w:rsidR="00441D5F" w:rsidRPr="007324D3">
        <w:t>1</w:t>
      </w:r>
      <w:r w:rsidR="004C2F0C" w:rsidRPr="007324D3">
        <w:t xml:space="preserve"> této smlouvy</w:t>
      </w:r>
      <w:r w:rsidR="003A270C" w:rsidRPr="007324D3">
        <w:t xml:space="preserve"> (z fakturovaných cen bez DPH)</w:t>
      </w:r>
      <w:r w:rsidR="004C2F0C" w:rsidRPr="007324D3">
        <w:t>, a to za odběry tohoto zboží:</w:t>
      </w:r>
      <w:bookmarkEnd w:id="0"/>
    </w:p>
    <w:p w14:paraId="5D191618" w14:textId="70B3C020" w:rsidR="00776477" w:rsidRPr="007324D3" w:rsidRDefault="00A54524" w:rsidP="004C2F0C">
      <w:pPr>
        <w:pStyle w:val="LEG2"/>
      </w:pPr>
      <w:r>
        <w:t xml:space="preserve">Divize </w:t>
      </w:r>
      <w:proofErr w:type="spellStart"/>
      <w:r>
        <w:t>Aesculap</w:t>
      </w:r>
      <w:proofErr w:type="spellEnd"/>
      <w:r>
        <w:t xml:space="preserve"> Ortopedie – Kolenní a kyčelní implantáty</w:t>
      </w:r>
    </w:p>
    <w:p w14:paraId="267175E1" w14:textId="4AD848E5" w:rsidR="00FB1A62" w:rsidRPr="007324D3" w:rsidRDefault="00A54524" w:rsidP="004C2F0C">
      <w:pPr>
        <w:pStyle w:val="LEG2"/>
      </w:pPr>
      <w:r>
        <w:t xml:space="preserve">Divize </w:t>
      </w:r>
      <w:proofErr w:type="spellStart"/>
      <w:r>
        <w:t>Aesculap</w:t>
      </w:r>
      <w:proofErr w:type="spellEnd"/>
      <w:r>
        <w:t xml:space="preserve"> Ortopedie – Traumatologické implantáty</w:t>
      </w:r>
    </w:p>
    <w:p w14:paraId="2037DE64" w14:textId="77777777" w:rsidR="004C2F0C" w:rsidRPr="007324D3" w:rsidRDefault="004C2F0C" w:rsidP="00CF0559">
      <w:pPr>
        <w:pStyle w:val="LEG1"/>
      </w:pPr>
      <w:r w:rsidRPr="007324D3">
        <w:t xml:space="preserve">Výše uvedené bonusy </w:t>
      </w:r>
      <w:r w:rsidR="00CF0559" w:rsidRPr="007324D3">
        <w:t xml:space="preserve">(tzn. dle jednotlivých skupin zboží, za něž jsou poskytovány) </w:t>
      </w:r>
      <w:r w:rsidRPr="007324D3">
        <w:t xml:space="preserve">budou poskytovány kumulativně, </w:t>
      </w:r>
      <w:r w:rsidR="00CF0559" w:rsidRPr="007324D3">
        <w:t>v případě různé výše bonusů dle výše dosaženého obratu bude pro konkrétní skupinu zboží poskytnut nejvyšší bonus</w:t>
      </w:r>
      <w:r w:rsidRPr="007324D3">
        <w:t xml:space="preserve"> </w:t>
      </w:r>
      <w:r w:rsidR="00CF0559" w:rsidRPr="007324D3">
        <w:t>dle dosaženého obratu.</w:t>
      </w:r>
    </w:p>
    <w:p w14:paraId="1A5B64CB" w14:textId="77777777" w:rsidR="00776477" w:rsidRPr="007324D3" w:rsidRDefault="00776477" w:rsidP="007324D3">
      <w:pPr>
        <w:pStyle w:val="NadpisLEG"/>
      </w:pPr>
      <w:r w:rsidRPr="007324D3">
        <w:lastRenderedPageBreak/>
        <w:t>Splatnost a úhrada finančního bonusu</w:t>
      </w:r>
    </w:p>
    <w:p w14:paraId="3E1527BA" w14:textId="16D1C773" w:rsidR="00796CF4" w:rsidRPr="00F92AD5" w:rsidRDefault="00796CF4" w:rsidP="00796CF4">
      <w:pPr>
        <w:pStyle w:val="LEG1"/>
      </w:pPr>
      <w:r w:rsidRPr="00F92AD5">
        <w:t xml:space="preserve">Zálohy na bonus budou poskytovány </w:t>
      </w:r>
      <w:r w:rsidR="00A54524" w:rsidRPr="00F92AD5">
        <w:t>pololetně</w:t>
      </w:r>
      <w:r w:rsidRPr="00F92AD5">
        <w:t xml:space="preserve"> do 30 dnů po uplynutí příslušného kalendářního </w:t>
      </w:r>
      <w:r w:rsidR="00A54524" w:rsidRPr="00F92AD5">
        <w:t>pololetí, s výjimkou bonusu za 1. pololetí roku 20</w:t>
      </w:r>
      <w:r w:rsidR="00785DF4" w:rsidRPr="00F92AD5">
        <w:t>20</w:t>
      </w:r>
      <w:r w:rsidR="00A54524" w:rsidRPr="00F92AD5">
        <w:t>, jež bude poskytnut do 30 dnů od podpisu této smlouvy oběma smluvními stranami.</w:t>
      </w:r>
    </w:p>
    <w:p w14:paraId="4CA1EC80" w14:textId="08DD4379" w:rsidR="00796CF4" w:rsidRPr="007324D3" w:rsidRDefault="00796CF4" w:rsidP="00796CF4">
      <w:pPr>
        <w:pStyle w:val="LEG1"/>
      </w:pPr>
      <w:r w:rsidRPr="00F92AD5">
        <w:t xml:space="preserve">Smluvní strany prohlašují, že částka odpovídající výši zálohy na finanční bonus ke konci kalendářního </w:t>
      </w:r>
      <w:r w:rsidR="00785DF4" w:rsidRPr="00F92AD5">
        <w:t>pololetí</w:t>
      </w:r>
      <w:r w:rsidR="00785DF4" w:rsidRPr="007324D3">
        <w:t xml:space="preserve"> </w:t>
      </w:r>
      <w:r w:rsidRPr="007324D3">
        <w:t xml:space="preserve">bude započtena vůči nejstarším neuhrazeným pohledávkám, které má prodávající vůči kupujícímu (bez ohledu na to, zda splatným či nesplatným). Bude-li záloha na bonus vyšší než uvedené pohledávky, bude kupujícímu tento rozdíl vyplacen. Vypořádání zálohy na bonus proběhne nejpozději do 30 dnů po uplynutí příslušného kalendářního </w:t>
      </w:r>
      <w:r w:rsidR="00A54524">
        <w:t>pololetí</w:t>
      </w:r>
      <w:r w:rsidRPr="007324D3">
        <w:t>.</w:t>
      </w:r>
    </w:p>
    <w:p w14:paraId="7AFAD3D9" w14:textId="0973198F" w:rsidR="00796CF4" w:rsidRPr="007324D3" w:rsidRDefault="00796CF4" w:rsidP="00796CF4">
      <w:pPr>
        <w:pStyle w:val="LEG1"/>
      </w:pPr>
      <w:bookmarkStart w:id="1" w:name="_Ref416247986"/>
      <w:r w:rsidRPr="007324D3">
        <w:t xml:space="preserve">Nejpozději do 31. ledna následujícího kalendářního roku prodávající provede zúčtování bonusu dle skutečného odběru za celý kalendářní rok. V případě zjištění prodávajícího, že kupující za předchozí kalendářní rok neodebral zboží v hodnotě stanovené v příloze č. </w:t>
      </w:r>
      <w:r w:rsidR="00A54524">
        <w:t>1</w:t>
      </w:r>
      <w:r w:rsidRPr="007324D3">
        <w:t xml:space="preserve"> této smlouvy, vystaví prodávající kupujícímu vrubopis se splatností 30 dnů, na </w:t>
      </w:r>
      <w:proofErr w:type="gramStart"/>
      <w:r w:rsidRPr="007324D3">
        <w:t>základě</w:t>
      </w:r>
      <w:proofErr w:type="gramEnd"/>
      <w:r w:rsidRPr="007324D3">
        <w:t xml:space="preserve"> kterého je kupující povinen vrátit prodávajícímu finanční částku, která mu byla prodávajícím za předchozí kalendářní rok poskytnuta jako záloha na bonus.</w:t>
      </w:r>
      <w:bookmarkEnd w:id="1"/>
    </w:p>
    <w:p w14:paraId="039E1483" w14:textId="0EFC8B27" w:rsidR="00796CF4" w:rsidRPr="007324D3" w:rsidRDefault="00796CF4" w:rsidP="00796CF4">
      <w:pPr>
        <w:pStyle w:val="LEG1"/>
      </w:pPr>
      <w:bookmarkStart w:id="2" w:name="_Ref416247960"/>
      <w:r w:rsidRPr="007324D3">
        <w:t xml:space="preserve">Kupující má právní nárok na bonus dle této smlouvy pouze za předpokladu, že po dobu platnosti této smlouvy dodržoval splatnost jednotlivých faktur za odebrané zboží. </w:t>
      </w:r>
      <w:bookmarkEnd w:id="2"/>
      <w:r w:rsidRPr="007324D3">
        <w:t xml:space="preserve">Ustanovení odst. </w:t>
      </w:r>
      <w:r w:rsidRPr="007324D3">
        <w:fldChar w:fldCharType="begin"/>
      </w:r>
      <w:r w:rsidRPr="007324D3">
        <w:instrText xml:space="preserve"> REF _Ref416247986 \r \h  \* MERGEFORMAT </w:instrText>
      </w:r>
      <w:r w:rsidRPr="007324D3">
        <w:fldChar w:fldCharType="separate"/>
      </w:r>
      <w:r w:rsidR="003F7368">
        <w:t>2.3</w:t>
      </w:r>
      <w:r w:rsidRPr="007324D3">
        <w:fldChar w:fldCharType="end"/>
      </w:r>
      <w:r w:rsidRPr="007324D3">
        <w:t xml:space="preserve"> věty druhé, týkající se vrácení již vyplacené části bonusu, se použije i v případě, že prodávající vyplatí bonus v souladu s předchozí větou, ale v některém z ostatních předmětných kalendářních </w:t>
      </w:r>
      <w:r w:rsidR="00A54524">
        <w:t>pololetí</w:t>
      </w:r>
      <w:r w:rsidRPr="007324D3">
        <w:t xml:space="preserve"> nebo v době ročního zúčtování, bude kupující v prodle</w:t>
      </w:r>
      <w:r w:rsidR="00FC4759">
        <w:t>ní s platbou za odebrané zboží.</w:t>
      </w:r>
    </w:p>
    <w:p w14:paraId="62858F9F" w14:textId="59155495" w:rsidR="00796CF4" w:rsidRPr="007324D3" w:rsidRDefault="00796CF4" w:rsidP="00796CF4">
      <w:pPr>
        <w:pStyle w:val="LEG1"/>
      </w:pPr>
      <w:r w:rsidRPr="007324D3">
        <w:t xml:space="preserve">Prodávající je oprávněn rozhodnout o vyplacení bonusu i přes prodlení kupujícího s placením, je-li prodlení ojedinělé, týká-li se pouze </w:t>
      </w:r>
      <w:r w:rsidR="00A54524">
        <w:t>malého počtu faktur, případně v </w:t>
      </w:r>
      <w:r w:rsidRPr="007324D3">
        <w:t>podobných odůvodněných případech.</w:t>
      </w:r>
    </w:p>
    <w:p w14:paraId="14C22A00" w14:textId="210361F2" w:rsidR="00796CF4" w:rsidRPr="007324D3" w:rsidRDefault="00796CF4" w:rsidP="00FC4759">
      <w:pPr>
        <w:pStyle w:val="LEG1"/>
      </w:pPr>
      <w:r w:rsidRPr="007324D3">
        <w:t>Prodávající je dále oprávněn bonus nevyplatit, pokud se podstatným způsobem změnil poměr zboží z jednotlivých obchodních divizí prodávajícího na celkovém objemu dodávek pro kupujícího. Za podstatnou změnu se považuje nárůst či pokles alespoň jedné obchodní divize prodávajícího o 10</w:t>
      </w:r>
      <w:r w:rsidR="003F7368">
        <w:t> </w:t>
      </w:r>
      <w:r w:rsidRPr="007324D3">
        <w:t xml:space="preserve">% oproti předchozímu kalendářnímu roku. Prodávající má divize </w:t>
      </w:r>
      <w:proofErr w:type="spellStart"/>
      <w:r w:rsidRPr="007324D3">
        <w:t>Aesculap</w:t>
      </w:r>
      <w:proofErr w:type="spellEnd"/>
      <w:r w:rsidRPr="007324D3">
        <w:t xml:space="preserve">, </w:t>
      </w:r>
      <w:proofErr w:type="spellStart"/>
      <w:r w:rsidRPr="007324D3">
        <w:t>Hospital</w:t>
      </w:r>
      <w:proofErr w:type="spellEnd"/>
      <w:r w:rsidRPr="007324D3">
        <w:t xml:space="preserve"> Care, OPM a B.</w:t>
      </w:r>
      <w:r w:rsidR="003F7368">
        <w:t> </w:t>
      </w:r>
      <w:r w:rsidRPr="007324D3">
        <w:t xml:space="preserve">Braun </w:t>
      </w:r>
      <w:proofErr w:type="spellStart"/>
      <w:r w:rsidRPr="007324D3">
        <w:t>Avitum</w:t>
      </w:r>
      <w:proofErr w:type="spellEnd"/>
      <w:r w:rsidRPr="007324D3">
        <w:t>. Podstatnou změnu poměru zboží z jednotlivých obchodních divizí prod</w:t>
      </w:r>
      <w:r w:rsidR="00FC4759">
        <w:t>ávající kupujícímu vždy doloží.</w:t>
      </w:r>
    </w:p>
    <w:p w14:paraId="3C27F8EB" w14:textId="77777777" w:rsidR="00CA7DF7" w:rsidRPr="007324D3" w:rsidRDefault="00CA7DF7" w:rsidP="007324D3">
      <w:pPr>
        <w:pStyle w:val="NadpisLEG"/>
      </w:pPr>
      <w:r w:rsidRPr="007324D3">
        <w:t>Ostatní ujednání</w:t>
      </w:r>
    </w:p>
    <w:p w14:paraId="64852ED4" w14:textId="79F6B1AA" w:rsidR="00CA7DF7" w:rsidRPr="007324D3" w:rsidRDefault="00CA7DF7" w:rsidP="00CA7DF7">
      <w:pPr>
        <w:pStyle w:val="LEG1"/>
      </w:pPr>
      <w:r w:rsidRPr="007324D3">
        <w:t>Smluvní strany považují ustanovení této smlouvy za</w:t>
      </w:r>
      <w:r w:rsidR="00FC4759">
        <w:t xml:space="preserve"> důvěrné ve smyslu ustanovení § </w:t>
      </w:r>
      <w:r w:rsidRPr="007324D3">
        <w:t>1730 odst. 2 OZ. Kupující není oprávněn zpřístupňovat třetím osobám informace obsažené v této smlouvě a informace, které se dozví v souvislosti s plněním této smlouvy bez souhlasu prodávajícího, pokud p</w:t>
      </w:r>
      <w:r w:rsidR="00FC4759">
        <w:t>rávní předpisy nestanoví jinak.</w:t>
      </w:r>
    </w:p>
    <w:p w14:paraId="64626496" w14:textId="77777777" w:rsidR="00CA7DF7" w:rsidRPr="007324D3" w:rsidRDefault="00CA7DF7" w:rsidP="007324D3">
      <w:pPr>
        <w:pStyle w:val="NadpisLEG"/>
      </w:pPr>
      <w:r w:rsidRPr="007324D3">
        <w:t>Důvěrnost</w:t>
      </w:r>
    </w:p>
    <w:p w14:paraId="2DB9CC13" w14:textId="3648ECCD" w:rsidR="00CA7DF7" w:rsidRPr="007324D3" w:rsidRDefault="00CA7DF7" w:rsidP="00CA7DF7">
      <w:pPr>
        <w:pStyle w:val="LEG1"/>
      </w:pPr>
      <w:r w:rsidRPr="007324D3">
        <w:rPr>
          <w:b/>
        </w:rPr>
        <w:t xml:space="preserve">Smluvní strany se dohodly, že v případě povinnosti uveřejnit tuto smlouvu dle zákona č. 340/2015 Sb., o registru smluv, v platném znění (dále jen "zákon o registru smluv"), </w:t>
      </w:r>
      <w:r w:rsidRPr="007324D3">
        <w:rPr>
          <w:b/>
          <w:u w:val="single"/>
        </w:rPr>
        <w:t>tuto povinnost splní prodávající</w:t>
      </w:r>
      <w:r w:rsidR="00796CF4" w:rsidRPr="007324D3">
        <w:t>, a to v souladu s </w:t>
      </w:r>
      <w:r w:rsidR="00FC4759">
        <w:t>níže uvedeným.</w:t>
      </w:r>
    </w:p>
    <w:p w14:paraId="4BD6B8DD" w14:textId="1CE2F153" w:rsidR="00CA7DF7" w:rsidRPr="007324D3" w:rsidRDefault="00CA7DF7" w:rsidP="00CA7DF7">
      <w:pPr>
        <w:pStyle w:val="LEG1"/>
        <w:rPr>
          <w:b/>
        </w:rPr>
      </w:pPr>
      <w:r w:rsidRPr="007324D3">
        <w:rPr>
          <w:b/>
        </w:rPr>
        <w:lastRenderedPageBreak/>
        <w:t>Příloha č. 1 a informace v ní uvedené (tzn. výše bonusu a výše obratu pro jeho dosažení) se nezveřejní, a to ani jako metada</w:t>
      </w:r>
      <w:r w:rsidR="0025516F" w:rsidRPr="007324D3">
        <w:rPr>
          <w:b/>
        </w:rPr>
        <w:t>ta</w:t>
      </w:r>
      <w:r w:rsidRPr="007324D3">
        <w:rPr>
          <w:b/>
        </w:rPr>
        <w:t>, s ohledem na to, že:</w:t>
      </w:r>
    </w:p>
    <w:p w14:paraId="077EC676" w14:textId="15E5376D" w:rsidR="00CA7DF7" w:rsidRPr="007324D3" w:rsidRDefault="00CA7DF7" w:rsidP="00CA7DF7">
      <w:pPr>
        <w:pStyle w:val="LEG2"/>
      </w:pPr>
      <w:r w:rsidRPr="007324D3">
        <w:t>tvoří obchodní tajemství prodávajícího a kupujícíh</w:t>
      </w:r>
      <w:r w:rsidR="00FC4759">
        <w:t>o (ve smyslu zákonné definice § </w:t>
      </w:r>
      <w:r w:rsidRPr="007324D3">
        <w:t>504 zákona č. 89/2012 Sb., občanský zákoník), neboť všeobecný přístup k těmto informacím může mít podstatný dopad na ekonomické výsledky a vyjednávací poz</w:t>
      </w:r>
      <w:r w:rsidR="00796CF4" w:rsidRPr="007324D3">
        <w:t>ici prodávající i kupujícího; a </w:t>
      </w:r>
      <w:r w:rsidRPr="007324D3">
        <w:t>zároveň</w:t>
      </w:r>
    </w:p>
    <w:p w14:paraId="25905DFB" w14:textId="0A3B3AFC" w:rsidR="00CA7DF7" w:rsidRPr="007324D3" w:rsidRDefault="00CA7DF7" w:rsidP="00CA7DF7">
      <w:pPr>
        <w:pStyle w:val="LEG2"/>
      </w:pPr>
      <w:r w:rsidRPr="007324D3">
        <w:t xml:space="preserve">obsahuje způsob výpočtu bonusu, </w:t>
      </w:r>
      <w:r w:rsidR="00796CF4" w:rsidRPr="007324D3">
        <w:t>který je svojí povahou vzorem a </w:t>
      </w:r>
      <w:r w:rsidRPr="007324D3">
        <w:t xml:space="preserve">výpočtem, na který se dle </w:t>
      </w:r>
      <w:proofErr w:type="spellStart"/>
      <w:r w:rsidRPr="007324D3">
        <w:t>ust</w:t>
      </w:r>
      <w:proofErr w:type="spellEnd"/>
      <w:r w:rsidRPr="007324D3">
        <w:t>. §</w:t>
      </w:r>
      <w:r w:rsidR="003F7368">
        <w:t> </w:t>
      </w:r>
      <w:r w:rsidRPr="007324D3">
        <w:t>3 odst. 2 písm. b) zákona o registru smluv povinnost uveřejnění nevztahuje.</w:t>
      </w:r>
    </w:p>
    <w:p w14:paraId="2E723A1B" w14:textId="1EF2EEF7" w:rsidR="00CA7DF7" w:rsidRPr="007324D3" w:rsidRDefault="00CA7DF7" w:rsidP="00CA7DF7">
      <w:pPr>
        <w:pStyle w:val="LEG1"/>
      </w:pPr>
      <w:r w:rsidRPr="007324D3">
        <w:t>Smluvní strany se dohodly, že příloha č. 1 (tzn. výše bonusu a výše obratu pro jeho dosažení) bude v registru smluv zveřejněna pouze v případě, že výše uvedený postup zveřejnění bude v konkrétním případě pravomocným rozhodnutím soudu považován za nedostatečný; ke zveřejnění pak d</w:t>
      </w:r>
      <w:r w:rsidR="00796CF4" w:rsidRPr="007324D3">
        <w:t>ojde pouze v takovém rozsahu, v </w:t>
      </w:r>
      <w:r w:rsidRPr="007324D3">
        <w:t>jakém bude nařízeno pravomo</w:t>
      </w:r>
      <w:r w:rsidR="00FC4759">
        <w:t>cným rozhodnutím soudu.</w:t>
      </w:r>
    </w:p>
    <w:p w14:paraId="6F2BE211" w14:textId="77777777" w:rsidR="00CA7DF7" w:rsidRPr="007324D3" w:rsidRDefault="00CA7DF7" w:rsidP="00CA7DF7">
      <w:pPr>
        <w:pStyle w:val="LEG1"/>
      </w:pPr>
      <w:r w:rsidRPr="007324D3">
        <w:t>Pravidla uveřejňování uvedená v této smlouvě, se použijí i na případné dodatky této smlouvy.</w:t>
      </w:r>
    </w:p>
    <w:p w14:paraId="018C923A" w14:textId="77777777" w:rsidR="00776477" w:rsidRPr="007324D3" w:rsidRDefault="00776477" w:rsidP="007324D3">
      <w:pPr>
        <w:pStyle w:val="NadpisLEG"/>
      </w:pPr>
      <w:r w:rsidRPr="007324D3">
        <w:t>Závěrečná ujednání</w:t>
      </w:r>
    </w:p>
    <w:p w14:paraId="08D26BDA" w14:textId="56DD2776" w:rsidR="00CA7DF7" w:rsidRPr="007324D3" w:rsidRDefault="00CA7DF7" w:rsidP="00CA7DF7">
      <w:pPr>
        <w:pStyle w:val="LEG1"/>
      </w:pPr>
      <w:r w:rsidRPr="007324D3">
        <w:t xml:space="preserve">Tato smlouva nabývá platnosti a účinnosti dnem jejího podpisu oběma smluvními stranami. Pokud smlouva podléhá povinnosti uveřejnění dle zákona o registru smluv, pak nabývá účinnosti dnem jejího uveřejnění v registru smluv, a uzavírá se na období od </w:t>
      </w:r>
      <w:r w:rsidR="003F7368">
        <w:t>1. 1. 20</w:t>
      </w:r>
      <w:r w:rsidR="00785DF4">
        <w:t>20</w:t>
      </w:r>
      <w:r w:rsidRPr="007324D3">
        <w:t xml:space="preserve"> do </w:t>
      </w:r>
      <w:r w:rsidR="003F7368">
        <w:t>31. 12. 20</w:t>
      </w:r>
      <w:r w:rsidR="00785DF4">
        <w:t>20</w:t>
      </w:r>
      <w:r w:rsidR="003F7368">
        <w:t>.</w:t>
      </w:r>
    </w:p>
    <w:p w14:paraId="2F5EBC7C" w14:textId="4C4EB5F5" w:rsidR="00796CF4" w:rsidRPr="007324D3" w:rsidRDefault="003F7368" w:rsidP="00796CF4">
      <w:pPr>
        <w:pStyle w:val="LEG1"/>
      </w:pPr>
      <w:r>
        <w:t>Kontaktní osobou za p</w:t>
      </w:r>
      <w:r w:rsidR="00796CF4" w:rsidRPr="007324D3">
        <w:t xml:space="preserve">rodávajícího pro tuto smlouvu je </w:t>
      </w:r>
      <w:r>
        <w:t>Mgr. Kristýna Musilová Daňhelová, obchodní zástupkyně.</w:t>
      </w:r>
    </w:p>
    <w:p w14:paraId="0B804731" w14:textId="77777777" w:rsidR="009F1295" w:rsidRPr="007324D3" w:rsidRDefault="009F1295" w:rsidP="004C2F0C">
      <w:pPr>
        <w:pStyle w:val="LEG1"/>
      </w:pPr>
      <w:r w:rsidRPr="007324D3">
        <w:t>Tato smlouva je vyhotovena ve dvou stejnopisech s platností originálu, přičemž každá smluvní strana obdrží jedno vyhotovení.</w:t>
      </w:r>
    </w:p>
    <w:p w14:paraId="5337DC3C" w14:textId="77777777" w:rsidR="009F1295" w:rsidRPr="007324D3" w:rsidRDefault="009F1295" w:rsidP="004C2F0C">
      <w:pPr>
        <w:pStyle w:val="LEG1"/>
      </w:pPr>
      <w:r w:rsidRPr="007324D3">
        <w:t>Práva a povinnosti smluvních stran se řídí ustanoveními zákona č. 89/2012 Sb., občanského zákoníku.</w:t>
      </w:r>
    </w:p>
    <w:p w14:paraId="2108B930" w14:textId="77777777" w:rsidR="009F1295" w:rsidRPr="007324D3" w:rsidRDefault="009F1295" w:rsidP="004C2F0C">
      <w:pPr>
        <w:pStyle w:val="LEG1"/>
      </w:pPr>
      <w:r w:rsidRPr="007324D3">
        <w:t>Tato smlouva představuje úplné ujednání smluvních stran. Ke změně této smlouvy může dojít pouze písemně. Není-li dodržena písemná forma dle tohoto ustanovení, je právní jednání neplatné. Smluvní strany ne</w:t>
      </w:r>
      <w:r w:rsidR="000A364E" w:rsidRPr="007324D3">
        <w:t>jsou vázány právním jednáním, u </w:t>
      </w:r>
      <w:r w:rsidRPr="007324D3">
        <w:t>něhož nebyla dodržena smluvená písemná forma.</w:t>
      </w:r>
    </w:p>
    <w:p w14:paraId="66B517E3" w14:textId="77777777" w:rsidR="009F1295" w:rsidRPr="007324D3" w:rsidRDefault="009F1295" w:rsidP="004C2F0C">
      <w:pPr>
        <w:pStyle w:val="LEG1"/>
      </w:pPr>
      <w:r w:rsidRPr="007324D3">
        <w:t>V případě neplatnosti či neúčinnosti jakéhokoli ustanovení této smlouvy, zůstávají ostatní ustanovení smlouvy platná a účinná. Smluvní strany se zavazují nahradit neplatné či neúčinné ustanovení smlouvy ustanovením platným a účinným, které svým obsahem a smyslem odpovídá nejlépe původně zamýšlenému účelu.</w:t>
      </w:r>
    </w:p>
    <w:p w14:paraId="4C625B2C" w14:textId="77777777" w:rsidR="009F1295" w:rsidRPr="007324D3" w:rsidRDefault="009F1295" w:rsidP="004C2F0C">
      <w:pPr>
        <w:pStyle w:val="LEG1"/>
      </w:pPr>
      <w:r w:rsidRPr="007324D3">
        <w:t>Smluvní strany prohlašují, že si smlouvu přečetly, s jejím obsahem, který je projevem jejich pravé a svobodné vůle souhlasí a na důkaz toho, že není uzavírána za nápadně nevýhodných podmínek, ji stvrzují vlastnoručními podpisy.</w:t>
      </w:r>
    </w:p>
    <w:p w14:paraId="74507C8D" w14:textId="77777777" w:rsidR="00DF7F9C" w:rsidRPr="007324D3" w:rsidRDefault="00DF7F9C" w:rsidP="00DF7F9C">
      <w:pPr>
        <w:pStyle w:val="LEG1"/>
      </w:pPr>
      <w:r w:rsidRPr="007324D3">
        <w:t>Přílohy:</w:t>
      </w:r>
    </w:p>
    <w:p w14:paraId="4EC717B2" w14:textId="77777777" w:rsidR="00DF7F9C" w:rsidRPr="007324D3" w:rsidRDefault="00DF7F9C" w:rsidP="00DF7F9C">
      <w:pPr>
        <w:pStyle w:val="LEG1"/>
        <w:numPr>
          <w:ilvl w:val="0"/>
          <w:numId w:val="0"/>
        </w:numPr>
        <w:ind w:left="709"/>
      </w:pPr>
      <w:r w:rsidRPr="007324D3">
        <w:t>Příloha č. 1 – Výše bonusu a obratu (obchodní tajemství)</w:t>
      </w:r>
    </w:p>
    <w:p w14:paraId="32BB0A5C" w14:textId="4E006D26" w:rsidR="00A90B58" w:rsidRDefault="00A90B58" w:rsidP="00A90B58">
      <w:pPr>
        <w:widowControl w:val="0"/>
        <w:tabs>
          <w:tab w:val="left" w:pos="5245"/>
        </w:tabs>
        <w:spacing w:before="360" w:after="180"/>
        <w:rPr>
          <w:rFonts w:ascii="RotisSerif" w:hAnsi="RotisSerif"/>
        </w:rPr>
      </w:pPr>
      <w:r>
        <w:rPr>
          <w:rFonts w:ascii="RotisSerif" w:hAnsi="RotisSerif"/>
        </w:rPr>
        <w:lastRenderedPageBreak/>
        <w:t>V Praze dne</w:t>
      </w:r>
      <w:r>
        <w:rPr>
          <w:rFonts w:ascii="RotisSerif" w:hAnsi="RotisSerif"/>
        </w:rPr>
        <w:tab/>
        <w:t>V Příbrami dne</w:t>
      </w:r>
    </w:p>
    <w:p w14:paraId="4C8948C8" w14:textId="4210729A" w:rsidR="00A90B58" w:rsidRDefault="00A90B58" w:rsidP="00A90B58">
      <w:pPr>
        <w:tabs>
          <w:tab w:val="left" w:pos="5245"/>
        </w:tabs>
        <w:ind w:left="4248" w:hanging="4248"/>
        <w:rPr>
          <w:b/>
        </w:rPr>
      </w:pPr>
      <w:r>
        <w:rPr>
          <w:rFonts w:ascii="RotisSerif" w:hAnsi="RotisSerif"/>
          <w:b/>
        </w:rPr>
        <w:t xml:space="preserve">B. Braun </w:t>
      </w:r>
      <w:proofErr w:type="spellStart"/>
      <w:r>
        <w:rPr>
          <w:rFonts w:ascii="RotisSerif" w:hAnsi="RotisSerif"/>
          <w:b/>
        </w:rPr>
        <w:t>Medical</w:t>
      </w:r>
      <w:proofErr w:type="spellEnd"/>
      <w:r>
        <w:rPr>
          <w:rFonts w:ascii="RotisSerif" w:hAnsi="RotisSerif"/>
          <w:b/>
        </w:rPr>
        <w:t xml:space="preserve"> s.r.o.</w:t>
      </w:r>
      <w:r w:rsidRPr="0041080D">
        <w:t xml:space="preserve"> </w:t>
      </w:r>
      <w:r>
        <w:tab/>
      </w:r>
      <w:r>
        <w:tab/>
      </w:r>
      <w:r>
        <w:rPr>
          <w:b/>
        </w:rPr>
        <w:t>Oblastní nemocnice Příbram, a.s.</w:t>
      </w:r>
    </w:p>
    <w:p w14:paraId="0C0965F3" w14:textId="77777777" w:rsidR="00A90B58" w:rsidRDefault="00A90B58" w:rsidP="00A90B58">
      <w:pPr>
        <w:tabs>
          <w:tab w:val="left" w:pos="5245"/>
        </w:tabs>
        <w:ind w:left="4248" w:hanging="4248"/>
        <w:rPr>
          <w:rFonts w:ascii="RotisSerif" w:hAnsi="RotisSerif"/>
          <w:b/>
        </w:rPr>
      </w:pPr>
    </w:p>
    <w:p w14:paraId="49BA06EF" w14:textId="77777777" w:rsidR="00A90B58" w:rsidRDefault="00A90B58" w:rsidP="00A90B58">
      <w:pPr>
        <w:widowControl w:val="0"/>
        <w:tabs>
          <w:tab w:val="left" w:pos="5245"/>
        </w:tabs>
        <w:rPr>
          <w:rFonts w:ascii="RotisSerif" w:hAnsi="RotisSerif"/>
        </w:rPr>
      </w:pPr>
    </w:p>
    <w:p w14:paraId="00A8D658" w14:textId="77777777" w:rsidR="00A90B58" w:rsidRDefault="00A90B58" w:rsidP="00A90B58">
      <w:pPr>
        <w:widowControl w:val="0"/>
        <w:tabs>
          <w:tab w:val="left" w:pos="5245"/>
        </w:tabs>
        <w:rPr>
          <w:rFonts w:ascii="RotisSerif" w:hAnsi="RotisSerif"/>
        </w:rPr>
      </w:pPr>
    </w:p>
    <w:p w14:paraId="6833A770" w14:textId="77777777" w:rsidR="00A90B58" w:rsidRDefault="00A90B58" w:rsidP="00A90B58">
      <w:pPr>
        <w:widowControl w:val="0"/>
        <w:tabs>
          <w:tab w:val="left" w:pos="5245"/>
        </w:tabs>
        <w:rPr>
          <w:rFonts w:ascii="RotisSerif" w:hAnsi="RotisSerif"/>
        </w:rPr>
      </w:pPr>
      <w:r>
        <w:rPr>
          <w:rFonts w:ascii="RotisSerif" w:hAnsi="RotisSerif"/>
        </w:rPr>
        <w:t>____________________________</w:t>
      </w:r>
      <w:r>
        <w:rPr>
          <w:rFonts w:ascii="RotisSerif" w:hAnsi="RotisSerif"/>
        </w:rPr>
        <w:tab/>
        <w:t>____________________________</w:t>
      </w:r>
    </w:p>
    <w:p w14:paraId="20AB59BE" w14:textId="7CA26603" w:rsidR="00A90B58" w:rsidRDefault="00A90B58" w:rsidP="00A90B58">
      <w:pPr>
        <w:widowControl w:val="0"/>
        <w:tabs>
          <w:tab w:val="left" w:pos="5245"/>
        </w:tabs>
        <w:rPr>
          <w:rFonts w:ascii="RotisSerif" w:hAnsi="RotisSerif"/>
        </w:rPr>
      </w:pPr>
      <w:r>
        <w:rPr>
          <w:rFonts w:ascii="RotisSerif" w:hAnsi="RotisSerif"/>
        </w:rPr>
        <w:t>MUDr. Alan Munteanu</w:t>
      </w:r>
      <w:r>
        <w:rPr>
          <w:rFonts w:ascii="RotisSerif" w:hAnsi="RotisSerif"/>
        </w:rPr>
        <w:tab/>
      </w:r>
      <w:r w:rsidRPr="003C4790">
        <w:rPr>
          <w:rFonts w:ascii="RotisSerif" w:hAnsi="RotisSerif"/>
        </w:rPr>
        <w:t xml:space="preserve">MUDr. </w:t>
      </w:r>
      <w:r>
        <w:rPr>
          <w:rFonts w:ascii="RotisSerif" w:hAnsi="RotisSerif"/>
        </w:rPr>
        <w:t xml:space="preserve">Stanislav </w:t>
      </w:r>
      <w:proofErr w:type="spellStart"/>
      <w:r>
        <w:rPr>
          <w:rFonts w:ascii="RotisSerif" w:hAnsi="RotisSerif"/>
        </w:rPr>
        <w:t>Holobrada</w:t>
      </w:r>
      <w:proofErr w:type="spellEnd"/>
    </w:p>
    <w:p w14:paraId="6A0CCD70" w14:textId="38779105" w:rsidR="00A90B58" w:rsidRDefault="00A90B58" w:rsidP="00A90B58">
      <w:pPr>
        <w:widowControl w:val="0"/>
        <w:tabs>
          <w:tab w:val="left" w:pos="5245"/>
        </w:tabs>
        <w:rPr>
          <w:rFonts w:ascii="RotisSerif" w:hAnsi="RotisSerif"/>
        </w:rPr>
      </w:pPr>
      <w:r>
        <w:rPr>
          <w:rFonts w:ascii="RotisSerif" w:hAnsi="RotisSerif"/>
        </w:rPr>
        <w:t xml:space="preserve">ředitel divize </w:t>
      </w:r>
      <w:proofErr w:type="spellStart"/>
      <w:r>
        <w:rPr>
          <w:rFonts w:ascii="RotisSerif" w:hAnsi="RotisSerif"/>
        </w:rPr>
        <w:t>Aesculap</w:t>
      </w:r>
      <w:proofErr w:type="spellEnd"/>
      <w:r>
        <w:rPr>
          <w:rFonts w:ascii="RotisSerif" w:hAnsi="RotisSerif"/>
        </w:rPr>
        <w:tab/>
        <w:t>předseda představenstva</w:t>
      </w:r>
      <w:r>
        <w:rPr>
          <w:rFonts w:ascii="RotisSerif" w:hAnsi="RotisSerif"/>
        </w:rPr>
        <w:tab/>
      </w:r>
      <w:r>
        <w:rPr>
          <w:rFonts w:ascii="RotisSerif" w:hAnsi="RotisSerif"/>
        </w:rPr>
        <w:tab/>
      </w:r>
    </w:p>
    <w:p w14:paraId="288E4DA4" w14:textId="008FBB7A" w:rsidR="00CF0559" w:rsidRDefault="00A90B58" w:rsidP="00A90B58">
      <w:pPr>
        <w:widowControl w:val="0"/>
        <w:tabs>
          <w:tab w:val="left" w:pos="5245"/>
        </w:tabs>
        <w:rPr>
          <w:rFonts w:ascii="RotisSerif" w:hAnsi="RotisSerif"/>
        </w:rPr>
      </w:pPr>
      <w:r>
        <w:rPr>
          <w:rFonts w:ascii="RotisSerif" w:hAnsi="RotisSerif"/>
        </w:rPr>
        <w:t>na základě plné moci</w:t>
      </w:r>
    </w:p>
    <w:p w14:paraId="2517E1CE" w14:textId="77777777" w:rsidR="00A90B58" w:rsidRDefault="00A90B58" w:rsidP="00A90B58">
      <w:pPr>
        <w:widowControl w:val="0"/>
        <w:tabs>
          <w:tab w:val="left" w:pos="5245"/>
        </w:tabs>
        <w:rPr>
          <w:rFonts w:ascii="RotisSerif" w:hAnsi="RotisSerif"/>
        </w:rPr>
      </w:pPr>
    </w:p>
    <w:p w14:paraId="493494C6" w14:textId="77777777" w:rsidR="00A90B58" w:rsidRDefault="00A90B58" w:rsidP="00A90B58">
      <w:pPr>
        <w:widowControl w:val="0"/>
        <w:tabs>
          <w:tab w:val="left" w:pos="5245"/>
        </w:tabs>
        <w:rPr>
          <w:rFonts w:ascii="RotisSerif" w:hAnsi="RotisSerif"/>
        </w:rPr>
      </w:pPr>
    </w:p>
    <w:p w14:paraId="53FF32B6" w14:textId="5E2F7A80" w:rsidR="00A90B58" w:rsidRDefault="00A90B58" w:rsidP="00A90B58">
      <w:pPr>
        <w:widowControl w:val="0"/>
        <w:tabs>
          <w:tab w:val="left" w:pos="5245"/>
        </w:tabs>
        <w:rPr>
          <w:rFonts w:ascii="RotisSerif" w:hAnsi="RotisSerif"/>
        </w:rPr>
      </w:pPr>
      <w:r>
        <w:rPr>
          <w:rFonts w:ascii="RotisSerif" w:hAnsi="RotisSerif"/>
        </w:rPr>
        <w:tab/>
        <w:t>____________________________</w:t>
      </w:r>
    </w:p>
    <w:p w14:paraId="00496323" w14:textId="15B483E5" w:rsidR="00A90B58" w:rsidRDefault="00A90B58" w:rsidP="00A90B58">
      <w:pPr>
        <w:widowControl w:val="0"/>
        <w:tabs>
          <w:tab w:val="left" w:pos="5245"/>
        </w:tabs>
        <w:rPr>
          <w:rFonts w:ascii="RotisSerif" w:hAnsi="RotisSerif"/>
        </w:rPr>
      </w:pPr>
      <w:r>
        <w:rPr>
          <w:rFonts w:ascii="RotisSerif" w:hAnsi="RotisSerif"/>
        </w:rPr>
        <w:tab/>
        <w:t>Mgr. Tomáš Helebrant</w:t>
      </w:r>
    </w:p>
    <w:p w14:paraId="793A7DF6" w14:textId="4317B386" w:rsidR="00A90B58" w:rsidRDefault="00A90B58" w:rsidP="00A90B58">
      <w:pPr>
        <w:widowControl w:val="0"/>
        <w:tabs>
          <w:tab w:val="left" w:pos="5245"/>
        </w:tabs>
        <w:rPr>
          <w:rFonts w:ascii="RotisSerif" w:hAnsi="RotisSerif"/>
        </w:rPr>
      </w:pPr>
      <w:r>
        <w:rPr>
          <w:rFonts w:ascii="RotisSerif" w:hAnsi="RotisSerif"/>
        </w:rPr>
        <w:tab/>
        <w:t>místopředseda představenstva</w:t>
      </w:r>
      <w:r>
        <w:rPr>
          <w:rFonts w:ascii="RotisSerif" w:hAnsi="RotisSerif"/>
        </w:rPr>
        <w:tab/>
      </w:r>
    </w:p>
    <w:p w14:paraId="4B2BD567" w14:textId="77777777" w:rsidR="00A90B58" w:rsidRDefault="00A90B58" w:rsidP="00A90B58">
      <w:pPr>
        <w:widowControl w:val="0"/>
        <w:tabs>
          <w:tab w:val="left" w:pos="5245"/>
        </w:tabs>
        <w:rPr>
          <w:rFonts w:ascii="RotisSerif" w:hAnsi="RotisSerif"/>
        </w:rPr>
      </w:pPr>
    </w:p>
    <w:p w14:paraId="0506E6EB" w14:textId="77777777" w:rsidR="00A90B58" w:rsidRPr="007324D3" w:rsidRDefault="00A90B58" w:rsidP="00A90B58">
      <w:pPr>
        <w:widowControl w:val="0"/>
        <w:tabs>
          <w:tab w:val="left" w:pos="5245"/>
        </w:tabs>
        <w:rPr>
          <w:rFonts w:ascii="RotisSerif" w:hAnsi="RotisSerif"/>
        </w:rPr>
        <w:sectPr w:rsidR="00A90B58" w:rsidRPr="007324D3" w:rsidSect="003F73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76455A47" w14:textId="77777777" w:rsidR="00CF0559" w:rsidRPr="007324D3" w:rsidRDefault="00CF0559" w:rsidP="00276420">
      <w:pPr>
        <w:spacing w:after="360"/>
        <w:rPr>
          <w:rFonts w:ascii="RotisSerif" w:hAnsi="RotisSerif"/>
          <w:b/>
        </w:rPr>
      </w:pPr>
      <w:r w:rsidRPr="007324D3">
        <w:rPr>
          <w:rFonts w:ascii="RotisSerif" w:hAnsi="RotisSerif"/>
          <w:b/>
        </w:rPr>
        <w:lastRenderedPageBreak/>
        <w:t xml:space="preserve">Příloha č. </w:t>
      </w:r>
      <w:r w:rsidR="00441D5F" w:rsidRPr="007324D3">
        <w:rPr>
          <w:rFonts w:ascii="RotisSerif" w:hAnsi="RotisSerif"/>
          <w:b/>
        </w:rPr>
        <w:t>1</w:t>
      </w:r>
    </w:p>
    <w:p w14:paraId="2734F39A" w14:textId="77777777" w:rsidR="00CA7DF7" w:rsidRPr="007324D3" w:rsidRDefault="00CA7DF7" w:rsidP="00276420">
      <w:pPr>
        <w:spacing w:after="360"/>
        <w:rPr>
          <w:rFonts w:ascii="RotisSerif" w:hAnsi="RotisSerif"/>
          <w:b/>
        </w:rPr>
      </w:pPr>
      <w:r w:rsidRPr="007324D3">
        <w:rPr>
          <w:rFonts w:ascii="RotisSerif" w:hAnsi="RotisSerif"/>
          <w:b/>
        </w:rPr>
        <w:t>Vzor pro výpočet bonusu:</w:t>
      </w:r>
    </w:p>
    <w:p w14:paraId="7449AF46" w14:textId="77777777" w:rsidR="00CA7DF7" w:rsidRPr="007324D3" w:rsidRDefault="00CA7DF7" w:rsidP="00276420">
      <w:pPr>
        <w:spacing w:after="360"/>
        <w:rPr>
          <w:rFonts w:ascii="RotisSerif" w:hAnsi="RotisSerif"/>
          <w:b/>
        </w:rPr>
      </w:pPr>
      <w:r w:rsidRPr="007324D3">
        <w:rPr>
          <w:rFonts w:ascii="RotisSerif" w:hAnsi="RotisSerif"/>
          <w:b/>
        </w:rPr>
        <w:t>B = O * P</w:t>
      </w:r>
    </w:p>
    <w:p w14:paraId="32465FAD" w14:textId="77777777" w:rsidR="00CA7DF7" w:rsidRPr="007324D3" w:rsidRDefault="00CA7DF7" w:rsidP="00CA7DF7">
      <w:pPr>
        <w:rPr>
          <w:rFonts w:ascii="RotisSerif" w:hAnsi="RotisSerif"/>
        </w:rPr>
      </w:pPr>
      <w:r w:rsidRPr="007324D3">
        <w:rPr>
          <w:rFonts w:ascii="RotisSerif" w:hAnsi="RotisSerif"/>
        </w:rPr>
        <w:t>B – nominální výše bonusu</w:t>
      </w:r>
    </w:p>
    <w:p w14:paraId="50D12BA4" w14:textId="77777777" w:rsidR="00CA7DF7" w:rsidRPr="007324D3" w:rsidRDefault="00CA7DF7" w:rsidP="00CA7DF7">
      <w:pPr>
        <w:rPr>
          <w:rFonts w:ascii="RotisSerif" w:hAnsi="RotisSerif"/>
        </w:rPr>
      </w:pPr>
      <w:r w:rsidRPr="007324D3">
        <w:rPr>
          <w:rFonts w:ascii="RotisSerif" w:hAnsi="RotisSerif"/>
        </w:rPr>
        <w:t>O – výše obratu (z fakturovaných cen bez DPH)</w:t>
      </w:r>
    </w:p>
    <w:p w14:paraId="03840A79" w14:textId="77777777" w:rsidR="00CA7DF7" w:rsidRPr="007324D3" w:rsidRDefault="00CA7DF7" w:rsidP="00CA7DF7">
      <w:pPr>
        <w:rPr>
          <w:rFonts w:ascii="RotisSerif" w:hAnsi="RotisSerif"/>
        </w:rPr>
      </w:pPr>
      <w:r w:rsidRPr="007324D3">
        <w:rPr>
          <w:rFonts w:ascii="RotisSerif" w:hAnsi="RotisSerif"/>
        </w:rPr>
        <w:t>P – výše bonusu v % stanovena dle tabulky</w:t>
      </w:r>
    </w:p>
    <w:p w14:paraId="03EEC740" w14:textId="77777777" w:rsidR="00796CF4" w:rsidRPr="007324D3" w:rsidRDefault="00796CF4" w:rsidP="00441D5F">
      <w:pPr>
        <w:rPr>
          <w:rFonts w:ascii="RotisSerif" w:hAnsi="RotisSerif"/>
          <w:b/>
        </w:rPr>
      </w:pPr>
      <w:bookmarkStart w:id="3" w:name="_GoBack"/>
      <w:bookmarkEnd w:id="3"/>
    </w:p>
    <w:sectPr w:rsidR="00796CF4" w:rsidRPr="007324D3" w:rsidSect="007324D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1B05B" w14:textId="77777777" w:rsidR="00311996" w:rsidRDefault="00311996" w:rsidP="00054071">
      <w:r>
        <w:separator/>
      </w:r>
    </w:p>
  </w:endnote>
  <w:endnote w:type="continuationSeparator" w:id="0">
    <w:p w14:paraId="17DD1764" w14:textId="77777777" w:rsidR="00311996" w:rsidRDefault="00311996" w:rsidP="0005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tisSerif">
    <w:panose1 w:val="02070500000000000000"/>
    <w:charset w:val="EE"/>
    <w:family w:val="roman"/>
    <w:pitch w:val="variable"/>
    <w:sig w:usb0="8000002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tisSansSerif">
    <w:panose1 w:val="020B0500000000000000"/>
    <w:charset w:val="EE"/>
    <w:family w:val="swiss"/>
    <w:pitch w:val="variable"/>
    <w:sig w:usb0="8000002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09BB" w14:textId="77777777" w:rsidR="00764185" w:rsidRDefault="007641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RotisSerif" w:hAnsi="RotisSerif"/>
      </w:rPr>
      <w:id w:val="41419437"/>
      <w:docPartObj>
        <w:docPartGallery w:val="Page Numbers (Bottom of Page)"/>
        <w:docPartUnique/>
      </w:docPartObj>
    </w:sdtPr>
    <w:sdtEndPr/>
    <w:sdtContent>
      <w:p w14:paraId="0AC9B306" w14:textId="77777777" w:rsidR="00386F02" w:rsidRPr="007324D3" w:rsidRDefault="00386F02">
        <w:pPr>
          <w:pStyle w:val="Zpat"/>
          <w:jc w:val="center"/>
          <w:rPr>
            <w:rFonts w:ascii="RotisSerif" w:hAnsi="RotisSerif"/>
          </w:rPr>
        </w:pPr>
        <w:r w:rsidRPr="007324D3">
          <w:rPr>
            <w:rFonts w:ascii="RotisSerif" w:hAnsi="RotisSerif"/>
          </w:rPr>
          <w:t xml:space="preserve">Strana </w:t>
        </w:r>
        <w:r w:rsidR="00645C39" w:rsidRPr="007324D3">
          <w:rPr>
            <w:rFonts w:ascii="RotisSerif" w:hAnsi="RotisSerif"/>
          </w:rPr>
          <w:fldChar w:fldCharType="begin"/>
        </w:r>
        <w:r w:rsidRPr="007324D3">
          <w:rPr>
            <w:rFonts w:ascii="RotisSerif" w:hAnsi="RotisSerif"/>
          </w:rPr>
          <w:instrText xml:space="preserve"> PAGE   \* MERGEFORMAT </w:instrText>
        </w:r>
        <w:r w:rsidR="00645C39" w:rsidRPr="007324D3">
          <w:rPr>
            <w:rFonts w:ascii="RotisSerif" w:hAnsi="RotisSerif"/>
          </w:rPr>
          <w:fldChar w:fldCharType="separate"/>
        </w:r>
        <w:r w:rsidR="00F2519A">
          <w:rPr>
            <w:rFonts w:ascii="RotisSerif" w:hAnsi="RotisSerif"/>
            <w:noProof/>
          </w:rPr>
          <w:t>4</w:t>
        </w:r>
        <w:r w:rsidR="00645C39" w:rsidRPr="007324D3">
          <w:rPr>
            <w:rFonts w:ascii="RotisSerif" w:hAnsi="RotisSerif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DE44" w14:textId="77777777" w:rsidR="00764185" w:rsidRDefault="0076418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RotisSerif" w:hAnsi="RotisSerif"/>
      </w:rPr>
      <w:id w:val="-2092386136"/>
      <w:docPartObj>
        <w:docPartGallery w:val="Page Numbers (Bottom of Page)"/>
        <w:docPartUnique/>
      </w:docPartObj>
    </w:sdtPr>
    <w:sdtEndPr/>
    <w:sdtContent>
      <w:p w14:paraId="3AAC2C66" w14:textId="77777777" w:rsidR="00A90B58" w:rsidRPr="007324D3" w:rsidRDefault="00A90B58" w:rsidP="00A90B58">
        <w:pPr>
          <w:pStyle w:val="Zpat"/>
          <w:jc w:val="center"/>
          <w:rPr>
            <w:rFonts w:ascii="RotisSerif" w:hAnsi="RotisSerif"/>
          </w:rPr>
        </w:pPr>
        <w:r w:rsidRPr="007324D3">
          <w:rPr>
            <w:rFonts w:ascii="RotisSerif" w:hAnsi="RotisSerif"/>
          </w:rPr>
          <w:t xml:space="preserve">Strana </w:t>
        </w:r>
        <w:r w:rsidRPr="007324D3">
          <w:rPr>
            <w:rFonts w:ascii="RotisSerif" w:hAnsi="RotisSerif"/>
          </w:rPr>
          <w:fldChar w:fldCharType="begin"/>
        </w:r>
        <w:r w:rsidRPr="007324D3">
          <w:rPr>
            <w:rFonts w:ascii="RotisSerif" w:hAnsi="RotisSerif"/>
          </w:rPr>
          <w:instrText xml:space="preserve"> PAGE   \* MERGEFORMAT </w:instrText>
        </w:r>
        <w:r w:rsidRPr="007324D3">
          <w:rPr>
            <w:rFonts w:ascii="RotisSerif" w:hAnsi="RotisSerif"/>
          </w:rPr>
          <w:fldChar w:fldCharType="separate"/>
        </w:r>
        <w:r w:rsidR="00276420">
          <w:rPr>
            <w:rFonts w:ascii="RotisSerif" w:hAnsi="RotisSerif"/>
            <w:noProof/>
          </w:rPr>
          <w:t>6</w:t>
        </w:r>
        <w:r w:rsidRPr="007324D3">
          <w:rPr>
            <w:rFonts w:ascii="RotisSerif" w:hAnsi="RotisSerif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RotisSerif" w:hAnsi="RotisSerif"/>
      </w:rPr>
      <w:id w:val="1484199294"/>
      <w:docPartObj>
        <w:docPartGallery w:val="Page Numbers (Bottom of Page)"/>
        <w:docPartUnique/>
      </w:docPartObj>
    </w:sdtPr>
    <w:sdtEndPr/>
    <w:sdtContent>
      <w:p w14:paraId="3133D33E" w14:textId="5A262478" w:rsidR="005D0EBA" w:rsidRPr="005D0EBA" w:rsidRDefault="005D0EBA" w:rsidP="005D0EBA">
        <w:pPr>
          <w:pStyle w:val="Zpat"/>
          <w:jc w:val="center"/>
          <w:rPr>
            <w:rFonts w:ascii="RotisSerif" w:hAnsi="RotisSerif"/>
          </w:rPr>
        </w:pPr>
        <w:r w:rsidRPr="007324D3">
          <w:rPr>
            <w:rFonts w:ascii="RotisSerif" w:hAnsi="RotisSerif"/>
          </w:rPr>
          <w:t xml:space="preserve">Strana </w:t>
        </w:r>
        <w:r w:rsidRPr="007324D3">
          <w:rPr>
            <w:rFonts w:ascii="RotisSerif" w:hAnsi="RotisSerif"/>
          </w:rPr>
          <w:fldChar w:fldCharType="begin"/>
        </w:r>
        <w:r w:rsidRPr="007324D3">
          <w:rPr>
            <w:rFonts w:ascii="RotisSerif" w:hAnsi="RotisSerif"/>
          </w:rPr>
          <w:instrText xml:space="preserve"> PAGE   \* MERGEFORMAT </w:instrText>
        </w:r>
        <w:r w:rsidRPr="007324D3">
          <w:rPr>
            <w:rFonts w:ascii="RotisSerif" w:hAnsi="RotisSerif"/>
          </w:rPr>
          <w:fldChar w:fldCharType="separate"/>
        </w:r>
        <w:r w:rsidR="00F2519A">
          <w:rPr>
            <w:rFonts w:ascii="RotisSerif" w:hAnsi="RotisSerif"/>
            <w:noProof/>
          </w:rPr>
          <w:t>5</w:t>
        </w:r>
        <w:r w:rsidRPr="007324D3">
          <w:rPr>
            <w:rFonts w:ascii="RotisSerif" w:hAnsi="RotisSeri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1BD76" w14:textId="77777777" w:rsidR="00311996" w:rsidRDefault="00311996" w:rsidP="00054071">
      <w:r>
        <w:separator/>
      </w:r>
    </w:p>
  </w:footnote>
  <w:footnote w:type="continuationSeparator" w:id="0">
    <w:p w14:paraId="569BF024" w14:textId="77777777" w:rsidR="00311996" w:rsidRDefault="00311996" w:rsidP="00054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DD374" w14:textId="77777777" w:rsidR="00764185" w:rsidRDefault="007641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CAD11" w14:textId="77777777" w:rsidR="00764185" w:rsidRDefault="007641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03D94" w14:textId="77777777" w:rsidR="00764185" w:rsidRDefault="0076418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D833F" w14:textId="00138BE2" w:rsidR="00C65AD6" w:rsidRPr="00A90B58" w:rsidRDefault="00A90B58" w:rsidP="00A90B58">
    <w:pPr>
      <w:pStyle w:val="Zhlav"/>
      <w:spacing w:before="360" w:after="360"/>
      <w:rPr>
        <w:rFonts w:ascii="RotisSerif" w:hAnsi="RotisSerif"/>
        <w:color w:val="C00000"/>
      </w:rPr>
    </w:pPr>
    <w:r>
      <w:rPr>
        <w:rFonts w:ascii="RotisSerif" w:hAnsi="RotisSerif"/>
        <w:color w:val="C00000"/>
      </w:rPr>
      <w:t>[OBCHODNÍ TAJEMSTVÍ – NEZ</w:t>
    </w:r>
    <w:r w:rsidRPr="00404758">
      <w:rPr>
        <w:rFonts w:ascii="RotisSerif" w:hAnsi="RotisSerif"/>
        <w:color w:val="C00000"/>
      </w:rPr>
      <w:t>VEŘEJŇOVAT]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A00FF" w14:textId="77777777" w:rsidR="00A90B58" w:rsidRPr="00974A91" w:rsidRDefault="00A90B58" w:rsidP="00A90B58">
    <w:pPr>
      <w:pStyle w:val="Zhlav"/>
      <w:spacing w:before="360" w:after="360"/>
      <w:rPr>
        <w:rFonts w:ascii="RotisSerif" w:hAnsi="RotisSerif"/>
        <w:color w:val="C00000"/>
      </w:rPr>
    </w:pPr>
    <w:r>
      <w:rPr>
        <w:rFonts w:ascii="RotisSerif" w:hAnsi="RotisSerif"/>
        <w:color w:val="C00000"/>
      </w:rPr>
      <w:t>[OBCHODNÍ TAJEMSTVÍ – NEZ</w:t>
    </w:r>
    <w:r w:rsidRPr="00404758">
      <w:rPr>
        <w:rFonts w:ascii="RotisSerif" w:hAnsi="RotisSerif"/>
        <w:color w:val="C00000"/>
      </w:rPr>
      <w:t>VEŘEJŇOVAT]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01EB"/>
    <w:multiLevelType w:val="hybridMultilevel"/>
    <w:tmpl w:val="9378CB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7E6B"/>
    <w:multiLevelType w:val="hybridMultilevel"/>
    <w:tmpl w:val="084A52E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A0F6D"/>
    <w:multiLevelType w:val="multilevel"/>
    <w:tmpl w:val="CE38C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8413042"/>
    <w:multiLevelType w:val="multilevel"/>
    <w:tmpl w:val="76DC3346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ascii="RotisSerif" w:hAnsi="Rotis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G2"/>
      <w:lvlText w:val="%1.%2.%3"/>
      <w:lvlJc w:val="left"/>
      <w:pPr>
        <w:ind w:left="1418" w:hanging="698"/>
      </w:pPr>
      <w:rPr>
        <w:rFonts w:hint="default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084540"/>
    <w:multiLevelType w:val="hybridMultilevel"/>
    <w:tmpl w:val="CDF01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A06AA3"/>
    <w:multiLevelType w:val="multilevel"/>
    <w:tmpl w:val="492C79D4"/>
    <w:lvl w:ilvl="0">
      <w:start w:val="1"/>
      <w:numFmt w:val="decimal"/>
      <w:pStyle w:val="Ploh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pStyle w:val="Ploha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EE2A86"/>
    <w:multiLevelType w:val="multilevel"/>
    <w:tmpl w:val="1958B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77"/>
    <w:rsid w:val="00014B2F"/>
    <w:rsid w:val="00014BE5"/>
    <w:rsid w:val="00015E62"/>
    <w:rsid w:val="000213BD"/>
    <w:rsid w:val="0003185B"/>
    <w:rsid w:val="00034A42"/>
    <w:rsid w:val="00035504"/>
    <w:rsid w:val="00041935"/>
    <w:rsid w:val="00041F51"/>
    <w:rsid w:val="00050852"/>
    <w:rsid w:val="00052165"/>
    <w:rsid w:val="0005287F"/>
    <w:rsid w:val="00053C28"/>
    <w:rsid w:val="00054071"/>
    <w:rsid w:val="00055308"/>
    <w:rsid w:val="000553F3"/>
    <w:rsid w:val="00062047"/>
    <w:rsid w:val="00080F8D"/>
    <w:rsid w:val="0008360B"/>
    <w:rsid w:val="0008462E"/>
    <w:rsid w:val="00087725"/>
    <w:rsid w:val="000877B5"/>
    <w:rsid w:val="000947B4"/>
    <w:rsid w:val="000A3601"/>
    <w:rsid w:val="000A364E"/>
    <w:rsid w:val="000B0D43"/>
    <w:rsid w:val="000B1B7E"/>
    <w:rsid w:val="000B1F72"/>
    <w:rsid w:val="000C08CE"/>
    <w:rsid w:val="000C2B11"/>
    <w:rsid w:val="000D0428"/>
    <w:rsid w:val="000F01EF"/>
    <w:rsid w:val="000F3010"/>
    <w:rsid w:val="000F46BD"/>
    <w:rsid w:val="000F7234"/>
    <w:rsid w:val="000F7524"/>
    <w:rsid w:val="000F7747"/>
    <w:rsid w:val="001063A1"/>
    <w:rsid w:val="0010714D"/>
    <w:rsid w:val="00111854"/>
    <w:rsid w:val="00115DEB"/>
    <w:rsid w:val="001160B6"/>
    <w:rsid w:val="0011727B"/>
    <w:rsid w:val="00117DAB"/>
    <w:rsid w:val="00131530"/>
    <w:rsid w:val="001333D1"/>
    <w:rsid w:val="00133D44"/>
    <w:rsid w:val="001378F8"/>
    <w:rsid w:val="001423EA"/>
    <w:rsid w:val="00144495"/>
    <w:rsid w:val="00152BB4"/>
    <w:rsid w:val="00154245"/>
    <w:rsid w:val="0015659B"/>
    <w:rsid w:val="0015778D"/>
    <w:rsid w:val="00157B30"/>
    <w:rsid w:val="00160896"/>
    <w:rsid w:val="001615DC"/>
    <w:rsid w:val="00172AF4"/>
    <w:rsid w:val="00173564"/>
    <w:rsid w:val="001737AA"/>
    <w:rsid w:val="00174139"/>
    <w:rsid w:val="00181BE4"/>
    <w:rsid w:val="00190619"/>
    <w:rsid w:val="00190DAD"/>
    <w:rsid w:val="001964E4"/>
    <w:rsid w:val="00197501"/>
    <w:rsid w:val="001A0D37"/>
    <w:rsid w:val="001A5FCE"/>
    <w:rsid w:val="001A7BE1"/>
    <w:rsid w:val="001B1DF2"/>
    <w:rsid w:val="001B3AD4"/>
    <w:rsid w:val="001D0C74"/>
    <w:rsid w:val="001D38D1"/>
    <w:rsid w:val="001D562D"/>
    <w:rsid w:val="001D7FB0"/>
    <w:rsid w:val="001E4631"/>
    <w:rsid w:val="001F7044"/>
    <w:rsid w:val="001F77D8"/>
    <w:rsid w:val="0020358E"/>
    <w:rsid w:val="002251F3"/>
    <w:rsid w:val="00231A76"/>
    <w:rsid w:val="00235F73"/>
    <w:rsid w:val="002449F7"/>
    <w:rsid w:val="00246D35"/>
    <w:rsid w:val="00252319"/>
    <w:rsid w:val="0025516F"/>
    <w:rsid w:val="002562FE"/>
    <w:rsid w:val="00267928"/>
    <w:rsid w:val="00267D7C"/>
    <w:rsid w:val="00270194"/>
    <w:rsid w:val="002705A3"/>
    <w:rsid w:val="002741E3"/>
    <w:rsid w:val="00276420"/>
    <w:rsid w:val="00284B00"/>
    <w:rsid w:val="0029017D"/>
    <w:rsid w:val="00295B49"/>
    <w:rsid w:val="002A05AB"/>
    <w:rsid w:val="002A2DCF"/>
    <w:rsid w:val="002B646F"/>
    <w:rsid w:val="002B7A2F"/>
    <w:rsid w:val="002C2792"/>
    <w:rsid w:val="002C3413"/>
    <w:rsid w:val="002C7F58"/>
    <w:rsid w:val="002D7A14"/>
    <w:rsid w:val="002E082F"/>
    <w:rsid w:val="002E23E9"/>
    <w:rsid w:val="002E558B"/>
    <w:rsid w:val="002E7B7B"/>
    <w:rsid w:val="002F7E47"/>
    <w:rsid w:val="00301578"/>
    <w:rsid w:val="003062B3"/>
    <w:rsid w:val="00307AB8"/>
    <w:rsid w:val="00307E66"/>
    <w:rsid w:val="00311996"/>
    <w:rsid w:val="00312693"/>
    <w:rsid w:val="003145B5"/>
    <w:rsid w:val="003175EF"/>
    <w:rsid w:val="00322AA6"/>
    <w:rsid w:val="00325BC6"/>
    <w:rsid w:val="00333E72"/>
    <w:rsid w:val="00334D5C"/>
    <w:rsid w:val="0033596B"/>
    <w:rsid w:val="00335C06"/>
    <w:rsid w:val="00340799"/>
    <w:rsid w:val="00343D80"/>
    <w:rsid w:val="003468F0"/>
    <w:rsid w:val="003504DD"/>
    <w:rsid w:val="00352C41"/>
    <w:rsid w:val="003653B8"/>
    <w:rsid w:val="00376224"/>
    <w:rsid w:val="00386F02"/>
    <w:rsid w:val="00392905"/>
    <w:rsid w:val="003A00AE"/>
    <w:rsid w:val="003A09DF"/>
    <w:rsid w:val="003A1CEA"/>
    <w:rsid w:val="003A270C"/>
    <w:rsid w:val="003B169C"/>
    <w:rsid w:val="003B38DD"/>
    <w:rsid w:val="003B5681"/>
    <w:rsid w:val="003B73C6"/>
    <w:rsid w:val="003C7238"/>
    <w:rsid w:val="003E2CC1"/>
    <w:rsid w:val="003E5033"/>
    <w:rsid w:val="003F1546"/>
    <w:rsid w:val="003F7368"/>
    <w:rsid w:val="003F73C5"/>
    <w:rsid w:val="00400C91"/>
    <w:rsid w:val="0040255C"/>
    <w:rsid w:val="004051DE"/>
    <w:rsid w:val="00411A37"/>
    <w:rsid w:val="00416087"/>
    <w:rsid w:val="004227C9"/>
    <w:rsid w:val="00427AC6"/>
    <w:rsid w:val="0043344E"/>
    <w:rsid w:val="00434337"/>
    <w:rsid w:val="00436D82"/>
    <w:rsid w:val="004379D8"/>
    <w:rsid w:val="0044099E"/>
    <w:rsid w:val="00441D5F"/>
    <w:rsid w:val="00443978"/>
    <w:rsid w:val="00447282"/>
    <w:rsid w:val="00450335"/>
    <w:rsid w:val="00452FB7"/>
    <w:rsid w:val="00456000"/>
    <w:rsid w:val="004644BF"/>
    <w:rsid w:val="00470CDA"/>
    <w:rsid w:val="004711A9"/>
    <w:rsid w:val="0047477E"/>
    <w:rsid w:val="00477236"/>
    <w:rsid w:val="00477CD6"/>
    <w:rsid w:val="00484A58"/>
    <w:rsid w:val="00490A9E"/>
    <w:rsid w:val="004936B4"/>
    <w:rsid w:val="004951A1"/>
    <w:rsid w:val="004B2432"/>
    <w:rsid w:val="004B2DAB"/>
    <w:rsid w:val="004B402F"/>
    <w:rsid w:val="004B687E"/>
    <w:rsid w:val="004B7A67"/>
    <w:rsid w:val="004C2F0C"/>
    <w:rsid w:val="004C72D5"/>
    <w:rsid w:val="004D6C8E"/>
    <w:rsid w:val="004D7ADE"/>
    <w:rsid w:val="004E50CD"/>
    <w:rsid w:val="004F0C3B"/>
    <w:rsid w:val="00506EA3"/>
    <w:rsid w:val="005079AB"/>
    <w:rsid w:val="00516BFF"/>
    <w:rsid w:val="00517199"/>
    <w:rsid w:val="0053195C"/>
    <w:rsid w:val="00532C53"/>
    <w:rsid w:val="00537D01"/>
    <w:rsid w:val="00540B26"/>
    <w:rsid w:val="00542BB6"/>
    <w:rsid w:val="00544489"/>
    <w:rsid w:val="00553E7B"/>
    <w:rsid w:val="005545CA"/>
    <w:rsid w:val="00557574"/>
    <w:rsid w:val="005622CE"/>
    <w:rsid w:val="005659CA"/>
    <w:rsid w:val="005877CD"/>
    <w:rsid w:val="00595B7A"/>
    <w:rsid w:val="00595EEA"/>
    <w:rsid w:val="005C5D91"/>
    <w:rsid w:val="005C7B7D"/>
    <w:rsid w:val="005D0EBA"/>
    <w:rsid w:val="005D530F"/>
    <w:rsid w:val="005D62A6"/>
    <w:rsid w:val="005E1C54"/>
    <w:rsid w:val="005E4D97"/>
    <w:rsid w:val="005E7F42"/>
    <w:rsid w:val="005F7EF2"/>
    <w:rsid w:val="00604ADA"/>
    <w:rsid w:val="0060538F"/>
    <w:rsid w:val="00607DC4"/>
    <w:rsid w:val="006127AC"/>
    <w:rsid w:val="00612A08"/>
    <w:rsid w:val="00612E9A"/>
    <w:rsid w:val="00613387"/>
    <w:rsid w:val="006177E6"/>
    <w:rsid w:val="006208CE"/>
    <w:rsid w:val="00632C13"/>
    <w:rsid w:val="00645C39"/>
    <w:rsid w:val="0064643A"/>
    <w:rsid w:val="00655D97"/>
    <w:rsid w:val="00657B89"/>
    <w:rsid w:val="00662D7A"/>
    <w:rsid w:val="00665D43"/>
    <w:rsid w:val="0066723A"/>
    <w:rsid w:val="00674DD7"/>
    <w:rsid w:val="00680F5B"/>
    <w:rsid w:val="006822BB"/>
    <w:rsid w:val="0068696F"/>
    <w:rsid w:val="00691102"/>
    <w:rsid w:val="00696939"/>
    <w:rsid w:val="006A3F6D"/>
    <w:rsid w:val="006A6A7A"/>
    <w:rsid w:val="006B33BF"/>
    <w:rsid w:val="006B3E2B"/>
    <w:rsid w:val="006C6442"/>
    <w:rsid w:val="006C6480"/>
    <w:rsid w:val="006C6F6A"/>
    <w:rsid w:val="006D66F5"/>
    <w:rsid w:val="006D7AE5"/>
    <w:rsid w:val="006E64F7"/>
    <w:rsid w:val="006E72F5"/>
    <w:rsid w:val="006F76AB"/>
    <w:rsid w:val="00701BE3"/>
    <w:rsid w:val="00701DDF"/>
    <w:rsid w:val="00710DCD"/>
    <w:rsid w:val="0071538A"/>
    <w:rsid w:val="00715596"/>
    <w:rsid w:val="007217A7"/>
    <w:rsid w:val="00724A80"/>
    <w:rsid w:val="00727C41"/>
    <w:rsid w:val="007324D3"/>
    <w:rsid w:val="00735556"/>
    <w:rsid w:val="00737C95"/>
    <w:rsid w:val="007433C8"/>
    <w:rsid w:val="00744807"/>
    <w:rsid w:val="007465D0"/>
    <w:rsid w:val="00751C07"/>
    <w:rsid w:val="007534D3"/>
    <w:rsid w:val="00761B25"/>
    <w:rsid w:val="00764185"/>
    <w:rsid w:val="00776477"/>
    <w:rsid w:val="007840A2"/>
    <w:rsid w:val="00785A1F"/>
    <w:rsid w:val="00785DF4"/>
    <w:rsid w:val="0079637D"/>
    <w:rsid w:val="00796CF4"/>
    <w:rsid w:val="007A0208"/>
    <w:rsid w:val="007A0B23"/>
    <w:rsid w:val="007A3709"/>
    <w:rsid w:val="007A5927"/>
    <w:rsid w:val="007A6ACB"/>
    <w:rsid w:val="007A6D3A"/>
    <w:rsid w:val="007A7267"/>
    <w:rsid w:val="007B1E31"/>
    <w:rsid w:val="007B480E"/>
    <w:rsid w:val="007B4C79"/>
    <w:rsid w:val="007C2085"/>
    <w:rsid w:val="007C4995"/>
    <w:rsid w:val="007D29A9"/>
    <w:rsid w:val="007E0E7E"/>
    <w:rsid w:val="007E2B91"/>
    <w:rsid w:val="007E3077"/>
    <w:rsid w:val="007E71A8"/>
    <w:rsid w:val="007F04C2"/>
    <w:rsid w:val="007F0AD5"/>
    <w:rsid w:val="007F63C5"/>
    <w:rsid w:val="00801042"/>
    <w:rsid w:val="00801973"/>
    <w:rsid w:val="00810CAC"/>
    <w:rsid w:val="0081547D"/>
    <w:rsid w:val="008174BC"/>
    <w:rsid w:val="0082195A"/>
    <w:rsid w:val="0083751B"/>
    <w:rsid w:val="00840D0D"/>
    <w:rsid w:val="00841AC4"/>
    <w:rsid w:val="0084348A"/>
    <w:rsid w:val="0085168C"/>
    <w:rsid w:val="0085265E"/>
    <w:rsid w:val="00855ABC"/>
    <w:rsid w:val="00862397"/>
    <w:rsid w:val="0086243C"/>
    <w:rsid w:val="00865242"/>
    <w:rsid w:val="00877AA5"/>
    <w:rsid w:val="00877D02"/>
    <w:rsid w:val="00881C20"/>
    <w:rsid w:val="00882ACE"/>
    <w:rsid w:val="00890767"/>
    <w:rsid w:val="00890844"/>
    <w:rsid w:val="00894E17"/>
    <w:rsid w:val="00895A96"/>
    <w:rsid w:val="008A6C18"/>
    <w:rsid w:val="008B305F"/>
    <w:rsid w:val="008B7D6B"/>
    <w:rsid w:val="008C36E1"/>
    <w:rsid w:val="008C4E93"/>
    <w:rsid w:val="008D26B1"/>
    <w:rsid w:val="008D2766"/>
    <w:rsid w:val="008D5CEC"/>
    <w:rsid w:val="008E6D5C"/>
    <w:rsid w:val="008F2F79"/>
    <w:rsid w:val="008F348B"/>
    <w:rsid w:val="008F4671"/>
    <w:rsid w:val="008F781D"/>
    <w:rsid w:val="008F7B8F"/>
    <w:rsid w:val="009003B1"/>
    <w:rsid w:val="00904638"/>
    <w:rsid w:val="00907C58"/>
    <w:rsid w:val="00913F2D"/>
    <w:rsid w:val="0091467B"/>
    <w:rsid w:val="0091479D"/>
    <w:rsid w:val="00923E20"/>
    <w:rsid w:val="0092620D"/>
    <w:rsid w:val="009265AE"/>
    <w:rsid w:val="00934256"/>
    <w:rsid w:val="00936C50"/>
    <w:rsid w:val="009475CA"/>
    <w:rsid w:val="00947991"/>
    <w:rsid w:val="009527EC"/>
    <w:rsid w:val="00954419"/>
    <w:rsid w:val="009565C4"/>
    <w:rsid w:val="009622FF"/>
    <w:rsid w:val="0096731A"/>
    <w:rsid w:val="00970E16"/>
    <w:rsid w:val="0097439B"/>
    <w:rsid w:val="00974490"/>
    <w:rsid w:val="00976EDE"/>
    <w:rsid w:val="009838C0"/>
    <w:rsid w:val="009A055D"/>
    <w:rsid w:val="009A2FB7"/>
    <w:rsid w:val="009A6570"/>
    <w:rsid w:val="009C17FE"/>
    <w:rsid w:val="009C389E"/>
    <w:rsid w:val="009D3D97"/>
    <w:rsid w:val="009D4455"/>
    <w:rsid w:val="009E54BE"/>
    <w:rsid w:val="009E765E"/>
    <w:rsid w:val="009E7766"/>
    <w:rsid w:val="009F1295"/>
    <w:rsid w:val="00A030ED"/>
    <w:rsid w:val="00A059BD"/>
    <w:rsid w:val="00A102A1"/>
    <w:rsid w:val="00A10ED6"/>
    <w:rsid w:val="00A13CF1"/>
    <w:rsid w:val="00A16E35"/>
    <w:rsid w:val="00A4136F"/>
    <w:rsid w:val="00A4308F"/>
    <w:rsid w:val="00A435A8"/>
    <w:rsid w:val="00A45EA4"/>
    <w:rsid w:val="00A477F4"/>
    <w:rsid w:val="00A47A21"/>
    <w:rsid w:val="00A50225"/>
    <w:rsid w:val="00A525BC"/>
    <w:rsid w:val="00A529D9"/>
    <w:rsid w:val="00A53368"/>
    <w:rsid w:val="00A54524"/>
    <w:rsid w:val="00A55E54"/>
    <w:rsid w:val="00A65996"/>
    <w:rsid w:val="00A65D6B"/>
    <w:rsid w:val="00A65F60"/>
    <w:rsid w:val="00A72F15"/>
    <w:rsid w:val="00A75150"/>
    <w:rsid w:val="00A755A8"/>
    <w:rsid w:val="00A90B58"/>
    <w:rsid w:val="00A93E4C"/>
    <w:rsid w:val="00A96F66"/>
    <w:rsid w:val="00A970A8"/>
    <w:rsid w:val="00AA2B27"/>
    <w:rsid w:val="00AA377A"/>
    <w:rsid w:val="00AA4564"/>
    <w:rsid w:val="00AB2194"/>
    <w:rsid w:val="00AB4FA7"/>
    <w:rsid w:val="00AB588D"/>
    <w:rsid w:val="00AB61D0"/>
    <w:rsid w:val="00AC0249"/>
    <w:rsid w:val="00AD013D"/>
    <w:rsid w:val="00AD4B4C"/>
    <w:rsid w:val="00AF765D"/>
    <w:rsid w:val="00B00430"/>
    <w:rsid w:val="00B03A5B"/>
    <w:rsid w:val="00B041CC"/>
    <w:rsid w:val="00B10273"/>
    <w:rsid w:val="00B124E3"/>
    <w:rsid w:val="00B14E24"/>
    <w:rsid w:val="00B36770"/>
    <w:rsid w:val="00B52FAC"/>
    <w:rsid w:val="00B56F96"/>
    <w:rsid w:val="00B57DAE"/>
    <w:rsid w:val="00B64040"/>
    <w:rsid w:val="00B74200"/>
    <w:rsid w:val="00B840CB"/>
    <w:rsid w:val="00B849D5"/>
    <w:rsid w:val="00B8571D"/>
    <w:rsid w:val="00B924DA"/>
    <w:rsid w:val="00B92847"/>
    <w:rsid w:val="00BA222A"/>
    <w:rsid w:val="00BA4776"/>
    <w:rsid w:val="00BA6B87"/>
    <w:rsid w:val="00BB2687"/>
    <w:rsid w:val="00BB32FC"/>
    <w:rsid w:val="00BB4D8A"/>
    <w:rsid w:val="00BB4E80"/>
    <w:rsid w:val="00BB54F6"/>
    <w:rsid w:val="00BC1A2B"/>
    <w:rsid w:val="00BC3423"/>
    <w:rsid w:val="00BC4BEE"/>
    <w:rsid w:val="00BE2921"/>
    <w:rsid w:val="00BE5CCA"/>
    <w:rsid w:val="00BE7C08"/>
    <w:rsid w:val="00BF1609"/>
    <w:rsid w:val="00C00F6C"/>
    <w:rsid w:val="00C043B7"/>
    <w:rsid w:val="00C05391"/>
    <w:rsid w:val="00C12AF0"/>
    <w:rsid w:val="00C13F17"/>
    <w:rsid w:val="00C1639D"/>
    <w:rsid w:val="00C23245"/>
    <w:rsid w:val="00C2365E"/>
    <w:rsid w:val="00C23A16"/>
    <w:rsid w:val="00C25304"/>
    <w:rsid w:val="00C26DF9"/>
    <w:rsid w:val="00C33773"/>
    <w:rsid w:val="00C41E22"/>
    <w:rsid w:val="00C44E0E"/>
    <w:rsid w:val="00C45779"/>
    <w:rsid w:val="00C618F8"/>
    <w:rsid w:val="00C62279"/>
    <w:rsid w:val="00C631AA"/>
    <w:rsid w:val="00C65AD6"/>
    <w:rsid w:val="00C80223"/>
    <w:rsid w:val="00C814B2"/>
    <w:rsid w:val="00C8273D"/>
    <w:rsid w:val="00C91611"/>
    <w:rsid w:val="00C917A5"/>
    <w:rsid w:val="00C9775E"/>
    <w:rsid w:val="00CA24FF"/>
    <w:rsid w:val="00CA47D8"/>
    <w:rsid w:val="00CA7DF7"/>
    <w:rsid w:val="00CB3D77"/>
    <w:rsid w:val="00CB5A8E"/>
    <w:rsid w:val="00CC0EEF"/>
    <w:rsid w:val="00CC1A56"/>
    <w:rsid w:val="00CD0B54"/>
    <w:rsid w:val="00CD5FD1"/>
    <w:rsid w:val="00CE0DD8"/>
    <w:rsid w:val="00CE17B5"/>
    <w:rsid w:val="00CE412E"/>
    <w:rsid w:val="00CE42A5"/>
    <w:rsid w:val="00CF0559"/>
    <w:rsid w:val="00CF2E3C"/>
    <w:rsid w:val="00CF3B3B"/>
    <w:rsid w:val="00CF6B00"/>
    <w:rsid w:val="00D02AE3"/>
    <w:rsid w:val="00D060E6"/>
    <w:rsid w:val="00D0629F"/>
    <w:rsid w:val="00D256B8"/>
    <w:rsid w:val="00D36554"/>
    <w:rsid w:val="00D42642"/>
    <w:rsid w:val="00D5563A"/>
    <w:rsid w:val="00D56BAB"/>
    <w:rsid w:val="00D672A5"/>
    <w:rsid w:val="00D679A4"/>
    <w:rsid w:val="00D81DBD"/>
    <w:rsid w:val="00D93A09"/>
    <w:rsid w:val="00D940B2"/>
    <w:rsid w:val="00D948E8"/>
    <w:rsid w:val="00DA2362"/>
    <w:rsid w:val="00DA339B"/>
    <w:rsid w:val="00DA611D"/>
    <w:rsid w:val="00DB031E"/>
    <w:rsid w:val="00DB2E2A"/>
    <w:rsid w:val="00DB5A9E"/>
    <w:rsid w:val="00DC1B1C"/>
    <w:rsid w:val="00DC203A"/>
    <w:rsid w:val="00DC6EC9"/>
    <w:rsid w:val="00DD416C"/>
    <w:rsid w:val="00DD4B0B"/>
    <w:rsid w:val="00DD6513"/>
    <w:rsid w:val="00DE14BB"/>
    <w:rsid w:val="00DE2C57"/>
    <w:rsid w:val="00DF1364"/>
    <w:rsid w:val="00DF20E7"/>
    <w:rsid w:val="00DF2991"/>
    <w:rsid w:val="00DF56DA"/>
    <w:rsid w:val="00DF7F9C"/>
    <w:rsid w:val="00E00EAA"/>
    <w:rsid w:val="00E04436"/>
    <w:rsid w:val="00E04983"/>
    <w:rsid w:val="00E06D92"/>
    <w:rsid w:val="00E10019"/>
    <w:rsid w:val="00E148D4"/>
    <w:rsid w:val="00E164A0"/>
    <w:rsid w:val="00E21551"/>
    <w:rsid w:val="00E24222"/>
    <w:rsid w:val="00E2755C"/>
    <w:rsid w:val="00E27E5D"/>
    <w:rsid w:val="00E33282"/>
    <w:rsid w:val="00E54217"/>
    <w:rsid w:val="00E55310"/>
    <w:rsid w:val="00E5694C"/>
    <w:rsid w:val="00E575CA"/>
    <w:rsid w:val="00E60905"/>
    <w:rsid w:val="00E70C7D"/>
    <w:rsid w:val="00E748A8"/>
    <w:rsid w:val="00E76E5E"/>
    <w:rsid w:val="00E77A14"/>
    <w:rsid w:val="00E819DF"/>
    <w:rsid w:val="00E84FBA"/>
    <w:rsid w:val="00EA0133"/>
    <w:rsid w:val="00EA0310"/>
    <w:rsid w:val="00EA6891"/>
    <w:rsid w:val="00EB3E0D"/>
    <w:rsid w:val="00EB5A14"/>
    <w:rsid w:val="00EB6E5D"/>
    <w:rsid w:val="00EC5139"/>
    <w:rsid w:val="00EC5A40"/>
    <w:rsid w:val="00EE05A7"/>
    <w:rsid w:val="00EE40EC"/>
    <w:rsid w:val="00F057A3"/>
    <w:rsid w:val="00F11BA5"/>
    <w:rsid w:val="00F1797C"/>
    <w:rsid w:val="00F2519A"/>
    <w:rsid w:val="00F27503"/>
    <w:rsid w:val="00F30513"/>
    <w:rsid w:val="00F333DE"/>
    <w:rsid w:val="00F63768"/>
    <w:rsid w:val="00F656F9"/>
    <w:rsid w:val="00F75758"/>
    <w:rsid w:val="00F806CE"/>
    <w:rsid w:val="00F80C24"/>
    <w:rsid w:val="00F838F0"/>
    <w:rsid w:val="00F87E39"/>
    <w:rsid w:val="00F92AD5"/>
    <w:rsid w:val="00FA2660"/>
    <w:rsid w:val="00FB1A62"/>
    <w:rsid w:val="00FB5B13"/>
    <w:rsid w:val="00FB7414"/>
    <w:rsid w:val="00FC1014"/>
    <w:rsid w:val="00FC4759"/>
    <w:rsid w:val="00FC4790"/>
    <w:rsid w:val="00FC519A"/>
    <w:rsid w:val="00FD1379"/>
    <w:rsid w:val="00FD4DD5"/>
    <w:rsid w:val="00FD6084"/>
    <w:rsid w:val="00FE2920"/>
    <w:rsid w:val="00FE3C40"/>
    <w:rsid w:val="00FE4355"/>
    <w:rsid w:val="00FE4EE8"/>
    <w:rsid w:val="00FE67BD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7F1F66"/>
  <w15:docId w15:val="{E3B7B78B-0DEE-45C2-884A-A291F781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419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G1">
    <w:name w:val="LEG 1"/>
    <w:basedOn w:val="Normln"/>
    <w:link w:val="LEG1Char"/>
    <w:qFormat/>
    <w:rsid w:val="004C2F0C"/>
    <w:pPr>
      <w:widowControl w:val="0"/>
      <w:numPr>
        <w:ilvl w:val="1"/>
        <w:numId w:val="1"/>
      </w:numPr>
      <w:autoSpaceDE w:val="0"/>
      <w:autoSpaceDN w:val="0"/>
      <w:adjustRightInd w:val="0"/>
      <w:spacing w:after="180"/>
      <w:ind w:left="709" w:hanging="709"/>
      <w:jc w:val="both"/>
    </w:pPr>
    <w:rPr>
      <w:rFonts w:ascii="RotisSerif" w:hAnsi="RotisSerif" w:cs="Arial"/>
      <w:bCs/>
    </w:rPr>
  </w:style>
  <w:style w:type="character" w:customStyle="1" w:styleId="LEG1Char">
    <w:name w:val="LEG 1 Char"/>
    <w:basedOn w:val="Standardnpsmoodstavce"/>
    <w:link w:val="LEG1"/>
    <w:rsid w:val="004C2F0C"/>
    <w:rPr>
      <w:rFonts w:ascii="RotisSerif" w:eastAsia="Times New Roman" w:hAnsi="RotisSerif" w:cs="Arial"/>
      <w:bCs/>
      <w:sz w:val="24"/>
      <w:szCs w:val="24"/>
      <w:lang w:eastAsia="cs-CZ"/>
    </w:rPr>
  </w:style>
  <w:style w:type="paragraph" w:customStyle="1" w:styleId="NadpisLEG">
    <w:name w:val="Nadpis LEG"/>
    <w:basedOn w:val="Nadpis1"/>
    <w:link w:val="NadpisLEGChar"/>
    <w:qFormat/>
    <w:rsid w:val="007324D3"/>
    <w:pPr>
      <w:keepLines w:val="0"/>
      <w:widowControl w:val="0"/>
      <w:numPr>
        <w:numId w:val="6"/>
      </w:numPr>
      <w:autoSpaceDE w:val="0"/>
      <w:autoSpaceDN w:val="0"/>
      <w:adjustRightInd w:val="0"/>
      <w:spacing w:before="360" w:after="180"/>
      <w:ind w:left="357" w:hanging="357"/>
      <w:jc w:val="center"/>
    </w:pPr>
    <w:rPr>
      <w:rFonts w:ascii="RotisSerif" w:eastAsiaTheme="minorHAnsi" w:hAnsi="RotisSerif" w:cs="Arial"/>
      <w:color w:val="auto"/>
      <w:kern w:val="32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41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LEGChar">
    <w:name w:val="Nadpis LEG Char"/>
    <w:basedOn w:val="Nadpis1Char"/>
    <w:link w:val="NadpisLEG"/>
    <w:rsid w:val="007324D3"/>
    <w:rPr>
      <w:rFonts w:ascii="RotisSerif" w:eastAsiaTheme="majorEastAsia" w:hAnsi="RotisSerif" w:cs="Arial"/>
      <w:b/>
      <w:bCs/>
      <w:color w:val="365F91" w:themeColor="accent1" w:themeShade="BF"/>
      <w:kern w:val="32"/>
      <w:sz w:val="24"/>
      <w:szCs w:val="24"/>
      <w:lang w:eastAsia="cs-CZ"/>
    </w:rPr>
  </w:style>
  <w:style w:type="paragraph" w:customStyle="1" w:styleId="LEG2">
    <w:name w:val="LEG 2"/>
    <w:basedOn w:val="Normln"/>
    <w:link w:val="LEG2Char"/>
    <w:qFormat/>
    <w:rsid w:val="00DE2C57"/>
    <w:pPr>
      <w:widowControl w:val="0"/>
      <w:numPr>
        <w:ilvl w:val="2"/>
        <w:numId w:val="6"/>
      </w:numPr>
      <w:autoSpaceDE w:val="0"/>
      <w:autoSpaceDN w:val="0"/>
      <w:adjustRightInd w:val="0"/>
      <w:spacing w:after="180"/>
      <w:ind w:left="1710" w:hanging="990"/>
      <w:jc w:val="both"/>
    </w:pPr>
    <w:rPr>
      <w:rFonts w:ascii="RotisSerif" w:hAnsi="RotisSerif" w:cs="Arial"/>
    </w:rPr>
  </w:style>
  <w:style w:type="character" w:customStyle="1" w:styleId="LEG2Char">
    <w:name w:val="LEG 2 Char"/>
    <w:basedOn w:val="Standardnpsmoodstavce"/>
    <w:link w:val="LEG2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3">
    <w:name w:val="LEG 3"/>
    <w:basedOn w:val="Normln"/>
    <w:link w:val="LEG3Char"/>
    <w:qFormat/>
    <w:rsid w:val="00DE2C57"/>
    <w:pPr>
      <w:widowControl w:val="0"/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180"/>
      <w:ind w:left="2880" w:hanging="1170"/>
      <w:jc w:val="both"/>
    </w:pPr>
    <w:rPr>
      <w:rFonts w:ascii="RotisSerif" w:hAnsi="RotisSerif" w:cs="Arial"/>
    </w:rPr>
  </w:style>
  <w:style w:type="character" w:customStyle="1" w:styleId="LEG3Char">
    <w:name w:val="LEG 3 Char"/>
    <w:basedOn w:val="Standardnpsmoodstavce"/>
    <w:link w:val="LEG3"/>
    <w:rsid w:val="00DE2C57"/>
    <w:rPr>
      <w:rFonts w:ascii="RotisSerif" w:eastAsia="Times New Roman" w:hAnsi="RotisSerif" w:cs="Arial"/>
      <w:sz w:val="24"/>
      <w:szCs w:val="24"/>
      <w:lang w:eastAsia="cs-CZ"/>
    </w:rPr>
  </w:style>
  <w:style w:type="paragraph" w:customStyle="1" w:styleId="LEGzpat">
    <w:name w:val="LEG zápatí"/>
    <w:basedOn w:val="Normln"/>
    <w:link w:val="LEGzpatChar"/>
    <w:qFormat/>
    <w:rsid w:val="00041935"/>
  </w:style>
  <w:style w:type="paragraph" w:styleId="Zpat">
    <w:name w:val="footer"/>
    <w:next w:val="LEGzpat"/>
    <w:link w:val="ZpatChar"/>
    <w:uiPriority w:val="99"/>
    <w:unhideWhenUsed/>
    <w:rsid w:val="0004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935"/>
  </w:style>
  <w:style w:type="character" w:customStyle="1" w:styleId="LEGzpatChar">
    <w:name w:val="LEG zápatí Char"/>
    <w:basedOn w:val="ZpatChar"/>
    <w:link w:val="LEGzpat"/>
    <w:rsid w:val="00041935"/>
  </w:style>
  <w:style w:type="paragraph" w:customStyle="1" w:styleId="LEGzpat0">
    <w:name w:val="LEG  zápatí"/>
    <w:basedOn w:val="Normln"/>
    <w:link w:val="LEGzpatChar0"/>
    <w:qFormat/>
    <w:rsid w:val="00041935"/>
    <w:pPr>
      <w:spacing w:after="200"/>
      <w:jc w:val="center"/>
    </w:pPr>
    <w:rPr>
      <w:rFonts w:ascii="RotisSerif" w:hAnsi="RotisSerif"/>
    </w:rPr>
  </w:style>
  <w:style w:type="character" w:customStyle="1" w:styleId="LEGzpatChar0">
    <w:name w:val="LEG  zápatí Char"/>
    <w:basedOn w:val="Standardnpsmoodstavce"/>
    <w:link w:val="LEGzpat0"/>
    <w:rsid w:val="00041935"/>
    <w:rPr>
      <w:rFonts w:ascii="RotisSerif" w:hAnsi="RotisSerif"/>
      <w:sz w:val="22"/>
      <w:szCs w:val="22"/>
    </w:rPr>
  </w:style>
  <w:style w:type="paragraph" w:customStyle="1" w:styleId="Ploha1">
    <w:name w:val="Příloha 1"/>
    <w:basedOn w:val="Normln"/>
    <w:qFormat/>
    <w:rsid w:val="00436D82"/>
    <w:pPr>
      <w:widowControl w:val="0"/>
      <w:numPr>
        <w:numId w:val="10"/>
      </w:numPr>
      <w:autoSpaceDE w:val="0"/>
      <w:autoSpaceDN w:val="0"/>
      <w:adjustRightInd w:val="0"/>
      <w:spacing w:after="180"/>
      <w:jc w:val="both"/>
    </w:pPr>
    <w:rPr>
      <w:rFonts w:ascii="RotisSerif" w:hAnsi="RotisSerif" w:cs="Arial"/>
    </w:rPr>
  </w:style>
  <w:style w:type="paragraph" w:customStyle="1" w:styleId="Ploha2">
    <w:name w:val="Příloha 2"/>
    <w:basedOn w:val="Normln"/>
    <w:qFormat/>
    <w:rsid w:val="00436D82"/>
    <w:pPr>
      <w:widowControl w:val="0"/>
      <w:numPr>
        <w:ilvl w:val="1"/>
        <w:numId w:val="10"/>
      </w:numPr>
      <w:tabs>
        <w:tab w:val="left" w:pos="851"/>
      </w:tabs>
      <w:autoSpaceDE w:val="0"/>
      <w:autoSpaceDN w:val="0"/>
      <w:adjustRightInd w:val="0"/>
      <w:spacing w:after="180"/>
      <w:jc w:val="both"/>
    </w:pPr>
    <w:rPr>
      <w:rFonts w:ascii="RotisSerif" w:hAnsi="RotisSerif" w:cs="Arial"/>
    </w:rPr>
  </w:style>
  <w:style w:type="paragraph" w:customStyle="1" w:styleId="Ploha3">
    <w:name w:val="Příloha 3"/>
    <w:basedOn w:val="Normln"/>
    <w:qFormat/>
    <w:rsid w:val="00436D82"/>
    <w:pPr>
      <w:widowControl w:val="0"/>
      <w:numPr>
        <w:ilvl w:val="2"/>
        <w:numId w:val="10"/>
      </w:numPr>
      <w:tabs>
        <w:tab w:val="left" w:pos="1560"/>
      </w:tabs>
      <w:autoSpaceDE w:val="0"/>
      <w:autoSpaceDN w:val="0"/>
      <w:adjustRightInd w:val="0"/>
      <w:spacing w:after="180"/>
      <w:jc w:val="both"/>
    </w:pPr>
    <w:rPr>
      <w:rFonts w:ascii="RotisSerif" w:hAnsi="RotisSerif" w:cs="Arial"/>
    </w:rPr>
  </w:style>
  <w:style w:type="paragraph" w:customStyle="1" w:styleId="Ploha4">
    <w:name w:val="Příloha 4"/>
    <w:basedOn w:val="Normln"/>
    <w:qFormat/>
    <w:rsid w:val="00436D82"/>
    <w:pPr>
      <w:widowControl w:val="0"/>
      <w:numPr>
        <w:ilvl w:val="3"/>
        <w:numId w:val="10"/>
      </w:numPr>
      <w:tabs>
        <w:tab w:val="left" w:pos="2410"/>
      </w:tabs>
      <w:autoSpaceDE w:val="0"/>
      <w:autoSpaceDN w:val="0"/>
      <w:adjustRightInd w:val="0"/>
      <w:spacing w:after="180"/>
      <w:jc w:val="both"/>
    </w:pPr>
    <w:rPr>
      <w:rFonts w:ascii="RotisSerif" w:hAnsi="RotisSerif" w:cs="Arial"/>
    </w:rPr>
  </w:style>
  <w:style w:type="paragraph" w:customStyle="1" w:styleId="Plohanzev">
    <w:name w:val="Příloha název"/>
    <w:basedOn w:val="Nadpis1"/>
    <w:qFormat/>
    <w:rsid w:val="00436D82"/>
    <w:pPr>
      <w:keepLines w:val="0"/>
      <w:tabs>
        <w:tab w:val="left" w:pos="709"/>
      </w:tabs>
      <w:spacing w:before="0" w:after="180"/>
    </w:pPr>
    <w:rPr>
      <w:rFonts w:ascii="RotisSerif" w:eastAsia="Times New Roman" w:hAnsi="RotisSerif" w:cs="Times New Roman"/>
      <w:color w:val="auto"/>
      <w:kern w:val="32"/>
      <w:sz w:val="24"/>
      <w:szCs w:val="24"/>
    </w:rPr>
  </w:style>
  <w:style w:type="paragraph" w:customStyle="1" w:styleId="Seznamploha">
    <w:name w:val="Seznam příloha"/>
    <w:basedOn w:val="Normln"/>
    <w:qFormat/>
    <w:rsid w:val="00436D82"/>
    <w:pPr>
      <w:widowControl w:val="0"/>
      <w:autoSpaceDE w:val="0"/>
      <w:autoSpaceDN w:val="0"/>
      <w:adjustRightInd w:val="0"/>
      <w:ind w:left="709"/>
    </w:pPr>
    <w:rPr>
      <w:rFonts w:ascii="RotisSerif" w:hAnsi="RotisSerif" w:cs="Arial"/>
    </w:rPr>
  </w:style>
  <w:style w:type="paragraph" w:customStyle="1" w:styleId="Zpatploha">
    <w:name w:val="Zápatí příloha"/>
    <w:basedOn w:val="Zpat"/>
    <w:qFormat/>
    <w:rsid w:val="00436D82"/>
    <w:pPr>
      <w:spacing w:after="200" w:line="276" w:lineRule="auto"/>
      <w:jc w:val="center"/>
    </w:pPr>
    <w:rPr>
      <w:rFonts w:ascii="RotisSerif" w:eastAsia="Times New Roman" w:hAnsi="RotisSerif" w:cs="Arial"/>
      <w:lang w:eastAsia="cs-CZ"/>
    </w:rPr>
  </w:style>
  <w:style w:type="paragraph" w:customStyle="1" w:styleId="NzevLEG">
    <w:name w:val="Název LEG"/>
    <w:basedOn w:val="Normln"/>
    <w:qFormat/>
    <w:rsid w:val="00436D82"/>
    <w:pPr>
      <w:widowControl w:val="0"/>
      <w:autoSpaceDE w:val="0"/>
      <w:autoSpaceDN w:val="0"/>
      <w:adjustRightInd w:val="0"/>
      <w:jc w:val="center"/>
    </w:pPr>
    <w:rPr>
      <w:rFonts w:ascii="RotisSerif" w:hAnsi="RotisSerif" w:cs="Arial"/>
      <w:b/>
      <w:bCs/>
      <w:sz w:val="32"/>
    </w:rPr>
  </w:style>
  <w:style w:type="paragraph" w:styleId="Zkladntext">
    <w:name w:val="Body Text"/>
    <w:basedOn w:val="Normln"/>
    <w:link w:val="ZkladntextChar"/>
    <w:rsid w:val="00776477"/>
    <w:pPr>
      <w:jc w:val="both"/>
    </w:pPr>
    <w:rPr>
      <w:rFonts w:ascii="RotisSansSerif" w:hAnsi="RotisSansSerif"/>
      <w:szCs w:val="20"/>
    </w:rPr>
  </w:style>
  <w:style w:type="character" w:customStyle="1" w:styleId="ZkladntextChar">
    <w:name w:val="Základní text Char"/>
    <w:basedOn w:val="Standardnpsmoodstavce"/>
    <w:link w:val="Zkladntext"/>
    <w:rsid w:val="00776477"/>
    <w:rPr>
      <w:rFonts w:ascii="RotisSansSerif" w:eastAsia="Times New Roman" w:hAnsi="RotisSansSerif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477"/>
    <w:pPr>
      <w:ind w:left="708"/>
      <w:jc w:val="both"/>
    </w:pPr>
    <w:rPr>
      <w:rFonts w:ascii="RotisSansSerif" w:hAnsi="RotisSansSerif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B1A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1A62"/>
    <w:pPr>
      <w:jc w:val="both"/>
    </w:pPr>
    <w:rPr>
      <w:rFonts w:ascii="RotisSansSerif" w:hAnsi="RotisSansSerif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1A62"/>
    <w:rPr>
      <w:rFonts w:ascii="RotisSansSerif" w:eastAsia="Times New Roman" w:hAnsi="RotisSansSerif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A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A62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0D37"/>
    <w:pPr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0D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540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4071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F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plockacz</dc:creator>
  <cp:lastModifiedBy>Alena Tuckova</cp:lastModifiedBy>
  <cp:revision>2</cp:revision>
  <dcterms:created xsi:type="dcterms:W3CDTF">2020-11-26T09:26:00Z</dcterms:created>
  <dcterms:modified xsi:type="dcterms:W3CDTF">2020-11-26T09:26:00Z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Ref">
    <vt:lpwstr>https://api.informationprotection.azure.com/api/15d1bef2-0a6a-46f9-be4c-023279325e51</vt:lpwstr>
  </property>
  <property fmtid="{D5CDD505-2E9C-101B-9397-08002B2CF9AE}" pid="5" name="MSIP_Label_97735299-2a7d-4f7d-99cc-db352b8b5a9b_SetBy">
    <vt:lpwstr>katerina.chmelova@bbraun.com</vt:lpwstr>
  </property>
  <property fmtid="{D5CDD505-2E9C-101B-9397-08002B2CF9AE}" pid="6" name="MSIP_Label_97735299-2a7d-4f7d-99cc-db352b8b5a9b_SetDate">
    <vt:lpwstr>2018-07-10T15:58:40.5174392+02:00</vt:lpwstr>
  </property>
  <property fmtid="{D5CDD505-2E9C-101B-9397-08002B2CF9AE}" pid="7" name="MSIP_Label_97735299-2a7d-4f7d-99cc-db352b8b5a9b_Name">
    <vt:lpwstr>Confidential</vt:lpwstr>
  </property>
  <property fmtid="{D5CDD505-2E9C-101B-9397-08002B2CF9AE}" pid="8" name="MSIP_Label_97735299-2a7d-4f7d-99cc-db352b8b5a9b_Application">
    <vt:lpwstr>Microsoft Azure Information Protection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Ref">
    <vt:lpwstr>https://api.informationprotection.azure.com/api/15d1bef2-0a6a-46f9-be4c-023279325e51</vt:lpwstr>
  </property>
  <property fmtid="{D5CDD505-2E9C-101B-9397-08002B2CF9AE}" pid="13" name="MSIP_Label_fd058493-e43f-432e-b8cc-adb7daa46640_SetBy">
    <vt:lpwstr>katerina.chmelova@bbraun.com</vt:lpwstr>
  </property>
  <property fmtid="{D5CDD505-2E9C-101B-9397-08002B2CF9AE}" pid="14" name="MSIP_Label_fd058493-e43f-432e-b8cc-adb7daa46640_SetDate">
    <vt:lpwstr>2018-07-10T15:58:40.5194392+02:00</vt:lpwstr>
  </property>
  <property fmtid="{D5CDD505-2E9C-101B-9397-08002B2CF9AE}" pid="15" name="MSIP_Label_fd058493-e43f-432e-b8cc-adb7daa46640_Name">
    <vt:lpwstr>Unprotected</vt:lpwstr>
  </property>
  <property fmtid="{D5CDD505-2E9C-101B-9397-08002B2CF9AE}" pid="16" name="MSIP_Label_fd058493-e43f-432e-b8cc-adb7daa46640_Application">
    <vt:lpwstr>Microsoft Azure Information Protection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Parent">
    <vt:lpwstr>97735299-2a7d-4f7d-99cc-db352b8b5a9b</vt:lpwstr>
  </property>
  <property fmtid="{D5CDD505-2E9C-101B-9397-08002B2CF9AE}" pid="19" name="Sensitivity">
    <vt:lpwstr>Confidential Unprotected</vt:lpwstr>
  </property>
</Properties>
</file>