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8C9E6" w14:textId="3D1C1A21" w:rsidR="007C0642" w:rsidRPr="00177E6D" w:rsidRDefault="003B42E8" w:rsidP="00177E6D">
      <w:pPr>
        <w:jc w:val="right"/>
        <w:rPr>
          <w:rFonts w:ascii="Times New Roman" w:eastAsia="Times New Roman" w:hAnsi="Times New Roman"/>
          <w:color w:val="000000"/>
          <w:sz w:val="20"/>
          <w:szCs w:val="20"/>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917072" w:rsidRPr="00917072">
        <w:rPr>
          <w:rFonts w:ascii="Times New Roman" w:eastAsia="Times New Roman" w:hAnsi="Times New Roman"/>
          <w:color w:val="000000"/>
          <w:sz w:val="20"/>
          <w:szCs w:val="20"/>
          <w:lang w:eastAsia="cs-CZ"/>
        </w:rPr>
        <w:t>KK02427/2020</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4BA8BAA2" w14:textId="7A234B50" w:rsidR="0014413C" w:rsidRPr="0096502F" w:rsidRDefault="00E22F7A" w:rsidP="00177E6D">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6F40AC35" w14:textId="76997713" w:rsidR="00541C22" w:rsidRDefault="003B42E8" w:rsidP="00541C22">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911A5C" w:rsidRPr="00911A5C">
        <w:rPr>
          <w:rFonts w:ascii="Times New Roman" w:eastAsia="Times New Roman" w:hAnsi="Times New Roman"/>
          <w:lang w:eastAsia="cs-CZ"/>
        </w:rPr>
        <w:t>Mgr. Petr Kubis,</w:t>
      </w:r>
      <w:r w:rsidR="00911A5C">
        <w:rPr>
          <w:rFonts w:ascii="Times New Roman" w:eastAsia="Times New Roman" w:hAnsi="Times New Roman"/>
          <w:lang w:eastAsia="cs-CZ"/>
        </w:rPr>
        <w:t xml:space="preserve"> </w:t>
      </w:r>
      <w:r w:rsidR="00911A5C" w:rsidRPr="00911A5C">
        <w:rPr>
          <w:rFonts w:ascii="Times New Roman" w:eastAsia="Times New Roman" w:hAnsi="Times New Roman"/>
          <w:lang w:eastAsia="cs-CZ"/>
        </w:rPr>
        <w:t>hejtman</w:t>
      </w:r>
      <w:r w:rsidR="00FE6835">
        <w:rPr>
          <w:rFonts w:ascii="Times New Roman" w:eastAsia="Times New Roman" w:hAnsi="Times New Roman"/>
          <w:lang w:eastAsia="cs-CZ"/>
        </w:rPr>
        <w:t xml:space="preserve"> Karlovarského kraje</w:t>
      </w:r>
    </w:p>
    <w:p w14:paraId="7DA15404" w14:textId="77777777" w:rsidR="00A457C1" w:rsidRPr="00541C22" w:rsidRDefault="00A457C1" w:rsidP="00A457C1">
      <w:pPr>
        <w:spacing w:after="0" w:line="240" w:lineRule="auto"/>
        <w:rPr>
          <w:rFonts w:ascii="Times New Roman" w:eastAsia="Times New Roman" w:hAnsi="Times New Roman"/>
          <w:lang w:eastAsia="cs-CZ"/>
        </w:rPr>
      </w:pPr>
      <w:bookmarkStart w:id="0" w:name="_Hlk43901141"/>
      <w:r w:rsidRPr="00541C22">
        <w:rPr>
          <w:rFonts w:ascii="Times New Roman" w:eastAsia="Times New Roman" w:hAnsi="Times New Roman"/>
          <w:lang w:eastAsia="cs-CZ"/>
        </w:rPr>
        <w:t>Bankovní spojení:</w:t>
      </w:r>
      <w:r w:rsidRPr="00541C22">
        <w:rPr>
          <w:rFonts w:ascii="Times New Roman" w:eastAsia="Times New Roman" w:hAnsi="Times New Roman"/>
          <w:lang w:eastAsia="cs-CZ"/>
        </w:rPr>
        <w:tab/>
      </w:r>
    </w:p>
    <w:p w14:paraId="31211CFB" w14:textId="77777777" w:rsidR="00A457C1" w:rsidRPr="00541C22" w:rsidRDefault="00A457C1" w:rsidP="00A457C1">
      <w:pPr>
        <w:spacing w:after="0" w:line="240" w:lineRule="auto"/>
        <w:ind w:left="1416" w:firstLine="708"/>
        <w:rPr>
          <w:rFonts w:ascii="Times New Roman" w:eastAsia="Times New Roman" w:hAnsi="Times New Roman"/>
          <w:lang w:eastAsia="cs-CZ"/>
        </w:rPr>
      </w:pPr>
      <w:r>
        <w:rPr>
          <w:rFonts w:ascii="Times New Roman" w:eastAsia="Times New Roman" w:hAnsi="Times New Roman"/>
          <w:lang w:eastAsia="cs-CZ"/>
        </w:rPr>
        <w:t>xxxxxxxxxxxx</w:t>
      </w:r>
      <w:r w:rsidRPr="00541C22">
        <w:rPr>
          <w:rFonts w:ascii="Times New Roman" w:eastAsia="Times New Roman" w:hAnsi="Times New Roman"/>
          <w:lang w:eastAsia="cs-CZ"/>
        </w:rPr>
        <w:tab/>
      </w:r>
      <w:r w:rsidRPr="00541C22">
        <w:rPr>
          <w:rFonts w:ascii="Times New Roman" w:eastAsia="Times New Roman" w:hAnsi="Times New Roman"/>
          <w:lang w:eastAsia="cs-CZ"/>
        </w:rPr>
        <w:tab/>
      </w:r>
      <w:r w:rsidRPr="00541C22">
        <w:rPr>
          <w:rFonts w:ascii="Times New Roman" w:eastAsia="Times New Roman" w:hAnsi="Times New Roman"/>
          <w:lang w:eastAsia="cs-CZ"/>
        </w:rPr>
        <w:tab/>
        <w:t>číslo účtu</w:t>
      </w:r>
      <w:r w:rsidRPr="00541C22">
        <w:rPr>
          <w:rFonts w:ascii="Times New Roman" w:eastAsia="Times New Roman" w:hAnsi="Times New Roman"/>
          <w:lang w:eastAsia="cs-CZ"/>
        </w:rPr>
        <w:tab/>
      </w:r>
      <w:r>
        <w:rPr>
          <w:rFonts w:ascii="Times New Roman" w:eastAsia="Times New Roman" w:hAnsi="Times New Roman"/>
          <w:lang w:eastAsia="cs-CZ"/>
        </w:rPr>
        <w:t>xxxxxxxxxxxx</w:t>
      </w:r>
    </w:p>
    <w:p w14:paraId="5E61A904" w14:textId="77777777" w:rsidR="00A457C1" w:rsidRPr="00541C22" w:rsidRDefault="00A457C1" w:rsidP="00A457C1">
      <w:pPr>
        <w:spacing w:after="0" w:line="240" w:lineRule="auto"/>
        <w:rPr>
          <w:rFonts w:ascii="Times New Roman" w:eastAsia="Times New Roman" w:hAnsi="Times New Roman"/>
          <w:lang w:eastAsia="cs-CZ"/>
        </w:rPr>
      </w:pPr>
      <w:r w:rsidRPr="00541C22">
        <w:rPr>
          <w:rFonts w:ascii="Times New Roman" w:eastAsia="Times New Roman" w:hAnsi="Times New Roman"/>
          <w:lang w:eastAsia="cs-CZ"/>
        </w:rPr>
        <w:t>případně další účty:</w:t>
      </w:r>
    </w:p>
    <w:p w14:paraId="639DE481" w14:textId="77777777" w:rsidR="00A457C1" w:rsidRPr="00541C22" w:rsidRDefault="00A457C1" w:rsidP="00A457C1">
      <w:pPr>
        <w:spacing w:after="0" w:line="240" w:lineRule="auto"/>
        <w:rPr>
          <w:rFonts w:ascii="Times New Roman" w:hAnsi="Times New Roman"/>
          <w:color w:val="000000"/>
        </w:rPr>
      </w:pPr>
      <w:r w:rsidRPr="00541C22">
        <w:rPr>
          <w:rFonts w:ascii="Times New Roman" w:eastAsia="Times New Roman" w:hAnsi="Times New Roman"/>
          <w:lang w:eastAsia="cs-CZ"/>
        </w:rPr>
        <w:tab/>
      </w:r>
      <w:r w:rsidRPr="00541C22">
        <w:rPr>
          <w:rFonts w:ascii="Times New Roman" w:eastAsia="Times New Roman" w:hAnsi="Times New Roman"/>
          <w:lang w:eastAsia="cs-CZ"/>
        </w:rPr>
        <w:tab/>
      </w:r>
      <w:r w:rsidRPr="00541C22">
        <w:rPr>
          <w:rFonts w:ascii="Times New Roman" w:eastAsia="Times New Roman" w:hAnsi="Times New Roman"/>
          <w:lang w:eastAsia="cs-CZ"/>
        </w:rPr>
        <w:tab/>
      </w:r>
      <w:r>
        <w:rPr>
          <w:rFonts w:ascii="Times New Roman" w:eastAsia="Times New Roman" w:hAnsi="Times New Roman"/>
          <w:lang w:eastAsia="cs-CZ"/>
        </w:rPr>
        <w:t>xxxxxxxxxxxx</w:t>
      </w:r>
      <w:r w:rsidRPr="00541C22">
        <w:rPr>
          <w:rFonts w:ascii="Times New Roman" w:eastAsia="Times New Roman" w:hAnsi="Times New Roman"/>
          <w:lang w:eastAsia="cs-CZ"/>
        </w:rPr>
        <w:t xml:space="preserve"> </w:t>
      </w:r>
      <w:r>
        <w:rPr>
          <w:rFonts w:ascii="Times New Roman" w:eastAsia="Times New Roman" w:hAnsi="Times New Roman"/>
          <w:lang w:eastAsia="cs-CZ"/>
        </w:rPr>
        <w:tab/>
      </w:r>
      <w:r>
        <w:rPr>
          <w:rFonts w:ascii="Times New Roman" w:eastAsia="Times New Roman" w:hAnsi="Times New Roman"/>
          <w:lang w:eastAsia="cs-CZ"/>
        </w:rPr>
        <w:tab/>
      </w:r>
      <w:r>
        <w:rPr>
          <w:rFonts w:ascii="Times New Roman" w:eastAsia="Times New Roman" w:hAnsi="Times New Roman"/>
          <w:lang w:eastAsia="cs-CZ"/>
        </w:rPr>
        <w:tab/>
      </w:r>
      <w:r w:rsidRPr="00541C22">
        <w:rPr>
          <w:rFonts w:ascii="Times New Roman" w:eastAsia="Times New Roman" w:hAnsi="Times New Roman"/>
          <w:lang w:eastAsia="cs-CZ"/>
        </w:rPr>
        <w:t>číslo účtu</w:t>
      </w:r>
      <w:r w:rsidRPr="00541C22">
        <w:rPr>
          <w:rFonts w:ascii="Times New Roman" w:eastAsia="Times New Roman" w:hAnsi="Times New Roman"/>
          <w:lang w:eastAsia="cs-CZ"/>
        </w:rPr>
        <w:tab/>
      </w:r>
      <w:r>
        <w:rPr>
          <w:rFonts w:ascii="Times New Roman" w:eastAsia="Times New Roman" w:hAnsi="Times New Roman"/>
          <w:lang w:eastAsia="cs-CZ"/>
        </w:rPr>
        <w:t>xxxxxxxxxxxx</w:t>
      </w:r>
    </w:p>
    <w:p w14:paraId="3B5411D7" w14:textId="77777777" w:rsidR="00A457C1" w:rsidRPr="00541C22" w:rsidRDefault="00A457C1" w:rsidP="00A457C1">
      <w:pPr>
        <w:spacing w:after="0" w:line="240" w:lineRule="auto"/>
        <w:rPr>
          <w:rFonts w:ascii="Times New Roman" w:hAnsi="Times New Roman"/>
          <w:color w:val="000000"/>
        </w:rPr>
      </w:pPr>
      <w:r w:rsidRPr="00541C22">
        <w:rPr>
          <w:rFonts w:ascii="Times New Roman" w:hAnsi="Times New Roman"/>
          <w:color w:val="000000"/>
        </w:rPr>
        <w:tab/>
      </w:r>
      <w:r w:rsidRPr="00541C22">
        <w:rPr>
          <w:rFonts w:ascii="Times New Roman" w:hAnsi="Times New Roman"/>
          <w:color w:val="000000"/>
        </w:rPr>
        <w:tab/>
      </w:r>
      <w:r w:rsidRPr="00541C22">
        <w:rPr>
          <w:rFonts w:ascii="Times New Roman" w:hAnsi="Times New Roman"/>
          <w:color w:val="000000"/>
        </w:rPr>
        <w:tab/>
      </w:r>
      <w:r>
        <w:rPr>
          <w:rFonts w:ascii="Times New Roman" w:eastAsia="Times New Roman" w:hAnsi="Times New Roman"/>
          <w:lang w:eastAsia="cs-CZ"/>
        </w:rPr>
        <w:t>xxxxxxxxxxxx</w:t>
      </w:r>
      <w:r w:rsidRPr="00541C22">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541C22">
        <w:rPr>
          <w:rFonts w:ascii="Times New Roman" w:hAnsi="Times New Roman"/>
          <w:color w:val="000000"/>
        </w:rPr>
        <w:t>číslo účtu</w:t>
      </w:r>
      <w:r w:rsidRPr="00541C22">
        <w:rPr>
          <w:rFonts w:ascii="Times New Roman" w:hAnsi="Times New Roman"/>
          <w:color w:val="000000"/>
        </w:rPr>
        <w:tab/>
      </w:r>
      <w:r>
        <w:rPr>
          <w:rFonts w:ascii="Times New Roman" w:eastAsia="Times New Roman" w:hAnsi="Times New Roman"/>
          <w:lang w:eastAsia="cs-CZ"/>
        </w:rPr>
        <w:t>xxxxxxxxxxxx</w:t>
      </w:r>
    </w:p>
    <w:p w14:paraId="233D2AF1" w14:textId="77777777" w:rsidR="00A457C1" w:rsidRPr="00541C22" w:rsidRDefault="00A457C1" w:rsidP="00A457C1">
      <w:pPr>
        <w:spacing w:after="0" w:line="240" w:lineRule="auto"/>
        <w:rPr>
          <w:rFonts w:ascii="Times New Roman" w:hAnsi="Times New Roman"/>
          <w:color w:val="000000"/>
        </w:rPr>
      </w:pPr>
      <w:r w:rsidRPr="00541C22">
        <w:rPr>
          <w:rFonts w:ascii="Times New Roman" w:hAnsi="Times New Roman"/>
          <w:color w:val="000000"/>
        </w:rPr>
        <w:tab/>
      </w:r>
      <w:r w:rsidRPr="00541C22">
        <w:rPr>
          <w:rFonts w:ascii="Times New Roman" w:hAnsi="Times New Roman"/>
          <w:color w:val="000000"/>
        </w:rPr>
        <w:tab/>
      </w:r>
      <w:r w:rsidRPr="00541C22">
        <w:rPr>
          <w:rFonts w:ascii="Times New Roman" w:hAnsi="Times New Roman"/>
          <w:color w:val="000000"/>
        </w:rPr>
        <w:tab/>
      </w:r>
      <w:r>
        <w:rPr>
          <w:rFonts w:ascii="Times New Roman" w:eastAsia="Times New Roman" w:hAnsi="Times New Roman"/>
          <w:lang w:eastAsia="cs-CZ"/>
        </w:rPr>
        <w:t>xxxxxxxxxxxx</w:t>
      </w:r>
      <w:r w:rsidRPr="00541C22">
        <w:rPr>
          <w:rFonts w:ascii="Times New Roman" w:hAnsi="Times New Roman"/>
          <w:color w:val="000000"/>
        </w:rPr>
        <w:tab/>
      </w:r>
      <w:r w:rsidRPr="00541C22">
        <w:rPr>
          <w:rFonts w:ascii="Times New Roman" w:hAnsi="Times New Roman"/>
          <w:color w:val="000000"/>
        </w:rPr>
        <w:tab/>
      </w:r>
      <w:r w:rsidRPr="00541C22">
        <w:rPr>
          <w:rFonts w:ascii="Times New Roman" w:hAnsi="Times New Roman"/>
          <w:color w:val="000000"/>
        </w:rPr>
        <w:tab/>
        <w:t>číslo účtu</w:t>
      </w:r>
      <w:r w:rsidRPr="00541C22">
        <w:rPr>
          <w:rFonts w:ascii="Times New Roman" w:eastAsia="Times New Roman" w:hAnsi="Times New Roman"/>
          <w:lang w:eastAsia="cs-CZ"/>
        </w:rPr>
        <w:tab/>
      </w:r>
      <w:r>
        <w:rPr>
          <w:rFonts w:ascii="Times New Roman" w:eastAsia="Times New Roman" w:hAnsi="Times New Roman"/>
          <w:lang w:eastAsia="cs-CZ"/>
        </w:rPr>
        <w:t>xxxxxxxxxxxx</w:t>
      </w:r>
      <w:r w:rsidRPr="00541C22">
        <w:rPr>
          <w:rFonts w:ascii="Times New Roman" w:hAnsi="Times New Roman"/>
          <w:color w:val="000000"/>
        </w:rPr>
        <w:tab/>
      </w:r>
    </w:p>
    <w:bookmarkEnd w:id="0"/>
    <w:p w14:paraId="73574EEF" w14:textId="67A687BA" w:rsidR="008D35BD" w:rsidRPr="0096502F" w:rsidRDefault="008D35BD" w:rsidP="000201A9">
      <w:pPr>
        <w:spacing w:after="0" w:line="240" w:lineRule="auto"/>
        <w:rPr>
          <w:rFonts w:ascii="Times New Roman" w:eastAsia="Times New Roman" w:hAnsi="Times New Roman"/>
          <w:lang w:eastAsia="cs-CZ"/>
        </w:rPr>
      </w:pPr>
    </w:p>
    <w:p w14:paraId="58C277CF" w14:textId="77777777" w:rsidR="008D35BD" w:rsidRPr="0096502F" w:rsidRDefault="008D35BD" w:rsidP="00BE65AC">
      <w:pPr>
        <w:spacing w:after="0" w:line="240" w:lineRule="auto"/>
        <w:rPr>
          <w:rFonts w:ascii="Times New Roman" w:eastAsia="Times New Roman" w:hAnsi="Times New Roman"/>
          <w:lang w:eastAsia="cs-CZ"/>
        </w:rPr>
      </w:pP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1ABF08C5"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B56465">
        <w:rPr>
          <w:rFonts w:ascii="Times New Roman" w:eastAsia="Times New Roman" w:hAnsi="Times New Roman"/>
          <w:lang w:eastAsia="cs-CZ"/>
        </w:rPr>
        <w:t xml:space="preserve"> regionálního rozvoje </w:t>
      </w:r>
    </w:p>
    <w:p w14:paraId="3B6D5597" w14:textId="3E97D028" w:rsidR="003F2BD5" w:rsidRPr="0096502F" w:rsidRDefault="0006295B"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Administrátor </w:t>
      </w:r>
      <w:proofErr w:type="gramStart"/>
      <w:r w:rsidR="00D153F5">
        <w:rPr>
          <w:rFonts w:ascii="Times New Roman" w:eastAsia="Times New Roman" w:hAnsi="Times New Roman"/>
          <w:lang w:eastAsia="cs-CZ"/>
        </w:rPr>
        <w:t xml:space="preserve">dotace:  </w:t>
      </w:r>
      <w:r>
        <w:rPr>
          <w:rFonts w:ascii="Times New Roman" w:eastAsia="Times New Roman" w:hAnsi="Times New Roman"/>
          <w:lang w:eastAsia="cs-CZ"/>
        </w:rPr>
        <w:t xml:space="preserve"> </w:t>
      </w:r>
      <w:proofErr w:type="gramEnd"/>
      <w:r>
        <w:rPr>
          <w:rFonts w:ascii="Times New Roman" w:eastAsia="Times New Roman" w:hAnsi="Times New Roman"/>
          <w:lang w:eastAsia="cs-CZ"/>
        </w:rPr>
        <w:t>Karlovarská agentura rozvoje podnikání, p.o.</w:t>
      </w:r>
    </w:p>
    <w:p w14:paraId="58D86920" w14:textId="77777777" w:rsidR="002C37CF" w:rsidRDefault="002C37CF" w:rsidP="00BE65AC">
      <w:pPr>
        <w:spacing w:after="0" w:line="240" w:lineRule="auto"/>
        <w:rPr>
          <w:rFonts w:ascii="Times New Roman" w:eastAsia="Times New Roman" w:hAnsi="Times New Roman"/>
          <w:lang w:eastAsia="cs-CZ"/>
        </w:rPr>
      </w:pPr>
    </w:p>
    <w:p w14:paraId="0AAF0189" w14:textId="34C73210"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7FFC0BBE" w14:textId="77777777" w:rsidR="00B56465" w:rsidRPr="00B37BE3" w:rsidRDefault="00B56465" w:rsidP="00BE65AC">
      <w:pPr>
        <w:tabs>
          <w:tab w:val="left" w:pos="2127"/>
        </w:tabs>
        <w:spacing w:after="0" w:line="240" w:lineRule="auto"/>
        <w:ind w:left="2127" w:right="-57" w:hanging="2127"/>
        <w:rPr>
          <w:rFonts w:ascii="Times New Roman" w:eastAsia="Times New Roman" w:hAnsi="Times New Roman"/>
          <w:b/>
          <w:bCs/>
          <w:lang w:eastAsia="cs-CZ"/>
        </w:rPr>
      </w:pPr>
    </w:p>
    <w:p w14:paraId="28D02561" w14:textId="64C48B57" w:rsidR="00602229" w:rsidRPr="00B37BE3" w:rsidRDefault="00B37BE3" w:rsidP="00BE65AC">
      <w:pPr>
        <w:tabs>
          <w:tab w:val="left" w:pos="2127"/>
        </w:tabs>
        <w:spacing w:after="0" w:line="240" w:lineRule="auto"/>
        <w:ind w:left="2127" w:right="-57" w:hanging="2127"/>
        <w:rPr>
          <w:rFonts w:ascii="Times New Roman" w:eastAsia="Times New Roman" w:hAnsi="Times New Roman"/>
          <w:b/>
          <w:bCs/>
          <w:lang w:eastAsia="cs-CZ"/>
        </w:rPr>
      </w:pPr>
      <w:r w:rsidRPr="00B37BE3">
        <w:rPr>
          <w:rFonts w:ascii="Times New Roman" w:eastAsia="Times New Roman" w:hAnsi="Times New Roman"/>
          <w:b/>
          <w:bCs/>
          <w:lang w:eastAsia="cs-CZ"/>
        </w:rPr>
        <w:t>ept connector s.r.o.</w:t>
      </w:r>
    </w:p>
    <w:p w14:paraId="5436B3C8" w14:textId="3554D50B" w:rsidR="00602229" w:rsidRPr="00B37BE3"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B37BE3">
        <w:rPr>
          <w:rFonts w:ascii="Times New Roman" w:eastAsia="Times New Roman" w:hAnsi="Times New Roman"/>
          <w:bCs/>
          <w:lang w:eastAsia="cs-CZ"/>
        </w:rPr>
        <w:t>Adresa sídla</w:t>
      </w:r>
      <w:r w:rsidR="00602229" w:rsidRPr="00B37BE3">
        <w:rPr>
          <w:rFonts w:ascii="Times New Roman" w:eastAsia="Times New Roman" w:hAnsi="Times New Roman"/>
          <w:bCs/>
          <w:lang w:eastAsia="cs-CZ"/>
        </w:rPr>
        <w:t>:</w:t>
      </w:r>
      <w:r w:rsidR="00602229" w:rsidRPr="00B37BE3">
        <w:rPr>
          <w:rFonts w:ascii="Times New Roman" w:eastAsia="Times New Roman" w:hAnsi="Times New Roman"/>
          <w:bCs/>
          <w:lang w:eastAsia="cs-CZ"/>
        </w:rPr>
        <w:tab/>
      </w:r>
      <w:r w:rsidR="00B37BE3" w:rsidRPr="00B37BE3">
        <w:rPr>
          <w:rFonts w:ascii="Times New Roman" w:eastAsia="Times New Roman" w:hAnsi="Times New Roman"/>
          <w:bCs/>
          <w:lang w:eastAsia="cs-CZ"/>
        </w:rPr>
        <w:t>Ú</w:t>
      </w:r>
      <w:r w:rsidR="00B37BE3">
        <w:rPr>
          <w:rFonts w:ascii="Times New Roman" w:eastAsia="Times New Roman" w:hAnsi="Times New Roman"/>
          <w:bCs/>
          <w:lang w:eastAsia="cs-CZ"/>
        </w:rPr>
        <w:t xml:space="preserve">žlabí 868, 357 09 Habartov </w:t>
      </w:r>
    </w:p>
    <w:p w14:paraId="519BECAD" w14:textId="5D4E97C6" w:rsidR="009D5AFF" w:rsidRPr="00B37BE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B37BE3">
        <w:rPr>
          <w:rFonts w:ascii="Times New Roman" w:eastAsia="Times New Roman" w:hAnsi="Times New Roman"/>
          <w:bCs/>
          <w:lang w:eastAsia="cs-CZ"/>
        </w:rPr>
        <w:t>Identifikační číslo:</w:t>
      </w:r>
      <w:r w:rsidRPr="00B37BE3">
        <w:rPr>
          <w:rFonts w:ascii="Times New Roman" w:eastAsia="Times New Roman" w:hAnsi="Times New Roman"/>
          <w:bCs/>
          <w:lang w:eastAsia="cs-CZ"/>
        </w:rPr>
        <w:tab/>
      </w:r>
      <w:r w:rsidR="00B37BE3">
        <w:rPr>
          <w:rFonts w:ascii="Times New Roman" w:eastAsia="Times New Roman" w:hAnsi="Times New Roman"/>
          <w:bCs/>
          <w:lang w:eastAsia="cs-CZ"/>
        </w:rPr>
        <w:t>49192116</w:t>
      </w:r>
    </w:p>
    <w:p w14:paraId="65D38DB3" w14:textId="69BE1532" w:rsidR="009D5AFF" w:rsidRPr="00B37BE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B37BE3">
        <w:rPr>
          <w:rFonts w:ascii="Times New Roman" w:eastAsia="Times New Roman" w:hAnsi="Times New Roman"/>
          <w:bCs/>
          <w:lang w:eastAsia="cs-CZ"/>
        </w:rPr>
        <w:t>DIČ:</w:t>
      </w:r>
      <w:r w:rsidRPr="00B37BE3">
        <w:rPr>
          <w:rFonts w:ascii="Times New Roman" w:eastAsia="Times New Roman" w:hAnsi="Times New Roman"/>
          <w:bCs/>
          <w:lang w:eastAsia="cs-CZ"/>
        </w:rPr>
        <w:tab/>
      </w:r>
      <w:r w:rsidR="00B37BE3">
        <w:rPr>
          <w:rFonts w:ascii="Times New Roman" w:eastAsia="Times New Roman" w:hAnsi="Times New Roman"/>
          <w:bCs/>
          <w:lang w:eastAsia="cs-CZ"/>
        </w:rPr>
        <w:t>CZ49192116</w:t>
      </w:r>
    </w:p>
    <w:p w14:paraId="7FEFF898" w14:textId="6C9BA57D" w:rsidR="009D5AFF" w:rsidRPr="00B37BE3"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B37BE3">
        <w:rPr>
          <w:rFonts w:ascii="Times New Roman" w:eastAsia="Times New Roman" w:hAnsi="Times New Roman"/>
          <w:bCs/>
          <w:lang w:eastAsia="cs-CZ"/>
        </w:rPr>
        <w:t>Právní forma:</w:t>
      </w:r>
      <w:r w:rsidRPr="00B37BE3">
        <w:rPr>
          <w:rFonts w:ascii="Times New Roman" w:eastAsia="Times New Roman" w:hAnsi="Times New Roman"/>
          <w:bCs/>
          <w:lang w:eastAsia="cs-CZ"/>
        </w:rPr>
        <w:tab/>
      </w:r>
      <w:r w:rsidR="00B37BE3">
        <w:rPr>
          <w:rFonts w:ascii="Times New Roman" w:eastAsia="Times New Roman" w:hAnsi="Times New Roman"/>
          <w:bCs/>
          <w:lang w:eastAsia="cs-CZ"/>
        </w:rPr>
        <w:t>společnost</w:t>
      </w:r>
      <w:r w:rsidR="000E40E9">
        <w:rPr>
          <w:rFonts w:ascii="Times New Roman" w:eastAsia="Times New Roman" w:hAnsi="Times New Roman"/>
          <w:bCs/>
          <w:lang w:eastAsia="cs-CZ"/>
        </w:rPr>
        <w:t xml:space="preserve"> </w:t>
      </w:r>
      <w:r w:rsidR="00B37BE3">
        <w:rPr>
          <w:rFonts w:ascii="Times New Roman" w:eastAsia="Times New Roman" w:hAnsi="Times New Roman"/>
          <w:bCs/>
          <w:lang w:eastAsia="cs-CZ"/>
        </w:rPr>
        <w:t>s ručením omezen</w:t>
      </w:r>
      <w:r w:rsidR="00F8367F">
        <w:rPr>
          <w:rFonts w:ascii="Times New Roman" w:eastAsia="Times New Roman" w:hAnsi="Times New Roman"/>
          <w:bCs/>
          <w:lang w:eastAsia="cs-CZ"/>
        </w:rPr>
        <w:t>ý</w:t>
      </w:r>
      <w:r w:rsidR="00B37BE3">
        <w:rPr>
          <w:rFonts w:ascii="Times New Roman" w:eastAsia="Times New Roman" w:hAnsi="Times New Roman"/>
          <w:bCs/>
          <w:lang w:eastAsia="cs-CZ"/>
        </w:rPr>
        <w:t>m</w:t>
      </w:r>
    </w:p>
    <w:p w14:paraId="3420E6FD" w14:textId="3EAC6F53" w:rsidR="009D5AFF" w:rsidRPr="00B37BE3" w:rsidRDefault="009D5AFF" w:rsidP="00BE65AC">
      <w:pPr>
        <w:tabs>
          <w:tab w:val="left" w:pos="2127"/>
        </w:tabs>
        <w:spacing w:after="0" w:line="240" w:lineRule="auto"/>
        <w:ind w:right="-57"/>
        <w:rPr>
          <w:rFonts w:ascii="Times New Roman" w:eastAsia="Arial Unicode MS" w:hAnsi="Times New Roman"/>
          <w:lang w:eastAsia="cs-CZ"/>
        </w:rPr>
      </w:pPr>
      <w:r w:rsidRPr="00B37BE3">
        <w:rPr>
          <w:rFonts w:ascii="Times New Roman" w:eastAsia="Times New Roman" w:hAnsi="Times New Roman"/>
          <w:lang w:eastAsia="cs-CZ"/>
        </w:rPr>
        <w:t>Zastoupen</w:t>
      </w:r>
      <w:r w:rsidR="00775014">
        <w:rPr>
          <w:rFonts w:ascii="Times New Roman" w:eastAsia="Times New Roman" w:hAnsi="Times New Roman"/>
          <w:lang w:eastAsia="cs-CZ"/>
        </w:rPr>
        <w:t>á</w:t>
      </w:r>
      <w:r w:rsidRPr="00B37BE3">
        <w:rPr>
          <w:rFonts w:ascii="Times New Roman" w:eastAsia="Times New Roman" w:hAnsi="Times New Roman"/>
          <w:lang w:eastAsia="cs-CZ"/>
        </w:rPr>
        <w:t>:</w:t>
      </w:r>
      <w:r w:rsidRPr="00B37BE3">
        <w:rPr>
          <w:rFonts w:ascii="Times New Roman" w:eastAsia="Times New Roman" w:hAnsi="Times New Roman"/>
          <w:lang w:eastAsia="cs-CZ"/>
        </w:rPr>
        <w:tab/>
      </w:r>
      <w:r w:rsidR="00B37BE3">
        <w:rPr>
          <w:rFonts w:ascii="Times New Roman" w:eastAsia="Times New Roman" w:hAnsi="Times New Roman"/>
          <w:lang w:eastAsia="cs-CZ"/>
        </w:rPr>
        <w:t xml:space="preserve">Ing. Tomáš Musil, </w:t>
      </w:r>
      <w:proofErr w:type="spellStart"/>
      <w:r w:rsidR="00B37BE3">
        <w:rPr>
          <w:rFonts w:ascii="Times New Roman" w:eastAsia="Times New Roman" w:hAnsi="Times New Roman"/>
          <w:lang w:eastAsia="cs-CZ"/>
        </w:rPr>
        <w:t>iEN</w:t>
      </w:r>
      <w:proofErr w:type="spellEnd"/>
      <w:r w:rsidR="00773CB2">
        <w:rPr>
          <w:rFonts w:ascii="Times New Roman" w:eastAsia="Times New Roman" w:hAnsi="Times New Roman"/>
          <w:lang w:eastAsia="cs-CZ"/>
        </w:rPr>
        <w:t>, jednatel</w:t>
      </w:r>
    </w:p>
    <w:p w14:paraId="47805592" w14:textId="77777777" w:rsidR="00F5535D" w:rsidRDefault="009D5AFF" w:rsidP="00BE65AC">
      <w:pPr>
        <w:tabs>
          <w:tab w:val="left" w:pos="2127"/>
        </w:tabs>
        <w:spacing w:after="0" w:line="240" w:lineRule="auto"/>
        <w:ind w:right="-57"/>
        <w:rPr>
          <w:rFonts w:ascii="Times New Roman" w:eastAsia="Arial Unicode MS" w:hAnsi="Times New Roman"/>
          <w:lang w:eastAsia="cs-CZ"/>
        </w:rPr>
      </w:pPr>
      <w:r w:rsidRPr="00B37BE3">
        <w:rPr>
          <w:rFonts w:ascii="Times New Roman" w:eastAsia="Arial Unicode MS" w:hAnsi="Times New Roman"/>
          <w:lang w:eastAsia="cs-CZ"/>
        </w:rPr>
        <w:t xml:space="preserve">Registrace ve veřejném rejstříku: </w:t>
      </w:r>
    </w:p>
    <w:p w14:paraId="6D4A56D8" w14:textId="16A97818" w:rsidR="009D5AFF" w:rsidRPr="00B37BE3" w:rsidRDefault="001333F6" w:rsidP="00BE65AC">
      <w:pPr>
        <w:tabs>
          <w:tab w:val="left" w:pos="2127"/>
        </w:tabs>
        <w:spacing w:after="0" w:line="240" w:lineRule="auto"/>
        <w:ind w:right="-57"/>
        <w:rPr>
          <w:rFonts w:ascii="Times New Roman" w:eastAsia="Arial Unicode MS" w:hAnsi="Times New Roman"/>
          <w:lang w:eastAsia="cs-CZ"/>
        </w:rPr>
      </w:pPr>
      <w:r>
        <w:rPr>
          <w:rFonts w:ascii="Times New Roman" w:eastAsia="Arial Unicode MS" w:hAnsi="Times New Roman"/>
          <w:lang w:eastAsia="cs-CZ"/>
        </w:rPr>
        <w:t>xxxxxxxxxxxxxxxxxxxxxxxxxxxxxxxx</w:t>
      </w:r>
    </w:p>
    <w:p w14:paraId="379F1018" w14:textId="77777777" w:rsidR="00A457C1" w:rsidRDefault="00A457C1" w:rsidP="00A457C1">
      <w:pPr>
        <w:tabs>
          <w:tab w:val="left" w:pos="2127"/>
        </w:tabs>
        <w:spacing w:after="0" w:line="240" w:lineRule="auto"/>
        <w:ind w:right="-57"/>
        <w:rPr>
          <w:rFonts w:ascii="Times New Roman" w:eastAsia="Arial Unicode MS" w:hAnsi="Times New Roman"/>
          <w:lang w:eastAsia="cs-CZ"/>
        </w:rPr>
      </w:pPr>
      <w:r w:rsidRPr="00B37BE3">
        <w:rPr>
          <w:rFonts w:ascii="Times New Roman" w:eastAsia="Times New Roman" w:hAnsi="Times New Roman"/>
          <w:lang w:eastAsia="cs-CZ"/>
        </w:rPr>
        <w:t>Bankovní spojení:</w:t>
      </w:r>
      <w:r w:rsidRPr="00B37BE3">
        <w:rPr>
          <w:rFonts w:ascii="Times New Roman" w:eastAsia="Times New Roman" w:hAnsi="Times New Roman"/>
          <w:lang w:eastAsia="cs-CZ"/>
        </w:rPr>
        <w:tab/>
      </w:r>
      <w:r>
        <w:rPr>
          <w:rFonts w:ascii="Times New Roman" w:eastAsia="Times New Roman" w:hAnsi="Times New Roman"/>
          <w:lang w:eastAsia="cs-CZ"/>
        </w:rPr>
        <w:t>xxxxxxxxxxxx</w:t>
      </w:r>
      <w:r w:rsidRPr="00541C22">
        <w:rPr>
          <w:rFonts w:ascii="Times New Roman" w:hAnsi="Times New Roman"/>
          <w:color w:val="000000"/>
        </w:rPr>
        <w:tab/>
      </w:r>
      <w:r w:rsidRPr="00B37BE3">
        <w:rPr>
          <w:rFonts w:ascii="Times New Roman" w:eastAsia="Arial Unicode MS" w:hAnsi="Times New Roman"/>
          <w:lang w:eastAsia="cs-CZ"/>
        </w:rPr>
        <w:tab/>
      </w:r>
      <w:r w:rsidRPr="00B37BE3">
        <w:rPr>
          <w:rFonts w:ascii="Times New Roman" w:eastAsia="Arial Unicode MS" w:hAnsi="Times New Roman"/>
          <w:lang w:eastAsia="cs-CZ"/>
        </w:rPr>
        <w:tab/>
      </w:r>
      <w:r w:rsidRPr="00B37BE3">
        <w:rPr>
          <w:rFonts w:ascii="Times New Roman" w:eastAsia="Arial Unicode MS" w:hAnsi="Times New Roman"/>
          <w:lang w:eastAsia="cs-CZ"/>
        </w:rPr>
        <w:tab/>
      </w:r>
      <w:r w:rsidRPr="00B37BE3">
        <w:rPr>
          <w:rFonts w:ascii="Times New Roman" w:eastAsia="Arial Unicode MS" w:hAnsi="Times New Roman"/>
          <w:lang w:eastAsia="cs-CZ"/>
        </w:rPr>
        <w:tab/>
      </w:r>
    </w:p>
    <w:p w14:paraId="6C3932F8" w14:textId="77777777" w:rsidR="00A457C1" w:rsidRPr="00B37BE3" w:rsidRDefault="00A457C1" w:rsidP="00A457C1">
      <w:pPr>
        <w:tabs>
          <w:tab w:val="left" w:pos="2127"/>
        </w:tabs>
        <w:spacing w:after="0" w:line="240" w:lineRule="auto"/>
        <w:ind w:right="-57"/>
        <w:rPr>
          <w:rFonts w:ascii="Times New Roman" w:eastAsia="Arial Unicode MS" w:hAnsi="Times New Roman"/>
          <w:lang w:eastAsia="cs-CZ"/>
        </w:rPr>
      </w:pPr>
      <w:r w:rsidRPr="00B37BE3">
        <w:rPr>
          <w:rFonts w:ascii="Times New Roman" w:eastAsia="Times New Roman" w:hAnsi="Times New Roman"/>
          <w:lang w:eastAsia="cs-CZ"/>
        </w:rPr>
        <w:t>číslo účtu:</w:t>
      </w:r>
      <w:r w:rsidRPr="00B37BE3">
        <w:rPr>
          <w:rFonts w:ascii="Times New Roman" w:eastAsia="Times New Roman" w:hAnsi="Times New Roman"/>
          <w:lang w:eastAsia="cs-CZ"/>
        </w:rPr>
        <w:tab/>
      </w:r>
      <w:r>
        <w:rPr>
          <w:rFonts w:ascii="Times New Roman" w:eastAsia="Times New Roman" w:hAnsi="Times New Roman"/>
          <w:lang w:eastAsia="cs-CZ"/>
        </w:rPr>
        <w:t>xxxxxxxxxxxx</w:t>
      </w:r>
      <w:r w:rsidRPr="00541C22">
        <w:rPr>
          <w:rFonts w:ascii="Times New Roman" w:hAnsi="Times New Roman"/>
          <w:color w:val="000000"/>
        </w:rPr>
        <w:tab/>
      </w:r>
    </w:p>
    <w:p w14:paraId="69655485" w14:textId="77777777" w:rsidR="00A457C1" w:rsidRPr="00B37BE3" w:rsidRDefault="00A457C1" w:rsidP="00A457C1">
      <w:pPr>
        <w:spacing w:after="0" w:line="240" w:lineRule="auto"/>
        <w:rPr>
          <w:rFonts w:ascii="Times New Roman" w:eastAsia="Times New Roman" w:hAnsi="Times New Roman"/>
          <w:lang w:eastAsia="cs-CZ"/>
        </w:rPr>
      </w:pPr>
      <w:r w:rsidRPr="00B37BE3">
        <w:rPr>
          <w:rFonts w:ascii="Times New Roman" w:eastAsia="Times New Roman" w:hAnsi="Times New Roman"/>
          <w:lang w:eastAsia="cs-CZ"/>
        </w:rPr>
        <w:t>E-mail:</w:t>
      </w:r>
      <w:r w:rsidRPr="00B37BE3">
        <w:rPr>
          <w:rFonts w:ascii="Times New Roman" w:eastAsia="Times New Roman" w:hAnsi="Times New Roman"/>
          <w:lang w:eastAsia="cs-CZ"/>
        </w:rPr>
        <w:tab/>
      </w:r>
      <w:r w:rsidRPr="00B37BE3">
        <w:rPr>
          <w:rFonts w:ascii="Times New Roman" w:eastAsia="Times New Roman" w:hAnsi="Times New Roman"/>
          <w:lang w:eastAsia="cs-CZ"/>
        </w:rPr>
        <w:tab/>
      </w:r>
      <w:r w:rsidRPr="00B37BE3">
        <w:rPr>
          <w:rFonts w:ascii="Times New Roman" w:eastAsia="Times New Roman" w:hAnsi="Times New Roman"/>
          <w:lang w:eastAsia="cs-CZ"/>
        </w:rPr>
        <w:tab/>
      </w:r>
      <w:r>
        <w:rPr>
          <w:rFonts w:ascii="Times New Roman" w:eastAsia="Times New Roman" w:hAnsi="Times New Roman"/>
          <w:lang w:eastAsia="cs-CZ"/>
        </w:rPr>
        <w:t>xxxxxxxxxxxx</w:t>
      </w:r>
      <w:r w:rsidRPr="00541C22">
        <w:rPr>
          <w:rFonts w:ascii="Times New Roman" w:hAnsi="Times New Roman"/>
          <w:color w:val="000000"/>
        </w:rPr>
        <w:tab/>
      </w:r>
    </w:p>
    <w:p w14:paraId="3C7FD6BD" w14:textId="3DAFB760" w:rsidR="0092610B" w:rsidRPr="00B37BE3" w:rsidRDefault="0092610B" w:rsidP="0092610B">
      <w:pPr>
        <w:tabs>
          <w:tab w:val="left" w:pos="2127"/>
          <w:tab w:val="left" w:pos="2214"/>
        </w:tabs>
        <w:spacing w:after="0" w:line="240" w:lineRule="auto"/>
        <w:jc w:val="both"/>
        <w:rPr>
          <w:rFonts w:ascii="Times New Roman" w:eastAsia="Times New Roman" w:hAnsi="Times New Roman"/>
          <w:b/>
          <w:bCs/>
          <w:lang w:eastAsia="cs-CZ"/>
        </w:rPr>
      </w:pPr>
      <w:r w:rsidRPr="00B37BE3">
        <w:rPr>
          <w:rFonts w:ascii="Times New Roman" w:eastAsia="Times New Roman" w:hAnsi="Times New Roman"/>
          <w:b/>
          <w:bCs/>
          <w:lang w:eastAsia="cs-CZ"/>
        </w:rPr>
        <w:t xml:space="preserve">Je plátce DPH a DPH </w:t>
      </w:r>
      <w:r w:rsidR="00B37BE3" w:rsidRPr="00B37BE3">
        <w:rPr>
          <w:rFonts w:ascii="Times New Roman" w:eastAsia="Times New Roman" w:hAnsi="Times New Roman"/>
          <w:b/>
          <w:bCs/>
          <w:lang w:eastAsia="cs-CZ"/>
        </w:rPr>
        <w:t xml:space="preserve">není </w:t>
      </w:r>
      <w:r w:rsidRPr="00B37BE3">
        <w:rPr>
          <w:rFonts w:ascii="Times New Roman" w:eastAsia="Times New Roman" w:hAnsi="Times New Roman"/>
          <w:b/>
          <w:bCs/>
          <w:lang w:eastAsia="cs-CZ"/>
        </w:rPr>
        <w:t>uznatelným výdajem</w:t>
      </w:r>
      <w:r w:rsidR="00B37BE3" w:rsidRPr="00B37BE3">
        <w:rPr>
          <w:rFonts w:ascii="Times New Roman" w:eastAsia="Times New Roman" w:hAnsi="Times New Roman"/>
          <w:b/>
          <w:bCs/>
          <w:lang w:eastAsia="cs-CZ"/>
        </w:rPr>
        <w:t>.</w:t>
      </w:r>
    </w:p>
    <w:p w14:paraId="567F36AF" w14:textId="77777777" w:rsidR="00910550" w:rsidRPr="0096502F" w:rsidRDefault="00910550" w:rsidP="00BE65AC">
      <w:pPr>
        <w:spacing w:after="0" w:line="240" w:lineRule="auto"/>
        <w:rPr>
          <w:rFonts w:ascii="Times New Roman" w:eastAsia="Times New Roman" w:hAnsi="Times New Roman"/>
          <w:lang w:eastAsia="cs-CZ"/>
        </w:rPr>
      </w:pPr>
    </w:p>
    <w:p w14:paraId="6961B156" w14:textId="5E3EB781"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w:t>
      </w:r>
      <w:r w:rsidR="00B56465">
        <w:rPr>
          <w:rFonts w:ascii="Times New Roman" w:eastAsia="Times New Roman" w:hAnsi="Times New Roman"/>
          <w:lang w:eastAsia="cs-CZ"/>
        </w:rPr>
        <w:t>příjemce</w:t>
      </w:r>
      <w:r w:rsidRPr="0096502F">
        <w:rPr>
          <w:rFonts w:ascii="Times New Roman" w:eastAsia="Times New Roman" w:hAnsi="Times New Roman"/>
          <w:lang w:eastAsia="cs-CZ"/>
        </w:rPr>
        <w:t>“)</w:t>
      </w:r>
    </w:p>
    <w:p w14:paraId="10818FD4" w14:textId="77777777" w:rsidR="00950075" w:rsidRDefault="00950075" w:rsidP="00BE65AC">
      <w:pPr>
        <w:spacing w:after="0" w:line="240" w:lineRule="auto"/>
        <w:rPr>
          <w:rFonts w:ascii="Times New Roman" w:eastAsia="Times New Roman" w:hAnsi="Times New Roman"/>
          <w:lang w:eastAsia="cs-CZ"/>
        </w:rPr>
      </w:pPr>
    </w:p>
    <w:p w14:paraId="3553B136" w14:textId="41FFE1AD" w:rsidR="003B42E8" w:rsidRPr="0096502F" w:rsidRDefault="0095007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 xml:space="preserve"> </w:t>
      </w:r>
      <w:r w:rsidR="003B42E8"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27B2C74C"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1094775E" w14:textId="77777777" w:rsidR="006D0BE9" w:rsidRPr="0096502F" w:rsidRDefault="006D0BE9" w:rsidP="00BE65AC">
      <w:pPr>
        <w:spacing w:after="0" w:line="240" w:lineRule="auto"/>
        <w:jc w:val="center"/>
        <w:rPr>
          <w:rFonts w:ascii="Times New Roman" w:eastAsia="Times New Roman" w:hAnsi="Times New Roman"/>
          <w:b/>
          <w:bCs/>
          <w:lang w:eastAsia="cs-CZ"/>
        </w:rPr>
      </w:pPr>
    </w:p>
    <w:p w14:paraId="7F80BB70" w14:textId="6773B74A"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a v souladu s Programem pro poskytování dotací z rozpočtu Karlovarského kraje</w:t>
      </w:r>
      <w:r w:rsidR="00B56465" w:rsidRPr="00D153F5">
        <w:rPr>
          <w:rFonts w:ascii="Times New Roman" w:eastAsia="Arial Unicode MS" w:hAnsi="Times New Roman"/>
          <w:lang w:eastAsia="cs-CZ"/>
        </w:rPr>
        <w:t xml:space="preserve">, </w:t>
      </w:r>
      <w:r w:rsidR="00950075" w:rsidRPr="00D153F5">
        <w:rPr>
          <w:rFonts w:ascii="Times New Roman" w:eastAsia="Arial Unicode MS" w:hAnsi="Times New Roman"/>
          <w:lang w:eastAsia="cs-CZ"/>
        </w:rPr>
        <w:t xml:space="preserve">Program rozvoje konkurenceschopnosti Karlovarského kraje, podprogram 1 Inovační </w:t>
      </w:r>
      <w:r w:rsidR="00950075" w:rsidRPr="00D153F5">
        <w:rPr>
          <w:rFonts w:ascii="Times New Roman" w:eastAsia="Arial Unicode MS" w:hAnsi="Times New Roman"/>
          <w:lang w:eastAsia="cs-CZ"/>
        </w:rPr>
        <w:lastRenderedPageBreak/>
        <w:t>vouchery</w:t>
      </w:r>
      <w:r w:rsidR="00950075" w:rsidRPr="00D153F5">
        <w:rPr>
          <w:rFonts w:ascii="Times New Roman" w:eastAsia="Arial Unicode MS" w:hAnsi="Times New Roman"/>
          <w:color w:val="FF0000"/>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160B5AD6" w14:textId="77777777" w:rsidR="00950075" w:rsidRDefault="00950075" w:rsidP="00BE65AC">
      <w:pPr>
        <w:spacing w:after="0" w:line="240" w:lineRule="auto"/>
        <w:jc w:val="center"/>
        <w:rPr>
          <w:rFonts w:ascii="Times New Roman" w:eastAsia="Arial Unicode MS" w:hAnsi="Times New Roman"/>
          <w:lang w:eastAsia="cs-CZ"/>
        </w:rPr>
      </w:pPr>
    </w:p>
    <w:p w14:paraId="03FB6437" w14:textId="1782F55B"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2AB412F0"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9474718" w14:textId="77777777" w:rsidR="006D0BE9" w:rsidRPr="0096502F" w:rsidRDefault="006D0BE9" w:rsidP="00BE65AC">
      <w:pPr>
        <w:spacing w:after="0" w:line="240" w:lineRule="auto"/>
        <w:jc w:val="center"/>
        <w:rPr>
          <w:rFonts w:ascii="Times New Roman" w:eastAsia="Times New Roman" w:hAnsi="Times New Roman"/>
          <w:b/>
          <w:bCs/>
          <w:lang w:eastAsia="cs-CZ"/>
        </w:rPr>
      </w:pPr>
    </w:p>
    <w:p w14:paraId="502C6C01" w14:textId="5A57231B" w:rsidR="00406CC0" w:rsidRPr="0096502F" w:rsidRDefault="0014413C" w:rsidP="0006295B">
      <w:pPr>
        <w:pStyle w:val="Normlnweb"/>
        <w:numPr>
          <w:ilvl w:val="0"/>
          <w:numId w:val="12"/>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r w:rsidR="00BD1D69" w:rsidRPr="0096502F">
        <w:rPr>
          <w:sz w:val="22"/>
          <w:szCs w:val="22"/>
        </w:rPr>
        <w:t>minimis,</w:t>
      </w:r>
      <w:r w:rsidR="00406CC0" w:rsidRPr="0096502F">
        <w:rPr>
          <w:sz w:val="22"/>
          <w:szCs w:val="22"/>
        </w:rPr>
        <w:t xml:space="preserve">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06295B">
      <w:pPr>
        <w:pStyle w:val="Normlnweb"/>
        <w:numPr>
          <w:ilvl w:val="0"/>
          <w:numId w:val="12"/>
        </w:numPr>
        <w:ind w:left="426" w:hanging="426"/>
        <w:jc w:val="both"/>
        <w:rPr>
          <w:b/>
          <w:bCs/>
          <w:sz w:val="22"/>
          <w:szCs w:val="22"/>
        </w:rPr>
      </w:pPr>
      <w:r w:rsidRPr="0096502F">
        <w:rPr>
          <w:sz w:val="22"/>
          <w:szCs w:val="22"/>
        </w:rPr>
        <w:t>Údaje o dotaci:</w:t>
      </w:r>
    </w:p>
    <w:p w14:paraId="0008639C" w14:textId="19B4A62F"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202B5E" w:rsidRPr="00F5535D">
        <w:rPr>
          <w:b/>
          <w:bCs/>
          <w:sz w:val="22"/>
          <w:szCs w:val="22"/>
        </w:rPr>
        <w:t>2020</w:t>
      </w:r>
    </w:p>
    <w:p w14:paraId="37F411C7" w14:textId="0CF07AC1"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B37BE3">
        <w:rPr>
          <w:sz w:val="22"/>
          <w:szCs w:val="22"/>
        </w:rPr>
        <w:tab/>
      </w:r>
      <w:r w:rsidR="00B37BE3" w:rsidRPr="00F5535D">
        <w:rPr>
          <w:b/>
          <w:bCs/>
          <w:sz w:val="22"/>
          <w:szCs w:val="22"/>
        </w:rPr>
        <w:t>150 000</w:t>
      </w:r>
      <w:r w:rsidR="002415E5" w:rsidRPr="00F5535D">
        <w:rPr>
          <w:b/>
          <w:bCs/>
          <w:sz w:val="22"/>
          <w:szCs w:val="22"/>
        </w:rPr>
        <w:t xml:space="preserve"> Kč</w:t>
      </w:r>
    </w:p>
    <w:p w14:paraId="4D687BB9" w14:textId="00A1FD6F" w:rsidR="002415E5" w:rsidRPr="00B37BE3" w:rsidRDefault="002415E5" w:rsidP="002415E5">
      <w:pPr>
        <w:pStyle w:val="Normlnweb"/>
        <w:ind w:left="426"/>
        <w:jc w:val="both"/>
        <w:rPr>
          <w:sz w:val="22"/>
          <w:szCs w:val="22"/>
        </w:rPr>
      </w:pPr>
      <w:r w:rsidRPr="0096502F">
        <w:rPr>
          <w:sz w:val="22"/>
          <w:szCs w:val="22"/>
        </w:rPr>
        <w:t>(</w:t>
      </w:r>
      <w:r w:rsidRPr="00B37BE3">
        <w:rPr>
          <w:sz w:val="22"/>
          <w:szCs w:val="22"/>
        </w:rPr>
        <w:t xml:space="preserve">Slovy: </w:t>
      </w:r>
      <w:r w:rsidR="00B37BE3" w:rsidRPr="00B37BE3">
        <w:rPr>
          <w:sz w:val="22"/>
          <w:szCs w:val="22"/>
        </w:rPr>
        <w:t>jedno sto padesát tisíc korun českých)</w:t>
      </w:r>
    </w:p>
    <w:p w14:paraId="126E9712" w14:textId="77777777" w:rsidR="000E40E9" w:rsidRDefault="000E40E9" w:rsidP="002415E5">
      <w:pPr>
        <w:pStyle w:val="Normlnweb"/>
        <w:ind w:left="426"/>
        <w:jc w:val="both"/>
        <w:rPr>
          <w:sz w:val="22"/>
          <w:szCs w:val="22"/>
        </w:rPr>
      </w:pPr>
    </w:p>
    <w:p w14:paraId="577C925B" w14:textId="10687574" w:rsidR="00B37BE3" w:rsidRDefault="00ED646C" w:rsidP="002415E5">
      <w:pPr>
        <w:pStyle w:val="Normlnweb"/>
        <w:ind w:left="426"/>
        <w:jc w:val="both"/>
        <w:rPr>
          <w:sz w:val="22"/>
          <w:szCs w:val="22"/>
        </w:rPr>
      </w:pPr>
      <w:r w:rsidRPr="0096502F">
        <w:rPr>
          <w:sz w:val="22"/>
          <w:szCs w:val="22"/>
        </w:rPr>
        <w:t>Dotace se poskytuje na účel</w:t>
      </w:r>
      <w:r w:rsidR="002634F5">
        <w:rPr>
          <w:sz w:val="22"/>
          <w:szCs w:val="22"/>
        </w:rPr>
        <w:t>/projekt</w:t>
      </w:r>
      <w:r w:rsidRPr="0096502F">
        <w:rPr>
          <w:sz w:val="22"/>
          <w:szCs w:val="22"/>
        </w:rPr>
        <w:t>:</w:t>
      </w:r>
      <w:r w:rsidR="002415E5" w:rsidRPr="0096502F">
        <w:rPr>
          <w:sz w:val="22"/>
          <w:szCs w:val="22"/>
        </w:rPr>
        <w:tab/>
      </w:r>
      <w:r w:rsidR="002415E5" w:rsidRPr="0096502F">
        <w:rPr>
          <w:sz w:val="22"/>
          <w:szCs w:val="22"/>
        </w:rPr>
        <w:tab/>
      </w:r>
      <w:r w:rsidR="002415E5" w:rsidRPr="0096502F">
        <w:rPr>
          <w:sz w:val="22"/>
          <w:szCs w:val="22"/>
        </w:rPr>
        <w:tab/>
      </w:r>
    </w:p>
    <w:p w14:paraId="50C727B0" w14:textId="22209839" w:rsidR="00B37BE3" w:rsidRPr="00B37BE3" w:rsidRDefault="00B37BE3" w:rsidP="002415E5">
      <w:pPr>
        <w:pStyle w:val="Normlnweb"/>
        <w:ind w:left="426"/>
        <w:jc w:val="both"/>
        <w:rPr>
          <w:b/>
          <w:bCs/>
          <w:sz w:val="22"/>
          <w:szCs w:val="22"/>
        </w:rPr>
      </w:pPr>
      <w:r w:rsidRPr="00B37BE3">
        <w:rPr>
          <w:b/>
          <w:bCs/>
          <w:sz w:val="22"/>
          <w:szCs w:val="22"/>
        </w:rPr>
        <w:t>„Procesní a datová analýza pro zavedení elektronického kanbanu a čteček čárových kódů“</w:t>
      </w:r>
      <w:r w:rsidR="002415E5" w:rsidRPr="00B37BE3">
        <w:rPr>
          <w:b/>
          <w:bCs/>
          <w:sz w:val="22"/>
          <w:szCs w:val="22"/>
        </w:rPr>
        <w:tab/>
      </w:r>
    </w:p>
    <w:p w14:paraId="554D98D5" w14:textId="5485F8FE" w:rsidR="00ED646C" w:rsidRPr="0096502F" w:rsidRDefault="00ED646C" w:rsidP="002C37CF">
      <w:pPr>
        <w:pStyle w:val="Normlnweb"/>
        <w:ind w:left="360"/>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3C3E5E">
        <w:rPr>
          <w:sz w:val="22"/>
          <w:szCs w:val="22"/>
        </w:rPr>
        <w:t xml:space="preserve">   </w:t>
      </w:r>
      <w:bookmarkStart w:id="1" w:name="_Hlk56493699"/>
      <w:r w:rsidR="003C3E5E">
        <w:rPr>
          <w:sz w:val="22"/>
          <w:szCs w:val="22"/>
        </w:rPr>
        <w:t xml:space="preserve"> </w:t>
      </w:r>
      <w:r w:rsidR="00FE00E9" w:rsidRPr="007A3BDF">
        <w:rPr>
          <w:b/>
          <w:bCs/>
          <w:sz w:val="22"/>
          <w:szCs w:val="22"/>
        </w:rPr>
        <w:t>209067500</w:t>
      </w:r>
      <w:r w:rsidR="00FE00E9">
        <w:rPr>
          <w:b/>
          <w:bCs/>
          <w:sz w:val="22"/>
          <w:szCs w:val="22"/>
        </w:rPr>
        <w:t>2</w:t>
      </w:r>
      <w:bookmarkEnd w:id="1"/>
    </w:p>
    <w:p w14:paraId="05ED4A78" w14:textId="5D4B8319" w:rsidR="0014413C" w:rsidRDefault="0014413C" w:rsidP="00BE65AC">
      <w:pPr>
        <w:spacing w:after="0" w:line="240" w:lineRule="auto"/>
        <w:jc w:val="both"/>
        <w:rPr>
          <w:rFonts w:ascii="Times New Roman" w:eastAsia="Times New Roman" w:hAnsi="Times New Roman"/>
          <w:b/>
          <w:bCs/>
          <w:lang w:eastAsia="cs-CZ"/>
        </w:rPr>
      </w:pPr>
    </w:p>
    <w:p w14:paraId="543BEE55" w14:textId="15DB5CEC" w:rsidR="00202B5E" w:rsidRDefault="00202B5E" w:rsidP="00202B5E">
      <w:pPr>
        <w:pStyle w:val="Normlnweb"/>
        <w:ind w:left="360"/>
        <w:jc w:val="both"/>
        <w:rPr>
          <w:b/>
          <w:sz w:val="22"/>
          <w:szCs w:val="22"/>
        </w:rPr>
      </w:pPr>
      <w:bookmarkStart w:id="2" w:name="_Hlk31181357"/>
      <w:r>
        <w:rPr>
          <w:bCs/>
          <w:sz w:val="22"/>
          <w:szCs w:val="22"/>
        </w:rPr>
        <w:t>Příjemce se</w:t>
      </w:r>
      <w:r w:rsidR="000E2276">
        <w:rPr>
          <w:bCs/>
          <w:sz w:val="22"/>
          <w:szCs w:val="22"/>
        </w:rPr>
        <w:t xml:space="preserve"> </w:t>
      </w:r>
      <w:r>
        <w:rPr>
          <w:bCs/>
          <w:sz w:val="22"/>
          <w:szCs w:val="22"/>
        </w:rPr>
        <w:t>zavazuje poskytnutou dotaci použít v souladu s dosažením účelu projektu, kterým je:</w:t>
      </w:r>
      <w:r w:rsidR="00B37BE3">
        <w:rPr>
          <w:bCs/>
          <w:sz w:val="22"/>
          <w:szCs w:val="22"/>
        </w:rPr>
        <w:t xml:space="preserve"> </w:t>
      </w:r>
      <w:r w:rsidR="00B37BE3" w:rsidRPr="00F5535D">
        <w:rPr>
          <w:b/>
          <w:sz w:val="22"/>
          <w:szCs w:val="22"/>
        </w:rPr>
        <w:t>Provedení detailní procesní a datové analýzy za účelem zavedení systému elektronické evidence oběhu materiál</w:t>
      </w:r>
      <w:r w:rsidR="002C37CF">
        <w:rPr>
          <w:b/>
          <w:sz w:val="22"/>
          <w:szCs w:val="22"/>
        </w:rPr>
        <w:t>u</w:t>
      </w:r>
      <w:r w:rsidR="00B37BE3" w:rsidRPr="00F5535D">
        <w:rPr>
          <w:b/>
          <w:sz w:val="22"/>
          <w:szCs w:val="22"/>
        </w:rPr>
        <w:t xml:space="preserve"> (tzv. ekanban).</w:t>
      </w:r>
    </w:p>
    <w:p w14:paraId="706BE6C2" w14:textId="0DA3C566" w:rsidR="002C37CF" w:rsidRPr="000E40E9" w:rsidRDefault="002C37CF" w:rsidP="00202B5E">
      <w:pPr>
        <w:pStyle w:val="Normlnweb"/>
        <w:ind w:left="360"/>
        <w:jc w:val="both"/>
        <w:rPr>
          <w:sz w:val="22"/>
          <w:szCs w:val="22"/>
        </w:rPr>
      </w:pPr>
    </w:p>
    <w:bookmarkEnd w:id="2"/>
    <w:p w14:paraId="46793634" w14:textId="0E441D33" w:rsidR="002C37CF" w:rsidRPr="002C37CF" w:rsidRDefault="002C37CF" w:rsidP="002C37CF">
      <w:pPr>
        <w:autoSpaceDE w:val="0"/>
        <w:autoSpaceDN w:val="0"/>
        <w:adjustRightInd w:val="0"/>
        <w:spacing w:after="0" w:line="240" w:lineRule="auto"/>
        <w:ind w:left="360"/>
        <w:jc w:val="both"/>
        <w:rPr>
          <w:rFonts w:ascii="Times New Roman" w:hAnsi="Times New Roman"/>
        </w:rPr>
      </w:pPr>
      <w:r w:rsidRPr="000E40E9">
        <w:rPr>
          <w:rFonts w:ascii="Times New Roman" w:hAnsi="Times New Roman"/>
        </w:rPr>
        <w:t>Výstupy projektu</w:t>
      </w:r>
      <w:r w:rsidRPr="000E40E9">
        <w:rPr>
          <w:rFonts w:ascii="Times New Roman" w:hAnsi="Times New Roman"/>
          <w:b/>
          <w:bCs/>
        </w:rPr>
        <w:t>: Detailní studie</w:t>
      </w:r>
      <w:r w:rsidR="00901F7E">
        <w:rPr>
          <w:rFonts w:ascii="Times New Roman" w:hAnsi="Times New Roman"/>
        </w:rPr>
        <w:t xml:space="preserve"> (podklad </w:t>
      </w:r>
      <w:r w:rsidRPr="002C37CF">
        <w:rPr>
          <w:rFonts w:ascii="Times New Roman" w:hAnsi="Times New Roman"/>
        </w:rPr>
        <w:t>pro kastomizaci informačního systému SAP) propojující požadavky na funkčnost nového systému pro řízení zásobování výroby materiálem se skutečným stavem a možnostmi firmy.</w:t>
      </w:r>
    </w:p>
    <w:p w14:paraId="35110E48" w14:textId="77777777" w:rsidR="00202B5E" w:rsidRDefault="00202B5E" w:rsidP="00202B5E">
      <w:pPr>
        <w:pStyle w:val="Normlnweb"/>
        <w:ind w:left="360"/>
        <w:jc w:val="both"/>
        <w:rPr>
          <w:bCs/>
          <w:sz w:val="22"/>
          <w:szCs w:val="22"/>
        </w:rPr>
      </w:pPr>
    </w:p>
    <w:p w14:paraId="6F6A7775" w14:textId="533803EE" w:rsidR="00B56465" w:rsidRDefault="00B56465" w:rsidP="00B56465">
      <w:pPr>
        <w:spacing w:after="0" w:line="240" w:lineRule="auto"/>
        <w:ind w:left="360"/>
        <w:jc w:val="both"/>
        <w:rPr>
          <w:rFonts w:ascii="Times New Roman" w:hAnsi="Times New Roman"/>
        </w:rPr>
      </w:pPr>
      <w:bookmarkStart w:id="3" w:name="_Hlk31184407"/>
      <w:r>
        <w:rPr>
          <w:rFonts w:ascii="Times New Roman" w:hAnsi="Times New Roman"/>
        </w:rPr>
        <w:t>Uvedená částka činí</w:t>
      </w:r>
      <w:r w:rsidR="0061715E">
        <w:rPr>
          <w:rFonts w:ascii="Times New Roman" w:hAnsi="Times New Roman"/>
        </w:rPr>
        <w:t xml:space="preserve"> </w:t>
      </w:r>
      <w:r w:rsidR="00164CCA">
        <w:rPr>
          <w:rFonts w:ascii="Times New Roman" w:hAnsi="Times New Roman"/>
        </w:rPr>
        <w:t>100 %</w:t>
      </w:r>
      <w:r>
        <w:rPr>
          <w:rFonts w:ascii="Times New Roman" w:hAnsi="Times New Roman"/>
        </w:rPr>
        <w:t xml:space="preserve"> z celkových předpokládaných způsobilých nákladů projektu, a to pouze za účelem spolufinancování způsobilých nákladů prokazatelně souvisejících s transferem znalostí mezi poskytovatelem znalostí a příjemcem. Podíl poskytovatel</w:t>
      </w:r>
      <w:r w:rsidR="0061715E">
        <w:rPr>
          <w:rFonts w:ascii="Times New Roman" w:hAnsi="Times New Roman"/>
        </w:rPr>
        <w:t>e</w:t>
      </w:r>
      <w:r>
        <w:rPr>
          <w:rFonts w:ascii="Times New Roman" w:hAnsi="Times New Roman"/>
        </w:rPr>
        <w:t xml:space="preserve"> na skutečně vynaložených celkových způsobilých nákladech projektu činí maximálně </w:t>
      </w:r>
      <w:r w:rsidR="00164CCA">
        <w:rPr>
          <w:rFonts w:ascii="Times New Roman" w:hAnsi="Times New Roman"/>
        </w:rPr>
        <w:t>100 %</w:t>
      </w:r>
      <w:r>
        <w:rPr>
          <w:rFonts w:ascii="Times New Roman" w:hAnsi="Times New Roman"/>
        </w:rPr>
        <w:t xml:space="preserve"> u malých a středních podniků, nebo maximálně </w:t>
      </w:r>
      <w:r w:rsidR="00164CCA">
        <w:rPr>
          <w:rFonts w:ascii="Times New Roman" w:hAnsi="Times New Roman"/>
        </w:rPr>
        <w:t>50 %</w:t>
      </w:r>
      <w:r>
        <w:rPr>
          <w:rFonts w:ascii="Times New Roman" w:hAnsi="Times New Roman"/>
        </w:rPr>
        <w:t xml:space="preserve"> u velkých podniků.</w:t>
      </w:r>
    </w:p>
    <w:bookmarkEnd w:id="3"/>
    <w:p w14:paraId="6275C042" w14:textId="77777777" w:rsidR="00B56465" w:rsidRDefault="00B56465" w:rsidP="00B56465">
      <w:pPr>
        <w:spacing w:after="0" w:line="240" w:lineRule="auto"/>
        <w:jc w:val="both"/>
        <w:rPr>
          <w:rFonts w:ascii="Times New Roman" w:hAnsi="Times New Roman"/>
        </w:rPr>
      </w:pPr>
    </w:p>
    <w:p w14:paraId="5A5D8E73" w14:textId="65F5E46F" w:rsidR="00B56465" w:rsidRDefault="00B56465" w:rsidP="00B56465">
      <w:pPr>
        <w:pStyle w:val="Normlnweb"/>
        <w:spacing w:after="120"/>
        <w:ind w:left="360"/>
        <w:jc w:val="both"/>
        <w:rPr>
          <w:bCs/>
          <w:sz w:val="22"/>
          <w:szCs w:val="22"/>
        </w:rPr>
      </w:pPr>
      <w:r>
        <w:rPr>
          <w:sz w:val="22"/>
          <w:szCs w:val="22"/>
        </w:rPr>
        <w:t xml:space="preserve">Souhrn celkových předpokládaných nákladů na realizaci akce činí </w:t>
      </w:r>
      <w:r w:rsidR="00B37BE3">
        <w:rPr>
          <w:sz w:val="22"/>
          <w:szCs w:val="22"/>
        </w:rPr>
        <w:t xml:space="preserve">181 500 </w:t>
      </w:r>
      <w:r>
        <w:rPr>
          <w:sz w:val="22"/>
          <w:szCs w:val="22"/>
        </w:rPr>
        <w:t>Kč.</w:t>
      </w:r>
    </w:p>
    <w:p w14:paraId="34F14188" w14:textId="77777777" w:rsidR="00B56465" w:rsidRPr="0096502F" w:rsidRDefault="00B56465"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5023FC9E" w:rsidR="00D90BDC" w:rsidRPr="0096502F" w:rsidRDefault="0014413C" w:rsidP="0006295B">
      <w:pPr>
        <w:numPr>
          <w:ilvl w:val="0"/>
          <w:numId w:val="6"/>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D5683C">
        <w:rPr>
          <w:rFonts w:ascii="Times New Roman" w:eastAsia="Arial Unicode MS" w:hAnsi="Times New Roman"/>
          <w:lang w:eastAsia="cs-CZ"/>
        </w:rPr>
        <w:t>10</w:t>
      </w:r>
      <w:r w:rsidR="003B42E8" w:rsidRPr="00D5683C">
        <w:rPr>
          <w:rFonts w:ascii="Times New Roman" w:eastAsia="Arial Unicode MS" w:hAnsi="Times New Roman"/>
          <w:lang w:eastAsia="cs-CZ"/>
        </w:rPr>
        <w:t xml:space="preserve"> </w:t>
      </w:r>
      <w:r w:rsidR="008A14BE" w:rsidRPr="00D5683C">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437F6F88" w:rsidR="00414D20" w:rsidRDefault="00414D20" w:rsidP="0006295B">
      <w:pPr>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7ABA5279" w14:textId="58FAE0C5" w:rsidR="00917072" w:rsidRDefault="00917072" w:rsidP="00A97803">
      <w:pPr>
        <w:spacing w:after="0" w:line="240" w:lineRule="auto"/>
        <w:jc w:val="both"/>
        <w:rPr>
          <w:rFonts w:ascii="Times New Roman" w:eastAsia="Times New Roman" w:hAnsi="Times New Roman"/>
          <w:lang w:eastAsia="cs-CZ"/>
        </w:rPr>
      </w:pPr>
    </w:p>
    <w:p w14:paraId="2B8DC64D" w14:textId="77777777" w:rsidR="00917072" w:rsidRPr="0096502F" w:rsidRDefault="00917072" w:rsidP="00A97803">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19AD9F88"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34CDD509" w14:textId="77777777" w:rsidR="005A01BD" w:rsidRPr="0096502F" w:rsidRDefault="005A01BD" w:rsidP="00BE65AC">
      <w:pPr>
        <w:spacing w:after="0" w:line="240" w:lineRule="auto"/>
        <w:jc w:val="center"/>
        <w:rPr>
          <w:rFonts w:ascii="Times New Roman" w:eastAsia="Times New Roman" w:hAnsi="Times New Roman"/>
          <w:b/>
          <w:bCs/>
          <w:lang w:eastAsia="cs-CZ"/>
        </w:rPr>
      </w:pPr>
    </w:p>
    <w:p w14:paraId="5D704A66" w14:textId="0307E6DB" w:rsidR="00D90BDC" w:rsidRPr="0096502F" w:rsidRDefault="00D90BDC" w:rsidP="0006295B">
      <w:pPr>
        <w:numPr>
          <w:ilvl w:val="0"/>
          <w:numId w:val="7"/>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w:t>
      </w:r>
      <w:r w:rsidRPr="00204FA7">
        <w:rPr>
          <w:rFonts w:ascii="Times New Roman" w:hAnsi="Times New Roman"/>
          <w:b/>
          <w:bCs/>
          <w:lang w:eastAsia="cs-CZ"/>
        </w:rPr>
        <w:t>Pravidly pro příjem a hodnocení žádostí, poskytnutí a </w:t>
      </w:r>
      <w:r w:rsidR="00E231E5" w:rsidRPr="00204FA7">
        <w:rPr>
          <w:rFonts w:ascii="Times New Roman" w:hAnsi="Times New Roman"/>
          <w:b/>
          <w:bCs/>
          <w:lang w:eastAsia="cs-CZ"/>
        </w:rPr>
        <w:t xml:space="preserve">finanční </w:t>
      </w:r>
      <w:r w:rsidRPr="00204FA7">
        <w:rPr>
          <w:rFonts w:ascii="Times New Roman" w:hAnsi="Times New Roman"/>
          <w:b/>
          <w:bCs/>
          <w:lang w:eastAsia="cs-CZ"/>
        </w:rPr>
        <w:t>vypořádání dotace z rozpočtu Karlovarského kraje programu</w:t>
      </w:r>
      <w:r w:rsidRPr="0096502F">
        <w:rPr>
          <w:rFonts w:ascii="Times New Roman" w:hAnsi="Times New Roman"/>
          <w:lang w:eastAsia="cs-CZ"/>
        </w:rPr>
        <w:t xml:space="preserve">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lastRenderedPageBreak/>
        <w:t>schválenými</w:t>
      </w:r>
      <w:r w:rsidRPr="00D153F5">
        <w:rPr>
          <w:rFonts w:ascii="Times New Roman" w:hAnsi="Times New Roman"/>
          <w:lang w:eastAsia="cs-CZ"/>
        </w:rPr>
        <w:t xml:space="preserve"> Radou </w:t>
      </w:r>
      <w:r w:rsidRPr="0096502F">
        <w:rPr>
          <w:rFonts w:ascii="Times New Roman" w:hAnsi="Times New Roman"/>
          <w:lang w:eastAsia="cs-CZ"/>
        </w:rPr>
        <w:t xml:space="preserve">Karlovarského kraje usnesením číslo </w:t>
      </w:r>
      <w:bookmarkStart w:id="4" w:name="_Hlk52788745"/>
      <w:r w:rsidR="005A01BD" w:rsidRPr="005A01BD">
        <w:rPr>
          <w:rFonts w:ascii="Times New Roman" w:hAnsi="Times New Roman"/>
          <w:lang w:eastAsia="cs-CZ"/>
        </w:rPr>
        <w:t>RK</w:t>
      </w:r>
      <w:r w:rsidR="005A01BD">
        <w:rPr>
          <w:rFonts w:ascii="Times New Roman" w:hAnsi="Times New Roman"/>
          <w:lang w:eastAsia="cs-CZ"/>
        </w:rPr>
        <w:t> </w:t>
      </w:r>
      <w:r w:rsidR="005A01BD" w:rsidRPr="005A01BD">
        <w:rPr>
          <w:rFonts w:ascii="Times New Roman" w:hAnsi="Times New Roman"/>
          <w:lang w:eastAsia="cs-CZ"/>
        </w:rPr>
        <w:t>754/07/20</w:t>
      </w:r>
      <w:r w:rsidRPr="005A01BD">
        <w:rPr>
          <w:rFonts w:ascii="Times New Roman" w:hAnsi="Times New Roman"/>
          <w:lang w:eastAsia="cs-CZ"/>
        </w:rPr>
        <w:t xml:space="preserve"> ze dne </w:t>
      </w:r>
      <w:r w:rsidR="005A01BD" w:rsidRPr="005A01BD">
        <w:rPr>
          <w:rFonts w:ascii="Times New Roman" w:hAnsi="Times New Roman"/>
          <w:lang w:eastAsia="cs-CZ"/>
        </w:rPr>
        <w:t>16.07.2020</w:t>
      </w:r>
      <w:bookmarkEnd w:id="4"/>
      <w:r w:rsidR="0069493F" w:rsidRPr="005A01BD">
        <w:rPr>
          <w:rFonts w:ascii="Times New Roman" w:hAnsi="Times New Roman"/>
          <w:lang w:eastAsia="cs-CZ"/>
        </w:rPr>
        <w:t xml:space="preserve">, zveřejněnými </w:t>
      </w:r>
      <w:r w:rsidR="0069493F" w:rsidRPr="0096502F">
        <w:rPr>
          <w:rFonts w:ascii="Times New Roman" w:hAnsi="Times New Roman"/>
          <w:lang w:eastAsia="cs-CZ"/>
        </w:rPr>
        <w:t>na úřední desce poskytovatele a touto smlouvou.</w:t>
      </w:r>
    </w:p>
    <w:p w14:paraId="5D76EF55" w14:textId="112C546A" w:rsidR="00D90BDC" w:rsidRPr="0096502F" w:rsidRDefault="00D90BDC" w:rsidP="00BE65AC">
      <w:pPr>
        <w:tabs>
          <w:tab w:val="num" w:pos="720"/>
        </w:tabs>
        <w:spacing w:after="0" w:line="240" w:lineRule="auto"/>
        <w:ind w:left="360"/>
        <w:jc w:val="both"/>
        <w:rPr>
          <w:rFonts w:ascii="Times New Roman" w:eastAsia="Arial Unicode MS" w:hAnsi="Times New Roman"/>
          <w:lang w:eastAsia="cs-CZ"/>
        </w:rPr>
      </w:pPr>
    </w:p>
    <w:p w14:paraId="389B9597" w14:textId="3DB8A527" w:rsidR="0014413C" w:rsidRPr="00846C44" w:rsidRDefault="0014413C" w:rsidP="0006295B">
      <w:pPr>
        <w:pStyle w:val="Odstavecseseznamem"/>
        <w:numPr>
          <w:ilvl w:val="0"/>
          <w:numId w:val="7"/>
        </w:numPr>
        <w:spacing w:after="0" w:line="240" w:lineRule="auto"/>
        <w:jc w:val="both"/>
        <w:rPr>
          <w:rFonts w:ascii="Times New Roman" w:eastAsia="Arial Unicode MS" w:hAnsi="Times New Roman"/>
          <w:lang w:eastAsia="cs-CZ"/>
        </w:rPr>
      </w:pPr>
      <w:r w:rsidRPr="00846C44">
        <w:rPr>
          <w:rFonts w:ascii="Times New Roman" w:eastAsia="Arial Unicode MS" w:hAnsi="Times New Roman"/>
          <w:lang w:eastAsia="cs-CZ"/>
        </w:rPr>
        <w:t xml:space="preserve">Příjemce je povinen použít poskytnuté </w:t>
      </w:r>
      <w:r w:rsidR="0069493F" w:rsidRPr="00846C44">
        <w:rPr>
          <w:rFonts w:ascii="Times New Roman" w:eastAsia="Arial Unicode MS" w:hAnsi="Times New Roman"/>
          <w:lang w:eastAsia="cs-CZ"/>
        </w:rPr>
        <w:t>finanční</w:t>
      </w:r>
      <w:r w:rsidRPr="00846C44">
        <w:rPr>
          <w:rFonts w:ascii="Times New Roman" w:eastAsia="Arial Unicode MS" w:hAnsi="Times New Roman"/>
          <w:lang w:eastAsia="cs-CZ"/>
        </w:rPr>
        <w:t xml:space="preserve"> prostředky maximálně hospodárným způsobem</w:t>
      </w:r>
      <w:r w:rsidR="007C659B" w:rsidRPr="00846C44">
        <w:rPr>
          <w:rFonts w:ascii="Times New Roman" w:eastAsia="Arial Unicode MS" w:hAnsi="Times New Roman"/>
          <w:lang w:eastAsia="cs-CZ"/>
        </w:rPr>
        <w:t>.</w:t>
      </w:r>
      <w:r w:rsidRPr="00846C44">
        <w:rPr>
          <w:rFonts w:ascii="Times New Roman" w:eastAsia="Arial Unicode MS" w:hAnsi="Times New Roman"/>
          <w:lang w:eastAsia="cs-CZ"/>
        </w:rPr>
        <w:t xml:space="preserve"> </w:t>
      </w:r>
      <w:r w:rsidR="007C659B" w:rsidRPr="00846C44">
        <w:rPr>
          <w:rFonts w:ascii="Times New Roman" w:eastAsia="Arial Unicode MS" w:hAnsi="Times New Roman"/>
          <w:lang w:eastAsia="cs-CZ"/>
        </w:rPr>
        <w:t xml:space="preserve">Příjemce je povinen použít poskytnuté </w:t>
      </w:r>
      <w:r w:rsidR="0069493F" w:rsidRPr="00846C44">
        <w:rPr>
          <w:rFonts w:ascii="Times New Roman" w:eastAsia="Arial Unicode MS" w:hAnsi="Times New Roman"/>
          <w:lang w:eastAsia="cs-CZ"/>
        </w:rPr>
        <w:t>finanční</w:t>
      </w:r>
      <w:r w:rsidR="007C659B" w:rsidRPr="00846C44">
        <w:rPr>
          <w:rFonts w:ascii="Times New Roman" w:eastAsia="Arial Unicode MS" w:hAnsi="Times New Roman"/>
          <w:lang w:eastAsia="cs-CZ"/>
        </w:rPr>
        <w:t xml:space="preserve"> prostředky</w:t>
      </w:r>
      <w:r w:rsidR="00B7459B" w:rsidRPr="00846C44">
        <w:rPr>
          <w:rFonts w:ascii="Times New Roman" w:eastAsia="Arial Unicode MS" w:hAnsi="Times New Roman"/>
          <w:lang w:eastAsia="cs-CZ"/>
        </w:rPr>
        <w:t> </w:t>
      </w:r>
      <w:r w:rsidRPr="00846C44">
        <w:rPr>
          <w:rFonts w:ascii="Times New Roman" w:eastAsia="Arial Unicode MS" w:hAnsi="Times New Roman"/>
          <w:lang w:eastAsia="cs-CZ"/>
        </w:rPr>
        <w:t>výhradně k účelu uvedenému v článku II. smlouvy</w:t>
      </w:r>
      <w:r w:rsidR="007C659B" w:rsidRPr="00846C44">
        <w:rPr>
          <w:rFonts w:ascii="Times New Roman" w:eastAsia="Arial Unicode MS" w:hAnsi="Times New Roman"/>
          <w:lang w:eastAsia="cs-CZ"/>
        </w:rPr>
        <w:t xml:space="preserve"> a v souladu se specifikací uvedenou </w:t>
      </w:r>
      <w:r w:rsidR="00C439A1" w:rsidRPr="00846C44">
        <w:rPr>
          <w:rFonts w:ascii="Times New Roman" w:eastAsia="Arial Unicode MS" w:hAnsi="Times New Roman"/>
          <w:lang w:eastAsia="cs-CZ"/>
        </w:rPr>
        <w:t>dále v této smlouvě</w:t>
      </w:r>
      <w:r w:rsidRPr="00846C44">
        <w:rPr>
          <w:rFonts w:ascii="Times New Roman" w:eastAsia="Arial Unicode MS" w:hAnsi="Times New Roman"/>
          <w:lang w:eastAsia="cs-CZ"/>
        </w:rPr>
        <w:t xml:space="preserve">. </w:t>
      </w:r>
      <w:r w:rsidR="00485A84" w:rsidRPr="00846C44">
        <w:rPr>
          <w:rFonts w:ascii="Times New Roman" w:eastAsia="Arial Unicode MS" w:hAnsi="Times New Roman"/>
          <w:lang w:eastAsia="cs-CZ"/>
        </w:rPr>
        <w:t>Příjemce t</w:t>
      </w:r>
      <w:r w:rsidRPr="00846C44">
        <w:rPr>
          <w:rFonts w:ascii="Times New Roman" w:eastAsia="Arial Unicode MS" w:hAnsi="Times New Roman"/>
          <w:lang w:eastAsia="cs-CZ"/>
        </w:rPr>
        <w:t xml:space="preserve">yto prostředky nesmí poskytnout jiným právnickým nebo fyzickým osobám </w:t>
      </w:r>
      <w:r w:rsidR="00485A84" w:rsidRPr="00846C44">
        <w:rPr>
          <w:rFonts w:ascii="Times New Roman" w:eastAsia="Arial Unicode MS" w:hAnsi="Times New Roman"/>
          <w:lang w:eastAsia="cs-CZ"/>
        </w:rPr>
        <w:t>(</w:t>
      </w:r>
      <w:r w:rsidRPr="00846C44">
        <w:rPr>
          <w:rFonts w:ascii="Times New Roman" w:eastAsia="Arial Unicode MS" w:hAnsi="Times New Roman"/>
          <w:lang w:eastAsia="cs-CZ"/>
        </w:rPr>
        <w:t>pokud nejde o úhrady spojené s realizací účelu, na který byly poskytnuty</w:t>
      </w:r>
      <w:r w:rsidR="00ED28E4" w:rsidRPr="00846C44">
        <w:rPr>
          <w:rFonts w:ascii="Times New Roman" w:eastAsia="Arial Unicode MS" w:hAnsi="Times New Roman"/>
          <w:lang w:eastAsia="cs-CZ"/>
        </w:rPr>
        <w:t>). Dále příjemce tyto prostředky nesmí použít</w:t>
      </w:r>
      <w:r w:rsidRPr="00846C44">
        <w:rPr>
          <w:rFonts w:ascii="Times New Roman" w:eastAsia="Arial Unicode MS" w:hAnsi="Times New Roman"/>
          <w:lang w:eastAsia="cs-CZ"/>
        </w:rPr>
        <w:t xml:space="preserve"> na</w:t>
      </w:r>
      <w:r w:rsidR="0069493F" w:rsidRPr="00846C44">
        <w:rPr>
          <w:rFonts w:ascii="Times New Roman" w:eastAsia="Arial Unicode MS" w:hAnsi="Times New Roman"/>
          <w:lang w:eastAsia="cs-CZ"/>
        </w:rPr>
        <w:t> </w:t>
      </w:r>
      <w:r w:rsidRPr="00846C44">
        <w:rPr>
          <w:rFonts w:ascii="Times New Roman" w:eastAsia="Arial Unicode MS" w:hAnsi="Times New Roman"/>
          <w:lang w:eastAsia="cs-CZ"/>
        </w:rPr>
        <w:t>dary, pohoštění, mzdy pracovníků nebo</w:t>
      </w:r>
      <w:r w:rsidR="00485A84" w:rsidRPr="00846C44">
        <w:rPr>
          <w:rFonts w:ascii="Times New Roman" w:eastAsia="Arial Unicode MS" w:hAnsi="Times New Roman"/>
          <w:lang w:eastAsia="cs-CZ"/>
        </w:rPr>
        <w:t> </w:t>
      </w:r>
      <w:r w:rsidRPr="00846C44">
        <w:rPr>
          <w:rFonts w:ascii="Times New Roman" w:eastAsia="Arial Unicode MS" w:hAnsi="Times New Roman"/>
          <w:lang w:eastAsia="cs-CZ"/>
        </w:rPr>
        <w:t>funkcionářů příjemce či příjemce samotného, penále, úroky z úvěrů, náhrady škod, pojistné, pokuty</w:t>
      </w:r>
      <w:r w:rsidR="00485A84" w:rsidRPr="00846C44">
        <w:rPr>
          <w:rFonts w:ascii="Times New Roman" w:eastAsia="Arial Unicode MS" w:hAnsi="Times New Roman"/>
          <w:lang w:eastAsia="cs-CZ"/>
        </w:rPr>
        <w:t>, úhrady dluhu</w:t>
      </w:r>
      <w:r w:rsidR="003211B2" w:rsidRPr="00846C44">
        <w:rPr>
          <w:rFonts w:ascii="Times New Roman" w:eastAsia="Arial Unicode MS" w:hAnsi="Times New Roman"/>
          <w:lang w:eastAsia="cs-CZ"/>
        </w:rPr>
        <w:t xml:space="preserve"> apod</w:t>
      </w:r>
      <w:r w:rsidRPr="00846C44">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1B63E6F" w14:textId="236928CB" w:rsidR="00770199" w:rsidRPr="00770199" w:rsidRDefault="00921426" w:rsidP="0006295B">
      <w:pPr>
        <w:numPr>
          <w:ilvl w:val="0"/>
          <w:numId w:val="7"/>
        </w:numPr>
        <w:spacing w:after="0" w:line="240" w:lineRule="auto"/>
        <w:ind w:left="426" w:hanging="426"/>
        <w:jc w:val="both"/>
        <w:rPr>
          <w:rFonts w:ascii="Times New Roman" w:eastAsia="Arial Unicode MS" w:hAnsi="Times New Roman"/>
          <w:lang w:eastAsia="cs-CZ"/>
        </w:rPr>
      </w:pPr>
      <w:r w:rsidRPr="005856B3">
        <w:rPr>
          <w:rFonts w:ascii="Times New Roman" w:eastAsia="Arial Unicode MS" w:hAnsi="Times New Roman"/>
          <w:lang w:eastAsia="cs-CZ"/>
        </w:rPr>
        <w:t xml:space="preserve">Příjemce je povinen vyčerpat </w:t>
      </w:r>
      <w:r w:rsidR="0069493F" w:rsidRPr="005856B3">
        <w:rPr>
          <w:rFonts w:ascii="Times New Roman" w:eastAsia="Arial Unicode MS" w:hAnsi="Times New Roman"/>
          <w:lang w:eastAsia="cs-CZ"/>
        </w:rPr>
        <w:t>poskytnuté finanční</w:t>
      </w:r>
      <w:r w:rsidRPr="005856B3">
        <w:rPr>
          <w:rFonts w:ascii="Times New Roman" w:eastAsia="Arial Unicode MS" w:hAnsi="Times New Roman"/>
          <w:lang w:eastAsia="cs-CZ"/>
        </w:rPr>
        <w:t xml:space="preserve"> prostředky </w:t>
      </w:r>
      <w:r w:rsidR="0069493F" w:rsidRPr="005856B3">
        <w:rPr>
          <w:rFonts w:ascii="Times New Roman" w:eastAsia="Arial Unicode MS" w:hAnsi="Times New Roman"/>
          <w:lang w:eastAsia="cs-CZ"/>
        </w:rPr>
        <w:t>nejpozději</w:t>
      </w:r>
      <w:r w:rsidRPr="005856B3">
        <w:rPr>
          <w:rFonts w:ascii="Times New Roman" w:eastAsia="Arial Unicode MS" w:hAnsi="Times New Roman"/>
          <w:lang w:eastAsia="cs-CZ"/>
        </w:rPr>
        <w:t xml:space="preserve"> do </w:t>
      </w:r>
      <w:r w:rsidR="009F53FC">
        <w:rPr>
          <w:rFonts w:ascii="Times New Roman" w:eastAsia="Arial Unicode MS" w:hAnsi="Times New Roman"/>
          <w:b/>
          <w:bCs/>
          <w:lang w:eastAsia="cs-CZ"/>
        </w:rPr>
        <w:t>30</w:t>
      </w:r>
      <w:r w:rsidR="00770199" w:rsidRPr="0006295B">
        <w:rPr>
          <w:rFonts w:ascii="Times New Roman" w:eastAsia="Arial Unicode MS" w:hAnsi="Times New Roman"/>
          <w:b/>
          <w:bCs/>
          <w:lang w:eastAsia="cs-CZ"/>
        </w:rPr>
        <w:t>.</w:t>
      </w:r>
      <w:r w:rsidR="00B90822">
        <w:rPr>
          <w:rFonts w:ascii="Times New Roman" w:eastAsia="Arial Unicode MS" w:hAnsi="Times New Roman"/>
          <w:b/>
          <w:bCs/>
          <w:lang w:eastAsia="cs-CZ"/>
        </w:rPr>
        <w:t>0</w:t>
      </w:r>
      <w:r w:rsidR="009F53FC">
        <w:rPr>
          <w:rFonts w:ascii="Times New Roman" w:eastAsia="Arial Unicode MS" w:hAnsi="Times New Roman"/>
          <w:b/>
          <w:bCs/>
          <w:lang w:eastAsia="cs-CZ"/>
        </w:rPr>
        <w:t>4</w:t>
      </w:r>
      <w:r w:rsidR="00770199" w:rsidRPr="0006295B">
        <w:rPr>
          <w:rFonts w:ascii="Times New Roman" w:eastAsia="Arial Unicode MS" w:hAnsi="Times New Roman"/>
          <w:b/>
          <w:bCs/>
          <w:lang w:eastAsia="cs-CZ"/>
        </w:rPr>
        <w:t>.202</w:t>
      </w:r>
      <w:r w:rsidR="0006295B" w:rsidRPr="0006295B">
        <w:rPr>
          <w:rFonts w:ascii="Times New Roman" w:eastAsia="Arial Unicode MS" w:hAnsi="Times New Roman"/>
          <w:b/>
          <w:bCs/>
          <w:lang w:eastAsia="cs-CZ"/>
        </w:rPr>
        <w:t>1</w:t>
      </w:r>
      <w:r w:rsidR="00770199" w:rsidRPr="0006295B">
        <w:rPr>
          <w:rFonts w:ascii="Times New Roman" w:eastAsia="Arial Unicode MS" w:hAnsi="Times New Roman"/>
          <w:b/>
          <w:bCs/>
          <w:lang w:eastAsia="cs-CZ"/>
        </w:rPr>
        <w:t>.</w:t>
      </w:r>
    </w:p>
    <w:p w14:paraId="394F785E" w14:textId="333C5B35" w:rsidR="00921426" w:rsidRPr="0096502F" w:rsidRDefault="00921426" w:rsidP="00D5683C">
      <w:pPr>
        <w:spacing w:after="0" w:line="240" w:lineRule="auto"/>
        <w:jc w:val="both"/>
        <w:rPr>
          <w:rFonts w:ascii="Times New Roman" w:eastAsia="Arial Unicode MS" w:hAnsi="Times New Roman"/>
          <w:lang w:eastAsia="cs-CZ"/>
        </w:rPr>
      </w:pPr>
    </w:p>
    <w:p w14:paraId="333085C8" w14:textId="6CFD5B05" w:rsidR="0014413C" w:rsidRPr="0096502F" w:rsidRDefault="005427A7" w:rsidP="0006295B">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96502F" w:rsidRDefault="0014413C" w:rsidP="0006295B">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p>
    <w:p w14:paraId="789F0846" w14:textId="77777777" w:rsidR="0014413C" w:rsidRPr="0096502F" w:rsidRDefault="0014413C" w:rsidP="00BE65AC">
      <w:pPr>
        <w:spacing w:after="0" w:line="240" w:lineRule="auto"/>
        <w:jc w:val="both"/>
        <w:rPr>
          <w:rFonts w:ascii="Times New Roman" w:eastAsia="Arial Unicode MS" w:hAnsi="Times New Roman"/>
          <w:lang w:eastAsia="cs-CZ"/>
        </w:rPr>
      </w:pPr>
      <w:bookmarkStart w:id="5" w:name="_Hlk31181418"/>
    </w:p>
    <w:p w14:paraId="2A48D360" w14:textId="35D13641" w:rsidR="00770199" w:rsidRPr="00770199" w:rsidRDefault="00770199" w:rsidP="0006295B">
      <w:pPr>
        <w:pStyle w:val="Odstavecseseznamem"/>
        <w:numPr>
          <w:ilvl w:val="0"/>
          <w:numId w:val="17"/>
        </w:numPr>
        <w:spacing w:after="0" w:line="240" w:lineRule="auto"/>
        <w:jc w:val="both"/>
        <w:rPr>
          <w:rFonts w:ascii="Times New Roman" w:eastAsia="Arial Unicode MS" w:hAnsi="Times New Roman"/>
          <w:lang w:eastAsia="cs-CZ"/>
        </w:rPr>
      </w:pPr>
      <w:r w:rsidRPr="00770199">
        <w:rPr>
          <w:rFonts w:ascii="Times New Roman" w:eastAsia="Arial Unicode MS" w:hAnsi="Times New Roman"/>
          <w:lang w:eastAsia="cs-CZ"/>
        </w:rPr>
        <w:t xml:space="preserve"> písemně informovat poskytovatele o změnách, které nastaly v době účinnosti smlouvy a které se dotýkají jeho právní subjektivity, údajů požadovaných pro prokázání způsobilosti nebo které by mohly mít vliv na řešení projektu, a to </w:t>
      </w:r>
      <w:r w:rsidRPr="00D5683C">
        <w:rPr>
          <w:rFonts w:ascii="Times New Roman" w:eastAsia="Arial Unicode MS" w:hAnsi="Times New Roman"/>
          <w:lang w:eastAsia="cs-CZ"/>
        </w:rPr>
        <w:t xml:space="preserve">do </w:t>
      </w:r>
      <w:r w:rsidR="0006295B" w:rsidRPr="00D5683C">
        <w:rPr>
          <w:rFonts w:ascii="Times New Roman" w:eastAsia="Arial Unicode MS" w:hAnsi="Times New Roman"/>
          <w:lang w:eastAsia="cs-CZ"/>
        </w:rPr>
        <w:t>10 pracovních</w:t>
      </w:r>
      <w:r w:rsidRPr="00D5683C">
        <w:rPr>
          <w:rFonts w:ascii="Times New Roman" w:eastAsia="Arial Unicode MS" w:hAnsi="Times New Roman"/>
          <w:lang w:eastAsia="cs-CZ"/>
        </w:rPr>
        <w:t xml:space="preserve"> dnů </w:t>
      </w:r>
      <w:r w:rsidRPr="00770199">
        <w:rPr>
          <w:rFonts w:ascii="Times New Roman" w:eastAsia="Arial Unicode MS" w:hAnsi="Times New Roman"/>
          <w:lang w:eastAsia="cs-CZ"/>
        </w:rPr>
        <w:t>ode dne, kdy se o takové skutečnosti dozvěděl.</w:t>
      </w:r>
    </w:p>
    <w:bookmarkEnd w:id="5"/>
    <w:p w14:paraId="41E3A179" w14:textId="77777777" w:rsidR="0014413C" w:rsidRPr="0096502F" w:rsidRDefault="0014413C" w:rsidP="00BE65AC">
      <w:pPr>
        <w:spacing w:after="0" w:line="240" w:lineRule="auto"/>
        <w:jc w:val="both"/>
        <w:rPr>
          <w:rFonts w:ascii="Times New Roman" w:eastAsia="Arial Unicode MS" w:hAnsi="Times New Roman"/>
          <w:lang w:eastAsia="cs-CZ"/>
        </w:rPr>
      </w:pPr>
    </w:p>
    <w:p w14:paraId="769B1DE7" w14:textId="48D1FF61" w:rsidR="00207C4A" w:rsidRDefault="00343B28" w:rsidP="00343B28">
      <w:pPr>
        <w:pStyle w:val="Odstavecseseznamem"/>
        <w:ind w:left="426"/>
        <w:jc w:val="both"/>
        <w:rPr>
          <w:rFonts w:ascii="Times New Roman" w:eastAsia="Arial Unicode MS" w:hAnsi="Times New Roman"/>
          <w:lang w:eastAsia="cs-CZ"/>
        </w:rPr>
      </w:pPr>
      <w:r>
        <w:rPr>
          <w:rFonts w:ascii="Times New Roman" w:eastAsia="Arial Unicode MS" w:hAnsi="Times New Roman"/>
          <w:lang w:eastAsia="cs-CZ"/>
        </w:rPr>
        <w:t xml:space="preserve">Dotace je </w:t>
      </w:r>
      <w:r w:rsidRPr="0006295B">
        <w:rPr>
          <w:rFonts w:ascii="Times New Roman" w:eastAsia="Arial Unicode MS" w:hAnsi="Times New Roman"/>
          <w:b/>
          <w:bCs/>
          <w:lang w:eastAsia="cs-CZ"/>
        </w:rPr>
        <w:t>neinvestičního charakteru</w:t>
      </w:r>
      <w:r>
        <w:rPr>
          <w:rFonts w:ascii="Times New Roman" w:eastAsia="Arial Unicode MS" w:hAnsi="Times New Roman"/>
          <w:lang w:eastAsia="cs-CZ"/>
        </w:rPr>
        <w:t xml:space="preserve"> a lze ji použít výhradně na </w:t>
      </w:r>
      <w:r>
        <w:rPr>
          <w:rFonts w:ascii="Times New Roman" w:eastAsia="Arial Unicode MS" w:hAnsi="Times New Roman"/>
          <w:b/>
          <w:lang w:eastAsia="cs-CZ"/>
        </w:rPr>
        <w:t>nákup služeb</w:t>
      </w:r>
      <w:r>
        <w:rPr>
          <w:rFonts w:ascii="Times New Roman" w:eastAsia="Arial Unicode MS" w:hAnsi="Times New Roman"/>
          <w:lang w:eastAsia="cs-CZ"/>
        </w:rPr>
        <w:t>, které žadatel potřebuje pro své inovační aktivity</w:t>
      </w:r>
      <w:r w:rsidR="00207C4A">
        <w:rPr>
          <w:rFonts w:ascii="Times New Roman" w:eastAsia="Arial Unicode MS" w:hAnsi="Times New Roman"/>
          <w:lang w:eastAsia="cs-CZ"/>
        </w:rPr>
        <w:t>:</w:t>
      </w:r>
    </w:p>
    <w:p w14:paraId="7BBC403A" w14:textId="77777777" w:rsidR="00207C4A" w:rsidRDefault="00207C4A" w:rsidP="00343B28">
      <w:pPr>
        <w:pStyle w:val="Odstavecseseznamem"/>
        <w:ind w:left="426"/>
        <w:jc w:val="both"/>
        <w:rPr>
          <w:rFonts w:ascii="Times New Roman" w:eastAsia="Arial Unicode MS" w:hAnsi="Times New Roman"/>
          <w:lang w:eastAsia="cs-CZ"/>
        </w:rPr>
      </w:pPr>
    </w:p>
    <w:p w14:paraId="2ACF0671" w14:textId="024C3F64" w:rsidR="00D5683C" w:rsidRPr="00207C4A" w:rsidRDefault="00207C4A" w:rsidP="00207C4A">
      <w:pPr>
        <w:pStyle w:val="Odstavecseseznamem"/>
        <w:ind w:left="426"/>
        <w:jc w:val="both"/>
        <w:rPr>
          <w:rFonts w:ascii="Times New Roman" w:eastAsia="Arial Unicode MS" w:hAnsi="Times New Roman"/>
          <w:lang w:eastAsia="cs-CZ"/>
        </w:rPr>
      </w:pPr>
      <w:r>
        <w:rPr>
          <w:rFonts w:ascii="Times New Roman" w:eastAsia="Arial Unicode MS" w:hAnsi="Times New Roman"/>
          <w:lang w:eastAsia="cs-CZ"/>
        </w:rPr>
        <w:t>T</w:t>
      </w:r>
      <w:r w:rsidR="00343B28">
        <w:rPr>
          <w:rFonts w:ascii="Times New Roman" w:eastAsia="Arial Unicode MS" w:hAnsi="Times New Roman"/>
          <w:lang w:eastAsia="cs-CZ"/>
        </w:rPr>
        <w:t>ypy služeb, které je možné s podporou inovačního voucheru nakoupit od VaV Instituce):</w:t>
      </w:r>
    </w:p>
    <w:p w14:paraId="6E972B98"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 xml:space="preserve">měření, diagnostika, testování, zkoušky, rozbory, ověřování, výpočty, </w:t>
      </w:r>
    </w:p>
    <w:p w14:paraId="38706BBE"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definice parametrů a analýza vhodnosti použití materiálů či komponent – řešící požadované vlastnosti produktu či výrobního zařízení pro tento produkt na základě definovaného zadání,</w:t>
      </w:r>
    </w:p>
    <w:p w14:paraId="4BE225E0"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přístup k výzkumnému zařízení a testování, měření vlastností produktu a výrobního zařízení pro výrobu tohoto produktu, vlivů působících na fungování produktu či výrobního zařízení pro tento produkt,</w:t>
      </w:r>
    </w:p>
    <w:p w14:paraId="3DD3D1A6"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rozpracování/návrh designu produktu či výrobního zařízení pro výrobu tohoto produktu na základě definovaných požadavků,</w:t>
      </w:r>
    </w:p>
    <w:p w14:paraId="021EADE4"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marketingová strategie – zpracování strategie efektivního zacílení na stávající a potenciální zákazníky ve vazbě na navržený nový/inovovaný produkt firmy, včetně analýzy trhu,</w:t>
      </w:r>
    </w:p>
    <w:p w14:paraId="6E01BC79"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vývoj softwaru, materiálu, zařízení, prvků systémů, prototypu, funkčního vzorku v souvislosti s vývojem nebo zaváděním nového produktu či procesu, případně vzdělávacího modulu pro zaškolení zaměstnanců pro inovovaný produkt/služby/metodiku/prototyp/technologie,</w:t>
      </w:r>
    </w:p>
    <w:p w14:paraId="53A85416"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návrh vzdělávacího modulu pro zaškolení zaměstnanců pro inovativní produkt/služby/metodiku/prototyp/technologie,</w:t>
      </w:r>
    </w:p>
    <w:p w14:paraId="7BAEB092" w14:textId="77777777"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inovační/technologický audit – zpracování údajů o technických parametrech a limitech vybavení konkrétní firmy ve vazbě na připravované zavedené produktu do výroby,</w:t>
      </w:r>
    </w:p>
    <w:p w14:paraId="77B8D669" w14:textId="31897853" w:rsidR="00343B28" w:rsidRDefault="00343B28" w:rsidP="0006295B">
      <w:pPr>
        <w:pStyle w:val="Odstavecseseznamem"/>
        <w:numPr>
          <w:ilvl w:val="0"/>
          <w:numId w:val="15"/>
        </w:numPr>
        <w:spacing w:after="0" w:line="240" w:lineRule="auto"/>
        <w:jc w:val="both"/>
        <w:rPr>
          <w:rFonts w:ascii="Times New Roman" w:hAnsi="Times New Roman"/>
        </w:rPr>
      </w:pPr>
      <w:r>
        <w:rPr>
          <w:rFonts w:ascii="Times New Roman" w:hAnsi="Times New Roman"/>
        </w:rPr>
        <w:t>optimalizace operačních procesů a jejich optimální nastavení ve vazbě na zavedení výroby nového (inovovaného) výrobku/poskytování nové (inovované) služby.</w:t>
      </w:r>
    </w:p>
    <w:p w14:paraId="01D9DC73" w14:textId="13331CF3" w:rsidR="000E2276" w:rsidRDefault="000E2276" w:rsidP="000E2276">
      <w:pPr>
        <w:spacing w:after="0" w:line="240" w:lineRule="auto"/>
        <w:ind w:left="360"/>
        <w:jc w:val="both"/>
        <w:rPr>
          <w:rFonts w:ascii="Times New Roman" w:hAnsi="Times New Roman"/>
        </w:rPr>
      </w:pPr>
    </w:p>
    <w:p w14:paraId="50EB6823" w14:textId="77777777" w:rsidR="005E635B" w:rsidRDefault="000E2276" w:rsidP="000E2276">
      <w:pPr>
        <w:pStyle w:val="Normlnweb"/>
        <w:ind w:left="360"/>
        <w:jc w:val="both"/>
        <w:rPr>
          <w:bCs/>
          <w:sz w:val="22"/>
          <w:szCs w:val="22"/>
        </w:rPr>
      </w:pPr>
      <w:bookmarkStart w:id="6" w:name="_Hlk31183006"/>
      <w:r>
        <w:rPr>
          <w:bCs/>
          <w:sz w:val="22"/>
          <w:szCs w:val="22"/>
        </w:rPr>
        <w:t xml:space="preserve">Jedná se o spolufinancování nákupu znalostí nebo služeb od poskytovatele znalostí, nebo služeb, které jsou pro příjemce nové, nejsou běžně dostupné a posílí jeho konkurenceschopnost. </w:t>
      </w:r>
    </w:p>
    <w:p w14:paraId="0E264AA6" w14:textId="77777777" w:rsidR="005E635B" w:rsidRDefault="005E635B" w:rsidP="000E2276">
      <w:pPr>
        <w:pStyle w:val="Normlnweb"/>
        <w:ind w:left="360"/>
        <w:jc w:val="both"/>
        <w:rPr>
          <w:bCs/>
          <w:sz w:val="22"/>
          <w:szCs w:val="22"/>
        </w:rPr>
      </w:pPr>
    </w:p>
    <w:p w14:paraId="781F4E2A" w14:textId="7206E905" w:rsidR="000E2276" w:rsidRDefault="000E2276" w:rsidP="000E2276">
      <w:pPr>
        <w:pStyle w:val="Normlnweb"/>
        <w:ind w:left="360"/>
        <w:jc w:val="both"/>
        <w:rPr>
          <w:bCs/>
          <w:sz w:val="22"/>
          <w:szCs w:val="22"/>
        </w:rPr>
      </w:pPr>
      <w:r>
        <w:rPr>
          <w:bCs/>
          <w:sz w:val="22"/>
          <w:szCs w:val="22"/>
        </w:rPr>
        <w:t xml:space="preserve">Způsobilé náklady musí splňovat následující podmínky: </w:t>
      </w:r>
    </w:p>
    <w:p w14:paraId="64068C07" w14:textId="77777777" w:rsidR="000E2276" w:rsidRDefault="000E2276" w:rsidP="000E2276">
      <w:pPr>
        <w:pStyle w:val="Normlnweb"/>
        <w:numPr>
          <w:ilvl w:val="0"/>
          <w:numId w:val="19"/>
        </w:numPr>
        <w:ind w:hanging="357"/>
        <w:jc w:val="both"/>
        <w:rPr>
          <w:bCs/>
          <w:sz w:val="22"/>
          <w:szCs w:val="22"/>
        </w:rPr>
      </w:pPr>
      <w:r>
        <w:rPr>
          <w:bCs/>
          <w:sz w:val="22"/>
          <w:szCs w:val="22"/>
        </w:rPr>
        <w:lastRenderedPageBreak/>
        <w:t>být vynaloženy v souladu s cíli dotačního programu a musí bezprostředně souviset s realizací projektu,</w:t>
      </w:r>
    </w:p>
    <w:p w14:paraId="6A36E299" w14:textId="00503F5E" w:rsidR="000E2276" w:rsidRDefault="000E2276" w:rsidP="000E2276">
      <w:pPr>
        <w:pStyle w:val="Normlnweb"/>
        <w:numPr>
          <w:ilvl w:val="0"/>
          <w:numId w:val="19"/>
        </w:numPr>
        <w:ind w:hanging="357"/>
        <w:jc w:val="both"/>
        <w:rPr>
          <w:bCs/>
          <w:sz w:val="22"/>
          <w:szCs w:val="22"/>
        </w:rPr>
      </w:pPr>
      <w:r>
        <w:rPr>
          <w:bCs/>
          <w:sz w:val="22"/>
          <w:szCs w:val="22"/>
        </w:rPr>
        <w:t>být prokazatelně zaplaceny příjemcem nejpozději do konce doby realizace projektu,</w:t>
      </w:r>
    </w:p>
    <w:p w14:paraId="56A003AA" w14:textId="77777777" w:rsidR="000E2276" w:rsidRDefault="000E2276" w:rsidP="000E2276">
      <w:pPr>
        <w:pStyle w:val="Normlnweb"/>
        <w:numPr>
          <w:ilvl w:val="0"/>
          <w:numId w:val="19"/>
        </w:numPr>
        <w:ind w:hanging="357"/>
        <w:jc w:val="both"/>
        <w:rPr>
          <w:bCs/>
          <w:sz w:val="22"/>
          <w:szCs w:val="22"/>
        </w:rPr>
      </w:pPr>
      <w:r>
        <w:rPr>
          <w:bCs/>
          <w:sz w:val="22"/>
          <w:szCs w:val="22"/>
        </w:rPr>
        <w:t>být doloženy průkaznými doklady, uhrazeny dodavatelům,</w:t>
      </w:r>
    </w:p>
    <w:p w14:paraId="53B962CE" w14:textId="77777777" w:rsidR="000E2276" w:rsidRDefault="000E2276" w:rsidP="000E2276">
      <w:pPr>
        <w:pStyle w:val="Normlnweb"/>
        <w:numPr>
          <w:ilvl w:val="0"/>
          <w:numId w:val="19"/>
        </w:numPr>
        <w:jc w:val="both"/>
        <w:rPr>
          <w:bCs/>
          <w:sz w:val="22"/>
          <w:szCs w:val="22"/>
        </w:rPr>
      </w:pPr>
      <w:r>
        <w:rPr>
          <w:bCs/>
          <w:sz w:val="22"/>
          <w:szCs w:val="22"/>
        </w:rPr>
        <w:t>být přiměřené (musí odpovídat cenám v místě a čase obvyklém),</w:t>
      </w:r>
    </w:p>
    <w:p w14:paraId="0A104EB5" w14:textId="77777777" w:rsidR="000E2276" w:rsidRDefault="000E2276" w:rsidP="000E2276">
      <w:pPr>
        <w:pStyle w:val="Normlnweb"/>
        <w:numPr>
          <w:ilvl w:val="0"/>
          <w:numId w:val="19"/>
        </w:numPr>
        <w:jc w:val="both"/>
        <w:rPr>
          <w:bCs/>
          <w:sz w:val="22"/>
          <w:szCs w:val="22"/>
        </w:rPr>
      </w:pPr>
      <w:r>
        <w:rPr>
          <w:bCs/>
          <w:sz w:val="22"/>
          <w:szCs w:val="22"/>
        </w:rPr>
        <w:t>být vynaloženy v souladu s principy hospodárnosti, účelnosti a efektivnosti.</w:t>
      </w:r>
    </w:p>
    <w:bookmarkEnd w:id="6"/>
    <w:p w14:paraId="2AEA4329" w14:textId="77777777" w:rsidR="000E2276" w:rsidRPr="000E2276" w:rsidRDefault="000E2276" w:rsidP="000E2276">
      <w:pPr>
        <w:spacing w:after="0" w:line="240" w:lineRule="auto"/>
        <w:ind w:left="360"/>
        <w:jc w:val="both"/>
        <w:rPr>
          <w:rFonts w:ascii="Times New Roman" w:hAnsi="Times New Roman"/>
        </w:rPr>
      </w:pPr>
    </w:p>
    <w:p w14:paraId="16B285E6" w14:textId="77777777" w:rsidR="0006295B" w:rsidRDefault="0006295B" w:rsidP="0006295B">
      <w:pPr>
        <w:pStyle w:val="Odstavecseseznamem"/>
        <w:spacing w:after="0" w:line="240" w:lineRule="auto"/>
        <w:jc w:val="both"/>
        <w:rPr>
          <w:rFonts w:ascii="Times New Roman" w:hAnsi="Times New Roman"/>
        </w:rPr>
      </w:pPr>
    </w:p>
    <w:p w14:paraId="58587C28" w14:textId="6620E50C" w:rsidR="00921426" w:rsidRPr="0096502F" w:rsidRDefault="00F53C1A" w:rsidP="0006295B">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06295B">
        <w:rPr>
          <w:rFonts w:ascii="Times New Roman" w:eastAsia="Arial Unicode MS" w:hAnsi="Times New Roman"/>
          <w:lang w:eastAsia="cs-CZ"/>
        </w:rPr>
        <w:t xml:space="preserve">do </w:t>
      </w:r>
      <w:r w:rsidR="0006295B" w:rsidRPr="0006295B">
        <w:rPr>
          <w:rFonts w:ascii="Times New Roman" w:eastAsia="Arial Unicode MS" w:hAnsi="Times New Roman"/>
          <w:b/>
          <w:bCs/>
          <w:lang w:eastAsia="cs-CZ"/>
        </w:rPr>
        <w:t>31.</w:t>
      </w:r>
      <w:r w:rsidR="00B90822">
        <w:rPr>
          <w:rFonts w:ascii="Times New Roman" w:eastAsia="Arial Unicode MS" w:hAnsi="Times New Roman"/>
          <w:b/>
          <w:bCs/>
          <w:lang w:eastAsia="cs-CZ"/>
        </w:rPr>
        <w:t>0</w:t>
      </w:r>
      <w:r w:rsidR="009F53FC">
        <w:rPr>
          <w:rFonts w:ascii="Times New Roman" w:eastAsia="Arial Unicode MS" w:hAnsi="Times New Roman"/>
          <w:b/>
          <w:bCs/>
          <w:lang w:eastAsia="cs-CZ"/>
        </w:rPr>
        <w:t>5</w:t>
      </w:r>
      <w:r w:rsidR="0006295B" w:rsidRPr="0006295B">
        <w:rPr>
          <w:rFonts w:ascii="Times New Roman" w:eastAsia="Arial Unicode MS" w:hAnsi="Times New Roman"/>
          <w:b/>
          <w:bCs/>
          <w:lang w:eastAsia="cs-CZ"/>
        </w:rPr>
        <w:t>.2021</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w:t>
      </w:r>
      <w:r w:rsidR="00E231E5" w:rsidRPr="0096502F">
        <w:rPr>
          <w:rFonts w:ascii="Times New Roman" w:eastAsia="Arial Unicode MS" w:hAnsi="Times New Roman"/>
          <w:lang w:eastAsia="cs-CZ"/>
        </w:rPr>
        <w:t xml:space="preserve">Formulář finanční vypořádání dotace 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629E2A32" w14:textId="650A405D" w:rsidR="005802C0" w:rsidRDefault="00F131CD" w:rsidP="00A61445">
      <w:pPr>
        <w:numPr>
          <w:ilvl w:val="0"/>
          <w:numId w:val="7"/>
        </w:numPr>
        <w:spacing w:after="0" w:line="240" w:lineRule="auto"/>
        <w:ind w:left="426" w:hanging="426"/>
        <w:jc w:val="both"/>
        <w:rPr>
          <w:rFonts w:ascii="Times New Roman" w:eastAsia="Arial Unicode MS" w:hAnsi="Times New Roman"/>
          <w:lang w:eastAsia="cs-CZ"/>
        </w:rPr>
      </w:pPr>
      <w:r w:rsidRPr="005802C0">
        <w:rPr>
          <w:rFonts w:ascii="Times New Roman" w:eastAsia="Arial Unicode MS" w:hAnsi="Times New Roman"/>
          <w:lang w:eastAsia="cs-CZ"/>
        </w:rPr>
        <w:t>Příjemce je povinen společně s finančním vypořádáním dotace</w:t>
      </w:r>
      <w:r w:rsidR="00ED646C" w:rsidRPr="005802C0">
        <w:rPr>
          <w:rFonts w:ascii="Times New Roman" w:eastAsia="Arial Unicode MS" w:hAnsi="Times New Roman"/>
          <w:lang w:eastAsia="cs-CZ"/>
        </w:rPr>
        <w:t xml:space="preserve"> předložit</w:t>
      </w:r>
      <w:r w:rsidRPr="005802C0">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w:t>
      </w:r>
      <w:r w:rsidR="00164CCA" w:rsidRPr="005802C0">
        <w:rPr>
          <w:rFonts w:ascii="Times New Roman" w:eastAsia="Arial Unicode MS" w:hAnsi="Times New Roman"/>
          <w:lang w:eastAsia="cs-CZ"/>
        </w:rPr>
        <w:t>faktury,</w:t>
      </w:r>
      <w:r w:rsidR="005802C0">
        <w:rPr>
          <w:rFonts w:ascii="Times New Roman" w:eastAsia="Arial Unicode MS" w:hAnsi="Times New Roman"/>
          <w:lang w:eastAsia="cs-CZ"/>
        </w:rPr>
        <w:t xml:space="preserve"> </w:t>
      </w:r>
      <w:r w:rsidRPr="005802C0">
        <w:rPr>
          <w:rFonts w:ascii="Times New Roman" w:eastAsia="Arial Unicode MS" w:hAnsi="Times New Roman"/>
          <w:lang w:eastAsia="cs-CZ"/>
        </w:rPr>
        <w:t>tj. účet za provedenou práci nebo</w:t>
      </w:r>
      <w:r w:rsidR="00ED646C" w:rsidRPr="005802C0">
        <w:rPr>
          <w:rFonts w:ascii="Times New Roman" w:eastAsia="Arial Unicode MS" w:hAnsi="Times New Roman"/>
          <w:lang w:eastAsia="cs-CZ"/>
        </w:rPr>
        <w:t> </w:t>
      </w:r>
      <w:r w:rsidRPr="005802C0">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bookmarkStart w:id="7" w:name="_Hlk31187302"/>
    </w:p>
    <w:p w14:paraId="33277E71" w14:textId="77777777" w:rsidR="00A61445" w:rsidRPr="00A61445" w:rsidRDefault="00A61445" w:rsidP="00A61445">
      <w:pPr>
        <w:spacing w:after="0" w:line="240" w:lineRule="auto"/>
        <w:jc w:val="both"/>
        <w:rPr>
          <w:rFonts w:ascii="Times New Roman" w:eastAsia="Arial Unicode MS" w:hAnsi="Times New Roman"/>
          <w:lang w:eastAsia="cs-CZ"/>
        </w:rPr>
      </w:pPr>
    </w:p>
    <w:p w14:paraId="42A36FF0" w14:textId="0BCBB9A4" w:rsidR="00A61445" w:rsidRDefault="00A61445" w:rsidP="00405C25">
      <w:pPr>
        <w:spacing w:after="0" w:line="240" w:lineRule="auto"/>
        <w:ind w:left="426"/>
        <w:jc w:val="both"/>
        <w:rPr>
          <w:rFonts w:ascii="Times New Roman" w:eastAsia="Arial Unicode MS" w:hAnsi="Times New Roman"/>
          <w:lang w:eastAsia="cs-CZ"/>
        </w:rPr>
      </w:pPr>
      <w:bookmarkStart w:id="8" w:name="_Hlk31187382"/>
      <w:r>
        <w:rPr>
          <w:rFonts w:ascii="Times New Roman" w:eastAsia="Arial Unicode MS" w:hAnsi="Times New Roman"/>
          <w:lang w:eastAsia="cs-CZ"/>
        </w:rPr>
        <w:t>K</w:t>
      </w:r>
      <w:r w:rsidR="00405C25" w:rsidRPr="0096502F">
        <w:rPr>
          <w:rFonts w:ascii="Times New Roman" w:eastAsia="Arial Unicode MS" w:hAnsi="Times New Roman"/>
          <w:lang w:eastAsia="cs-CZ"/>
        </w:rPr>
        <w:t> finančním</w:t>
      </w:r>
      <w:r>
        <w:rPr>
          <w:rFonts w:ascii="Times New Roman" w:eastAsia="Arial Unicode MS" w:hAnsi="Times New Roman"/>
          <w:lang w:eastAsia="cs-CZ"/>
        </w:rPr>
        <w:t>u</w:t>
      </w:r>
      <w:r w:rsidR="00405C25" w:rsidRPr="0096502F">
        <w:rPr>
          <w:rFonts w:ascii="Times New Roman" w:eastAsia="Arial Unicode MS" w:hAnsi="Times New Roman"/>
          <w:lang w:eastAsia="cs-CZ"/>
        </w:rPr>
        <w:t xml:space="preserve"> vypořádání dotace je příjemce povinen </w:t>
      </w:r>
      <w:r>
        <w:rPr>
          <w:rFonts w:ascii="Times New Roman" w:eastAsia="Arial Unicode MS" w:hAnsi="Times New Roman"/>
          <w:lang w:eastAsia="cs-CZ"/>
        </w:rPr>
        <w:t xml:space="preserve">dále </w:t>
      </w:r>
      <w:r w:rsidR="00405C25" w:rsidRPr="0096502F">
        <w:rPr>
          <w:rFonts w:ascii="Times New Roman" w:eastAsia="Arial Unicode MS" w:hAnsi="Times New Roman"/>
          <w:lang w:eastAsia="cs-CZ"/>
        </w:rPr>
        <w:t>předložit administrujícímu</w:t>
      </w:r>
      <w:r w:rsidR="00405C25">
        <w:rPr>
          <w:rFonts w:ascii="Times New Roman" w:eastAsia="Arial Unicode MS" w:hAnsi="Times New Roman"/>
          <w:lang w:eastAsia="cs-CZ"/>
        </w:rPr>
        <w:t xml:space="preserve"> </w:t>
      </w:r>
      <w:r w:rsidR="00405C25" w:rsidRPr="0096502F">
        <w:rPr>
          <w:rFonts w:ascii="Times New Roman" w:eastAsia="Arial Unicode MS" w:hAnsi="Times New Roman"/>
          <w:lang w:eastAsia="cs-CZ"/>
        </w:rPr>
        <w:t>odboru</w:t>
      </w:r>
      <w:r>
        <w:rPr>
          <w:rFonts w:ascii="Times New Roman" w:eastAsia="Arial Unicode MS" w:hAnsi="Times New Roman"/>
          <w:lang w:eastAsia="cs-CZ"/>
        </w:rPr>
        <w:t>:</w:t>
      </w:r>
    </w:p>
    <w:p w14:paraId="219D6D72" w14:textId="77777777" w:rsidR="007C0B2E" w:rsidRDefault="007C0B2E" w:rsidP="00405C25">
      <w:pPr>
        <w:spacing w:after="0" w:line="240" w:lineRule="auto"/>
        <w:ind w:left="426"/>
        <w:jc w:val="both"/>
        <w:rPr>
          <w:rFonts w:ascii="Times New Roman" w:eastAsia="Arial Unicode MS" w:hAnsi="Times New Roman"/>
          <w:lang w:eastAsia="cs-CZ"/>
        </w:rPr>
      </w:pPr>
    </w:p>
    <w:p w14:paraId="4513838D" w14:textId="5BA88945" w:rsidR="00A61445" w:rsidRPr="00A61445" w:rsidRDefault="00A61445" w:rsidP="00A61445">
      <w:pPr>
        <w:pStyle w:val="Odstavecseseznamem"/>
        <w:numPr>
          <w:ilvl w:val="0"/>
          <w:numId w:val="20"/>
        </w:numPr>
        <w:spacing w:after="0" w:line="240" w:lineRule="auto"/>
        <w:jc w:val="both"/>
        <w:rPr>
          <w:rFonts w:ascii="Times New Roman" w:eastAsia="Arial Unicode MS" w:hAnsi="Times New Roman"/>
          <w:lang w:eastAsia="cs-CZ"/>
        </w:rPr>
      </w:pPr>
      <w:bookmarkStart w:id="9" w:name="_Hlk31267954"/>
      <w:r w:rsidRPr="00A61445">
        <w:rPr>
          <w:rFonts w:ascii="Times New Roman" w:eastAsia="Arial Unicode MS" w:hAnsi="Times New Roman"/>
          <w:lang w:eastAsia="cs-CZ"/>
        </w:rPr>
        <w:t>V</w:t>
      </w:r>
      <w:r w:rsidR="00405C25" w:rsidRPr="00A61445">
        <w:rPr>
          <w:rFonts w:ascii="Times New Roman" w:eastAsia="Arial Unicode MS" w:hAnsi="Times New Roman"/>
          <w:lang w:eastAsia="cs-CZ"/>
        </w:rPr>
        <w:t xml:space="preserve">yhodnocení </w:t>
      </w:r>
      <w:bookmarkEnd w:id="7"/>
      <w:bookmarkEnd w:id="8"/>
      <w:r>
        <w:rPr>
          <w:rFonts w:ascii="Times New Roman" w:eastAsia="Arial Unicode MS" w:hAnsi="Times New Roman"/>
          <w:lang w:eastAsia="cs-CZ"/>
        </w:rPr>
        <w:t>splnění účelu čerpání dotace z rozpočtu Karlovarského kraje</w:t>
      </w:r>
    </w:p>
    <w:bookmarkEnd w:id="9"/>
    <w:p w14:paraId="4B64DB2B" w14:textId="1205E811" w:rsidR="005802C0" w:rsidRPr="00A61445" w:rsidRDefault="005802C0" w:rsidP="00A61445">
      <w:pPr>
        <w:pStyle w:val="Odstavecseseznamem"/>
        <w:numPr>
          <w:ilvl w:val="0"/>
          <w:numId w:val="20"/>
        </w:numPr>
        <w:spacing w:after="0" w:line="240" w:lineRule="auto"/>
        <w:jc w:val="both"/>
        <w:rPr>
          <w:rFonts w:ascii="Times New Roman" w:eastAsia="Arial Unicode MS" w:hAnsi="Times New Roman"/>
          <w:lang w:eastAsia="cs-CZ"/>
        </w:rPr>
      </w:pPr>
      <w:r w:rsidRPr="00A61445">
        <w:rPr>
          <w:rFonts w:ascii="Times New Roman" w:eastAsia="Arial Unicode MS" w:hAnsi="Times New Roman"/>
          <w:lang w:eastAsia="cs-CZ"/>
        </w:rPr>
        <w:t>Kopii i originál smlouvy o dílo</w:t>
      </w:r>
      <w:r w:rsidR="00164CCA">
        <w:rPr>
          <w:rFonts w:ascii="Times New Roman" w:eastAsia="Arial Unicode MS" w:hAnsi="Times New Roman"/>
          <w:lang w:eastAsia="cs-CZ"/>
        </w:rPr>
        <w:t xml:space="preserve">/smlouvy o poskytování služeb </w:t>
      </w:r>
      <w:r w:rsidRPr="00A61445">
        <w:rPr>
          <w:rFonts w:ascii="Times New Roman" w:eastAsia="Arial Unicode MS" w:hAnsi="Times New Roman"/>
          <w:b/>
          <w:lang w:eastAsia="cs-CZ"/>
        </w:rPr>
        <w:t xml:space="preserve">s poskytovatelem znalostí </w:t>
      </w:r>
      <w:r w:rsidRPr="00A61445">
        <w:rPr>
          <w:rFonts w:ascii="Times New Roman" w:eastAsia="Arial Unicode MS" w:hAnsi="Times New Roman"/>
          <w:lang w:eastAsia="cs-CZ"/>
        </w:rPr>
        <w:t>obsahující zejména:</w:t>
      </w:r>
    </w:p>
    <w:p w14:paraId="7738EA91" w14:textId="2E603C96" w:rsidR="005802C0" w:rsidRPr="007C0B2E" w:rsidRDefault="005802C0" w:rsidP="00A61445">
      <w:pPr>
        <w:pStyle w:val="Odstavecseseznamem"/>
        <w:numPr>
          <w:ilvl w:val="1"/>
          <w:numId w:val="22"/>
        </w:numPr>
        <w:spacing w:after="0" w:line="240" w:lineRule="auto"/>
        <w:jc w:val="both"/>
        <w:rPr>
          <w:rFonts w:ascii="Times New Roman" w:eastAsia="Arial Unicode MS" w:hAnsi="Times New Roman"/>
          <w:lang w:eastAsia="cs-CZ"/>
        </w:rPr>
      </w:pPr>
      <w:r w:rsidRPr="007C0B2E">
        <w:rPr>
          <w:rFonts w:ascii="Times New Roman" w:eastAsia="Arial Unicode MS" w:hAnsi="Times New Roman"/>
          <w:lang w:eastAsia="cs-CZ"/>
        </w:rPr>
        <w:t>kalkulaci ceny za provedení díla</w:t>
      </w:r>
      <w:r w:rsidR="00164CCA" w:rsidRPr="007C0B2E">
        <w:rPr>
          <w:rFonts w:ascii="Times New Roman" w:eastAsia="Arial Unicode MS" w:hAnsi="Times New Roman"/>
          <w:lang w:eastAsia="cs-CZ"/>
        </w:rPr>
        <w:t>/ poskytování služeb</w:t>
      </w:r>
      <w:r w:rsidRPr="007C0B2E">
        <w:rPr>
          <w:rFonts w:ascii="Times New Roman" w:eastAsia="Arial Unicode MS" w:hAnsi="Times New Roman"/>
          <w:lang w:eastAsia="cs-CZ"/>
        </w:rPr>
        <w:t xml:space="preserve"> a časový harmonogram</w:t>
      </w:r>
    </w:p>
    <w:p w14:paraId="5D8BB6BC" w14:textId="06D066B2" w:rsidR="005802C0" w:rsidRPr="007C0B2E" w:rsidRDefault="005802C0" w:rsidP="00A61445">
      <w:pPr>
        <w:pStyle w:val="Odstavecseseznamem"/>
        <w:numPr>
          <w:ilvl w:val="1"/>
          <w:numId w:val="22"/>
        </w:numPr>
        <w:spacing w:after="0" w:line="240" w:lineRule="auto"/>
        <w:jc w:val="both"/>
        <w:rPr>
          <w:rFonts w:ascii="Times New Roman" w:eastAsia="Arial Unicode MS" w:hAnsi="Times New Roman"/>
          <w:lang w:eastAsia="cs-CZ"/>
        </w:rPr>
      </w:pPr>
      <w:r w:rsidRPr="007C0B2E">
        <w:rPr>
          <w:rFonts w:ascii="Times New Roman" w:eastAsia="Arial Unicode MS" w:hAnsi="Times New Roman"/>
          <w:lang w:eastAsia="cs-CZ"/>
        </w:rPr>
        <w:t>ustanovení upravující záruku za jakost a odpovědnost za vady díla</w:t>
      </w:r>
      <w:r w:rsidR="007C0B2E" w:rsidRPr="007C0B2E">
        <w:rPr>
          <w:rFonts w:ascii="Times New Roman" w:eastAsia="Arial Unicode MS" w:hAnsi="Times New Roman"/>
          <w:lang w:eastAsia="cs-CZ"/>
        </w:rPr>
        <w:t>/poskytnutých služeb</w:t>
      </w:r>
      <w:r w:rsidRPr="007C0B2E">
        <w:rPr>
          <w:rFonts w:ascii="Times New Roman" w:eastAsia="Arial Unicode MS" w:hAnsi="Times New Roman"/>
          <w:lang w:eastAsia="cs-CZ"/>
        </w:rPr>
        <w:t xml:space="preserve"> ze strany poskytovatele znalosti</w:t>
      </w:r>
    </w:p>
    <w:p w14:paraId="53EE2017" w14:textId="3057D1B2" w:rsidR="005802C0" w:rsidRPr="007C0B2E" w:rsidRDefault="005802C0" w:rsidP="00A61445">
      <w:pPr>
        <w:pStyle w:val="Odstavecseseznamem"/>
        <w:numPr>
          <w:ilvl w:val="1"/>
          <w:numId w:val="22"/>
        </w:numPr>
        <w:spacing w:after="0" w:line="240" w:lineRule="auto"/>
        <w:jc w:val="both"/>
        <w:rPr>
          <w:rFonts w:ascii="Times New Roman" w:eastAsia="Arial Unicode MS" w:hAnsi="Times New Roman"/>
          <w:lang w:eastAsia="cs-CZ"/>
        </w:rPr>
      </w:pPr>
      <w:r w:rsidRPr="007C0B2E">
        <w:rPr>
          <w:rFonts w:ascii="Times New Roman" w:eastAsia="Arial Unicode MS" w:hAnsi="Times New Roman"/>
          <w:lang w:eastAsia="cs-CZ"/>
        </w:rPr>
        <w:t>závazek poskytovatele znalostí spolupůsobit při výkonu finanční kontroly ve smyslu zákona č. 320/2001 Sb., o finanční kontrole ve veřejné správě a o změně některých zákonů, ve znění pozdějších předpisů, resp. zákona č. 255/2012 Sb., o kontrole (kontrolní řád)</w:t>
      </w:r>
    </w:p>
    <w:p w14:paraId="341459F4" w14:textId="77777777" w:rsidR="007C0B2E" w:rsidRPr="00A61445" w:rsidRDefault="007C0B2E" w:rsidP="005A01BD">
      <w:pPr>
        <w:pStyle w:val="Odstavecseseznamem"/>
        <w:spacing w:after="0" w:line="240" w:lineRule="auto"/>
        <w:ind w:left="1440"/>
        <w:jc w:val="both"/>
        <w:rPr>
          <w:rFonts w:ascii="Times New Roman" w:eastAsia="Arial Unicode MS" w:hAnsi="Times New Roman"/>
          <w:b/>
          <w:bCs/>
          <w:lang w:eastAsia="cs-CZ"/>
        </w:rPr>
      </w:pPr>
    </w:p>
    <w:p w14:paraId="7151EB5E" w14:textId="6589F8F0" w:rsidR="005802C0" w:rsidRPr="00A61445" w:rsidRDefault="005802C0" w:rsidP="00A61445">
      <w:pPr>
        <w:pStyle w:val="Odstavecseseznamem"/>
        <w:numPr>
          <w:ilvl w:val="0"/>
          <w:numId w:val="20"/>
        </w:numPr>
        <w:tabs>
          <w:tab w:val="num" w:pos="720"/>
        </w:tabs>
        <w:spacing w:after="0" w:line="240" w:lineRule="auto"/>
        <w:jc w:val="both"/>
        <w:rPr>
          <w:rFonts w:ascii="Times New Roman" w:eastAsia="Arial Unicode MS" w:hAnsi="Times New Roman"/>
          <w:lang w:eastAsia="cs-CZ"/>
        </w:rPr>
      </w:pPr>
      <w:bookmarkStart w:id="10" w:name="_Hlk31185007"/>
      <w:r w:rsidRPr="00A61445">
        <w:rPr>
          <w:rFonts w:ascii="Times New Roman" w:eastAsia="Arial Unicode MS" w:hAnsi="Times New Roman"/>
          <w:lang w:eastAsia="cs-CZ"/>
        </w:rPr>
        <w:t>Kopii i originál smlouvy s poskytovatelem znalostí o využití výsledků projektu (pokud není přímo ošetřeno samotným bodem v rámci smlouvy o dílo</w:t>
      </w:r>
      <w:r w:rsidR="00164CCA">
        <w:rPr>
          <w:rFonts w:ascii="Times New Roman" w:eastAsia="Arial Unicode MS" w:hAnsi="Times New Roman"/>
          <w:lang w:eastAsia="cs-CZ"/>
        </w:rPr>
        <w:t>/smlouvy o poskytování služeb</w:t>
      </w:r>
      <w:r w:rsidRPr="00A61445">
        <w:rPr>
          <w:rFonts w:ascii="Times New Roman" w:eastAsia="Arial Unicode MS" w:hAnsi="Times New Roman"/>
          <w:lang w:eastAsia="cs-CZ"/>
        </w:rPr>
        <w:t xml:space="preserve">). </w:t>
      </w:r>
    </w:p>
    <w:bookmarkEnd w:id="10"/>
    <w:p w14:paraId="39BB544F" w14:textId="77777777" w:rsidR="005802C0" w:rsidRPr="005802C0" w:rsidRDefault="005802C0" w:rsidP="005802C0">
      <w:pPr>
        <w:spacing w:after="0" w:line="240" w:lineRule="auto"/>
        <w:ind w:left="426"/>
        <w:jc w:val="both"/>
        <w:rPr>
          <w:rFonts w:ascii="Times New Roman" w:eastAsia="Arial Unicode MS" w:hAnsi="Times New Roman"/>
          <w:lang w:eastAsia="cs-CZ"/>
        </w:rPr>
      </w:pPr>
    </w:p>
    <w:p w14:paraId="74AB19FA" w14:textId="77777777" w:rsidR="00ED646C" w:rsidRPr="0096502F" w:rsidRDefault="00ED646C" w:rsidP="00ED646C">
      <w:pPr>
        <w:spacing w:after="0" w:line="240" w:lineRule="auto"/>
        <w:ind w:left="426"/>
        <w:jc w:val="both"/>
        <w:rPr>
          <w:rFonts w:ascii="Times New Roman" w:eastAsia="Arial Unicode MS" w:hAnsi="Times New Roman"/>
          <w:lang w:eastAsia="cs-CZ"/>
        </w:rPr>
      </w:pPr>
    </w:p>
    <w:p w14:paraId="4241F1DA" w14:textId="4C1A7519" w:rsidR="0014413C" w:rsidRDefault="005B79C0" w:rsidP="00467DCB">
      <w:pPr>
        <w:numPr>
          <w:ilvl w:val="0"/>
          <w:numId w:val="7"/>
        </w:numPr>
        <w:spacing w:after="0" w:line="240" w:lineRule="auto"/>
        <w:jc w:val="both"/>
        <w:rPr>
          <w:rFonts w:ascii="Times New Roman" w:eastAsia="Arial Unicode MS" w:hAnsi="Times New Roman"/>
          <w:lang w:eastAsia="cs-CZ"/>
        </w:rPr>
      </w:pPr>
      <w:r w:rsidRPr="006C18B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Od podpisu smlouvy po dobu realizace projektu umístí příjemce na webových stránkách, pokud je má zřízeny, aktivní odkaz  </w:t>
      </w:r>
      <w:hyperlink r:id="rId9" w:history="1">
        <w:r w:rsidRPr="006C18B0">
          <w:rPr>
            <w:rFonts w:ascii="Times New Roman" w:eastAsia="Arial Unicode MS" w:hAnsi="Times New Roman"/>
            <w:lang w:eastAsia="cs-CZ"/>
          </w:rPr>
          <w:t>www.kr-karlovarsky.cz</w:t>
        </w:r>
      </w:hyperlink>
      <w:r w:rsidRPr="006C18B0">
        <w:rPr>
          <w:rFonts w:ascii="Times New Roman" w:eastAsia="Arial Unicode MS" w:hAnsi="Times New Roman"/>
          <w:lang w:eastAsia="cs-CZ"/>
        </w:rPr>
        <w:t xml:space="preserve">.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0" w:history="1">
        <w:r w:rsidRPr="006C18B0">
          <w:rPr>
            <w:rFonts w:ascii="Times New Roman" w:eastAsia="Arial Unicode MS" w:hAnsi="Times New Roman"/>
            <w:lang w:eastAsia="cs-CZ"/>
          </w:rPr>
          <w:t>www.kr-karlovarsky.cz</w:t>
        </w:r>
      </w:hyperlink>
      <w:r w:rsidRPr="006C18B0">
        <w:rPr>
          <w:rFonts w:ascii="Times New Roman" w:eastAsia="Arial Unicode MS" w:hAnsi="Times New Roman"/>
          <w:lang w:eastAsia="cs-CZ"/>
        </w:rPr>
        <w:t>, odkaz Karlovarský kraj – Poskytování symbolů a záštit)</w:t>
      </w:r>
      <w:r w:rsidR="006C18B0">
        <w:rPr>
          <w:rFonts w:ascii="Times New Roman" w:eastAsia="Arial Unicode MS" w:hAnsi="Times New Roman"/>
          <w:lang w:eastAsia="cs-CZ"/>
        </w:rPr>
        <w:t>.</w:t>
      </w:r>
    </w:p>
    <w:p w14:paraId="2E0B2CCE" w14:textId="77777777" w:rsidR="006C18B0" w:rsidRPr="006C18B0" w:rsidRDefault="006C18B0" w:rsidP="006C18B0">
      <w:pPr>
        <w:spacing w:after="0" w:line="240" w:lineRule="auto"/>
        <w:ind w:left="360"/>
        <w:jc w:val="both"/>
        <w:rPr>
          <w:rFonts w:ascii="Times New Roman" w:eastAsia="Arial Unicode MS" w:hAnsi="Times New Roman"/>
          <w:lang w:eastAsia="cs-CZ"/>
        </w:rPr>
      </w:pPr>
    </w:p>
    <w:p w14:paraId="1FED3AD6" w14:textId="2FFDE857" w:rsidR="00B579B9" w:rsidRPr="00B579B9" w:rsidRDefault="00EA39C9" w:rsidP="0006295B">
      <w:pPr>
        <w:numPr>
          <w:ilvl w:val="0"/>
          <w:numId w:val="7"/>
        </w:numPr>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04117AA7" w14:textId="77777777" w:rsidR="00B579B9" w:rsidRPr="0096502F" w:rsidRDefault="00B579B9" w:rsidP="00B579B9">
      <w:pPr>
        <w:spacing w:after="0" w:line="240" w:lineRule="auto"/>
        <w:jc w:val="both"/>
        <w:rPr>
          <w:rFonts w:ascii="Times New Roman" w:eastAsia="Arial Unicode MS" w:hAnsi="Times New Roman"/>
          <w:lang w:eastAsia="cs-CZ"/>
        </w:rPr>
      </w:pPr>
    </w:p>
    <w:p w14:paraId="2D9B0EC5" w14:textId="19492FED" w:rsidR="00B579B9" w:rsidRPr="0096502F" w:rsidRDefault="00B579B9" w:rsidP="0006295B">
      <w:pPr>
        <w:numPr>
          <w:ilvl w:val="0"/>
          <w:numId w:val="7"/>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5C055A">
        <w:rPr>
          <w:rFonts w:ascii="Times New Roman" w:eastAsia="Arial Unicode MS" w:hAnsi="Times New Roman"/>
          <w:lang w:eastAsia="cs-CZ"/>
        </w:rPr>
        <w:br/>
      </w:r>
      <w:r w:rsidRPr="0096502F">
        <w:rPr>
          <w:rFonts w:ascii="Times New Roman" w:eastAsia="Arial Unicode MS" w:hAnsi="Times New Roman"/>
          <w:lang w:eastAsia="cs-CZ"/>
        </w:rPr>
        <w:t xml:space="preserve">10 tohoto článku, jestliže odpadne účel, na který je dotace poskytována, a to do </w:t>
      </w:r>
      <w:r w:rsidRPr="00D5683C">
        <w:rPr>
          <w:rFonts w:ascii="Times New Roman" w:eastAsia="Arial Unicode MS" w:hAnsi="Times New Roman"/>
          <w:lang w:eastAsia="cs-CZ"/>
        </w:rPr>
        <w:t xml:space="preserve">10 </w:t>
      </w:r>
      <w:r w:rsidRPr="0096502F">
        <w:rPr>
          <w:rFonts w:ascii="Times New Roman" w:eastAsia="Arial Unicode MS" w:hAnsi="Times New Roman"/>
          <w:lang w:eastAsia="cs-CZ"/>
        </w:rPr>
        <w:t>pracovních dnů ode dne, kdy se příjemce o této skutečnosti dozví. Platba bude opatřena variabilním symbolem uvedeným v odst. 2 čl. II.</w:t>
      </w:r>
    </w:p>
    <w:p w14:paraId="1CCA9893" w14:textId="77777777" w:rsidR="00B579B9" w:rsidRDefault="00B579B9" w:rsidP="004B6BA4">
      <w:pPr>
        <w:spacing w:after="0" w:line="240" w:lineRule="auto"/>
        <w:jc w:val="both"/>
        <w:rPr>
          <w:rFonts w:ascii="Times New Roman" w:eastAsia="Times New Roman" w:hAnsi="Times New Roman"/>
          <w:lang w:eastAsia="cs-CZ"/>
        </w:rPr>
      </w:pPr>
    </w:p>
    <w:p w14:paraId="6D291070" w14:textId="66888F45" w:rsidR="008F4CA7" w:rsidRPr="00B579B9" w:rsidRDefault="008F4CA7" w:rsidP="0006295B">
      <w:pPr>
        <w:numPr>
          <w:ilvl w:val="0"/>
          <w:numId w:val="7"/>
        </w:numPr>
        <w:spacing w:after="0" w:line="240" w:lineRule="auto"/>
        <w:ind w:left="426" w:hanging="426"/>
        <w:jc w:val="both"/>
        <w:rPr>
          <w:rFonts w:ascii="Times New Roman" w:eastAsia="Times New Roman" w:hAnsi="Times New Roman"/>
          <w:lang w:eastAsia="cs-CZ"/>
        </w:rPr>
      </w:pPr>
      <w:r w:rsidRPr="00B579B9">
        <w:rPr>
          <w:rFonts w:ascii="Times New Roman" w:eastAsia="Arial Unicode MS" w:hAnsi="Times New Roman"/>
          <w:lang w:eastAsia="cs-CZ"/>
        </w:rPr>
        <w:t>Před vrácením nevyčerpaných finančních prostředků zpět na účet poskytovatele je příjemce o</w:t>
      </w:r>
      <w:r w:rsidR="0096502F" w:rsidRPr="00B579B9">
        <w:rPr>
          <w:rFonts w:ascii="Times New Roman" w:eastAsia="Arial Unicode MS" w:hAnsi="Times New Roman"/>
          <w:lang w:eastAsia="cs-CZ"/>
        </w:rPr>
        <w:t> </w:t>
      </w:r>
      <w:r w:rsidRPr="00B579B9">
        <w:rPr>
          <w:rFonts w:ascii="Times New Roman" w:eastAsia="Arial Unicode MS" w:hAnsi="Times New Roman"/>
          <w:lang w:eastAsia="cs-CZ"/>
        </w:rPr>
        <w:t>této</w:t>
      </w:r>
      <w:r w:rsidR="0096502F" w:rsidRPr="00B579B9">
        <w:rPr>
          <w:rFonts w:ascii="Times New Roman" w:eastAsia="Arial Unicode MS" w:hAnsi="Times New Roman"/>
          <w:lang w:eastAsia="cs-CZ"/>
        </w:rPr>
        <w:t> </w:t>
      </w:r>
      <w:r w:rsidRPr="00B579B9">
        <w:rPr>
          <w:rFonts w:ascii="Times New Roman" w:eastAsia="Arial Unicode MS" w:hAnsi="Times New Roman"/>
          <w:lang w:eastAsia="cs-CZ"/>
        </w:rPr>
        <w:t xml:space="preserve">skutečnosti povinen informovat </w:t>
      </w:r>
      <w:r w:rsidR="00543233" w:rsidRPr="00B579B9">
        <w:rPr>
          <w:rFonts w:ascii="Times New Roman" w:eastAsia="Arial Unicode MS" w:hAnsi="Times New Roman"/>
          <w:lang w:eastAsia="cs-CZ"/>
        </w:rPr>
        <w:t>administrující odbor</w:t>
      </w:r>
      <w:r w:rsidRPr="00B579B9">
        <w:rPr>
          <w:rFonts w:ascii="Times New Roman" w:eastAsia="Arial Unicode MS" w:hAnsi="Times New Roman"/>
          <w:i/>
          <w:lang w:eastAsia="cs-CZ"/>
        </w:rPr>
        <w:t xml:space="preserve"> </w:t>
      </w:r>
      <w:r w:rsidRPr="00B579B9">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0D9F576C" w:rsidR="0014413C" w:rsidRDefault="0014413C" w:rsidP="0006295B">
      <w:pPr>
        <w:pStyle w:val="Odstavecseseznamem"/>
        <w:numPr>
          <w:ilvl w:val="0"/>
          <w:numId w:val="7"/>
        </w:numPr>
        <w:spacing w:after="0" w:line="240" w:lineRule="auto"/>
        <w:jc w:val="both"/>
        <w:rPr>
          <w:rFonts w:ascii="Times New Roman" w:eastAsia="Arial Unicode MS" w:hAnsi="Times New Roman"/>
          <w:lang w:eastAsia="cs-CZ"/>
        </w:rPr>
      </w:pPr>
      <w:r w:rsidRPr="00B579B9">
        <w:rPr>
          <w:rFonts w:ascii="Times New Roman" w:eastAsia="Arial Unicode MS" w:hAnsi="Times New Roman"/>
          <w:lang w:eastAsia="cs-CZ"/>
        </w:rPr>
        <w:t>Příjemce je povinen průběžně informovat poskytovatele o všech změnách, které by mohly při</w:t>
      </w:r>
      <w:r w:rsidR="00B7459B" w:rsidRPr="00B579B9">
        <w:rPr>
          <w:rFonts w:ascii="Times New Roman" w:eastAsia="Arial Unicode MS" w:hAnsi="Times New Roman"/>
          <w:lang w:eastAsia="cs-CZ"/>
        </w:rPr>
        <w:t> </w:t>
      </w:r>
      <w:r w:rsidRPr="00B579B9">
        <w:rPr>
          <w:rFonts w:ascii="Times New Roman" w:eastAsia="Arial Unicode MS" w:hAnsi="Times New Roman"/>
          <w:lang w:eastAsia="cs-CZ"/>
        </w:rPr>
        <w:t>vymáhání zadržených nebo neoprávněně použitých prostředků dotace zhoršit jeho pozici věřitele nebo dobytnost jeho pohledávky.</w:t>
      </w:r>
    </w:p>
    <w:p w14:paraId="34E98DE5" w14:textId="77777777" w:rsidR="00B579B9" w:rsidRPr="00B579B9" w:rsidRDefault="00B579B9" w:rsidP="00B579B9">
      <w:pPr>
        <w:spacing w:after="0" w:line="240" w:lineRule="auto"/>
        <w:jc w:val="both"/>
        <w:rPr>
          <w:rFonts w:ascii="Times New Roman" w:eastAsia="Arial Unicode MS" w:hAnsi="Times New Roman"/>
          <w:lang w:eastAsia="cs-CZ"/>
        </w:rPr>
      </w:pPr>
    </w:p>
    <w:p w14:paraId="57426D13" w14:textId="1935A362" w:rsidR="0014413C" w:rsidRPr="00204FA7" w:rsidRDefault="006266EF" w:rsidP="00204FA7">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006B2605" w:rsidRPr="00D5683C">
        <w:rPr>
          <w:rFonts w:ascii="Times New Roman" w:eastAsia="Arial Unicode MS" w:hAnsi="Times New Roman"/>
          <w:lang w:eastAsia="cs-CZ"/>
        </w:rPr>
        <w:t>10</w:t>
      </w:r>
      <w:r w:rsidRPr="00D5683C">
        <w:rPr>
          <w:rFonts w:ascii="Times New Roman" w:eastAsia="Arial Unicode MS" w:hAnsi="Times New Roman"/>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w:t>
      </w:r>
      <w:r w:rsidR="00204FA7">
        <w:rPr>
          <w:rFonts w:ascii="Times New Roman" w:eastAsia="Arial Unicode MS" w:hAnsi="Times New Roman"/>
          <w:lang w:eastAsia="cs-CZ"/>
        </w:rPr>
        <w:t> </w:t>
      </w:r>
      <w:r w:rsidRPr="00204FA7">
        <w:rPr>
          <w:rFonts w:ascii="Times New Roman" w:eastAsia="Arial Unicode MS" w:hAnsi="Times New Roman"/>
          <w:lang w:eastAsia="cs-CZ"/>
        </w:rPr>
        <w:t xml:space="preserve">k události, skutečnosti, které mají nebo mohou mít za následek příjemcův </w:t>
      </w:r>
      <w:r w:rsidR="006B657C" w:rsidRPr="00204FA7">
        <w:rPr>
          <w:rFonts w:ascii="Times New Roman" w:eastAsia="Arial Unicode MS" w:hAnsi="Times New Roman"/>
          <w:lang w:eastAsia="cs-CZ"/>
        </w:rPr>
        <w:t>z</w:t>
      </w:r>
      <w:r w:rsidRPr="00204FA7">
        <w:rPr>
          <w:rFonts w:ascii="Times New Roman" w:eastAsia="Arial Unicode MS" w:hAnsi="Times New Roman"/>
          <w:lang w:eastAsia="cs-CZ"/>
        </w:rPr>
        <w:t xml:space="preserve">ánik, transformaci, sloučení či splynutí s jiným subjektem, zrušení právnické osoby s likvidací, zahájení insolvenčního řízení, změnu statutárního orgánu příjemce, změnu vlastnického vztahu příjemce k věci, na niž se dotace </w:t>
      </w:r>
      <w:r w:rsidR="00F41574" w:rsidRPr="00204FA7">
        <w:rPr>
          <w:rFonts w:ascii="Times New Roman" w:eastAsia="Arial Unicode MS" w:hAnsi="Times New Roman"/>
          <w:lang w:eastAsia="cs-CZ"/>
        </w:rPr>
        <w:t>poskytuje</w:t>
      </w:r>
      <w:r w:rsidRPr="00204FA7">
        <w:rPr>
          <w:rFonts w:ascii="Times New Roman" w:eastAsia="Arial Unicode MS" w:hAnsi="Times New Roman"/>
          <w:lang w:eastAsia="cs-CZ"/>
        </w:rPr>
        <w:t xml:space="preserve"> apod</w:t>
      </w:r>
      <w:r w:rsidR="0014413C" w:rsidRPr="00204FA7">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5DDDEAB" w:rsidR="0014413C" w:rsidRPr="0096502F" w:rsidRDefault="00A56375" w:rsidP="0006295B">
      <w:pPr>
        <w:numPr>
          <w:ilvl w:val="0"/>
          <w:numId w:val="7"/>
        </w:numPr>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článku IV</w:t>
      </w:r>
      <w:r w:rsidR="003211B2" w:rsidRPr="0096502F">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smlouvy, a to ke dni likvidace.</w:t>
      </w:r>
    </w:p>
    <w:p w14:paraId="4334B288" w14:textId="77777777" w:rsidR="00C656E9" w:rsidRPr="0096502F" w:rsidRDefault="00C656E9" w:rsidP="00BE65AC">
      <w:pPr>
        <w:spacing w:after="0" w:line="240" w:lineRule="auto"/>
        <w:jc w:val="both"/>
        <w:rPr>
          <w:rFonts w:ascii="Times New Roman" w:eastAsia="Arial Unicode MS" w:hAnsi="Times New Roman"/>
          <w:lang w:eastAsia="cs-CZ"/>
        </w:rPr>
      </w:pPr>
    </w:p>
    <w:p w14:paraId="18F84045" w14:textId="63B49201" w:rsidR="005672DF" w:rsidRPr="00B579B9" w:rsidRDefault="0014413C" w:rsidP="0006295B">
      <w:pPr>
        <w:pStyle w:val="Odstavecseseznamem"/>
        <w:numPr>
          <w:ilvl w:val="0"/>
          <w:numId w:val="7"/>
        </w:numPr>
        <w:spacing w:after="0" w:line="240" w:lineRule="auto"/>
        <w:jc w:val="both"/>
        <w:rPr>
          <w:rFonts w:ascii="Times New Roman" w:eastAsia="Arial Unicode MS" w:hAnsi="Times New Roman"/>
          <w:lang w:eastAsia="cs-CZ"/>
        </w:rPr>
      </w:pPr>
      <w:r w:rsidRPr="00B579B9">
        <w:rPr>
          <w:rFonts w:ascii="Times New Roman" w:eastAsia="Arial Unicode MS" w:hAnsi="Times New Roman"/>
          <w:lang w:eastAsia="cs-CZ"/>
        </w:rPr>
        <w:t>Je-li příjemce veřejným zadavatelem nebo splní příjemce definici zadavatele podle zákona č.</w:t>
      </w:r>
      <w:r w:rsidR="00B7459B" w:rsidRPr="00B579B9">
        <w:rPr>
          <w:rFonts w:ascii="Times New Roman" w:eastAsia="Arial Unicode MS" w:hAnsi="Times New Roman"/>
          <w:lang w:eastAsia="cs-CZ"/>
        </w:rPr>
        <w:t> </w:t>
      </w:r>
      <w:r w:rsidR="00921426" w:rsidRPr="00B579B9">
        <w:rPr>
          <w:rFonts w:ascii="Times New Roman" w:eastAsia="Arial Unicode MS" w:hAnsi="Times New Roman"/>
          <w:lang w:eastAsia="cs-CZ"/>
        </w:rPr>
        <w:t>134</w:t>
      </w:r>
      <w:r w:rsidRPr="00B579B9">
        <w:rPr>
          <w:rFonts w:ascii="Times New Roman" w:eastAsia="Arial Unicode MS" w:hAnsi="Times New Roman"/>
          <w:lang w:eastAsia="cs-CZ"/>
        </w:rPr>
        <w:t>/</w:t>
      </w:r>
      <w:r w:rsidR="00921426" w:rsidRPr="00B579B9">
        <w:rPr>
          <w:rFonts w:ascii="Times New Roman" w:eastAsia="Arial Unicode MS" w:hAnsi="Times New Roman"/>
          <w:lang w:eastAsia="cs-CZ"/>
        </w:rPr>
        <w:t>2016</w:t>
      </w:r>
      <w:r w:rsidRPr="00B579B9">
        <w:rPr>
          <w:rFonts w:ascii="Times New Roman" w:eastAsia="Arial Unicode MS" w:hAnsi="Times New Roman"/>
          <w:lang w:eastAsia="cs-CZ"/>
        </w:rPr>
        <w:t xml:space="preserve"> Sb., o </w:t>
      </w:r>
      <w:r w:rsidR="004D7C7B" w:rsidRPr="00B579B9">
        <w:rPr>
          <w:rFonts w:ascii="Times New Roman" w:eastAsia="Arial Unicode MS" w:hAnsi="Times New Roman"/>
          <w:lang w:eastAsia="cs-CZ"/>
        </w:rPr>
        <w:t>zadávání veřejných zakázek</w:t>
      </w:r>
      <w:r w:rsidRPr="00B579B9">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06295B">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36975215" w:rsidR="0014413C" w:rsidRPr="0096502F" w:rsidRDefault="00360E6D" w:rsidP="0006295B">
      <w:pPr>
        <w:numPr>
          <w:ilvl w:val="0"/>
          <w:numId w:val="7"/>
        </w:numPr>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1031306C" w:rsidR="0014413C"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4A1B540F" w14:textId="77777777" w:rsidR="006D0BE9" w:rsidRPr="0096502F" w:rsidRDefault="006D0BE9" w:rsidP="00BE65AC">
      <w:pPr>
        <w:spacing w:after="0" w:line="240" w:lineRule="auto"/>
        <w:jc w:val="center"/>
        <w:rPr>
          <w:rFonts w:ascii="Times New Roman" w:eastAsia="Arial Unicode MS" w:hAnsi="Times New Roman"/>
          <w:b/>
          <w:bCs/>
          <w:lang w:eastAsia="cs-CZ"/>
        </w:rPr>
      </w:pPr>
    </w:p>
    <w:p w14:paraId="2D75C732" w14:textId="1EDC3B6F" w:rsidR="0014413C" w:rsidRPr="0096502F" w:rsidRDefault="00993A70" w:rsidP="0006295B">
      <w:pPr>
        <w:numPr>
          <w:ilvl w:val="0"/>
          <w:numId w:val="8"/>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06295B">
      <w:pPr>
        <w:pStyle w:val="Odstavecseseznamem"/>
        <w:numPr>
          <w:ilvl w:val="0"/>
          <w:numId w:val="8"/>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 xml:space="preserve">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w:t>
      </w:r>
      <w:r w:rsidRPr="0096502F">
        <w:rPr>
          <w:rFonts w:ascii="Times New Roman" w:hAnsi="Times New Roman"/>
          <w:bCs/>
        </w:rPr>
        <w:lastRenderedPageBreak/>
        <w:t>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06295B">
      <w:pPr>
        <w:numPr>
          <w:ilvl w:val="0"/>
          <w:numId w:val="8"/>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06295B">
      <w:pPr>
        <w:numPr>
          <w:ilvl w:val="0"/>
          <w:numId w:val="8"/>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1574ADD5" w:rsidR="0014413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383D7D07" w14:textId="77777777" w:rsidR="006D0BE9" w:rsidRPr="0096502F" w:rsidRDefault="006D0BE9" w:rsidP="00BE65AC">
      <w:pPr>
        <w:tabs>
          <w:tab w:val="left" w:pos="360"/>
        </w:tabs>
        <w:spacing w:after="0" w:line="240" w:lineRule="auto"/>
        <w:ind w:left="360" w:hanging="360"/>
        <w:jc w:val="center"/>
        <w:rPr>
          <w:rFonts w:ascii="Times New Roman" w:eastAsia="Times New Roman" w:hAnsi="Times New Roman"/>
          <w:b/>
          <w:lang w:eastAsia="cs-CZ"/>
        </w:rPr>
      </w:pP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29F2354F" w:rsidR="0014413C"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Ukončení smlouvy</w:t>
      </w:r>
    </w:p>
    <w:p w14:paraId="4BF3E147" w14:textId="77777777" w:rsidR="006D0BE9" w:rsidRPr="0096502F" w:rsidRDefault="006D0BE9" w:rsidP="00BE65AC">
      <w:pPr>
        <w:spacing w:after="0" w:line="240" w:lineRule="auto"/>
        <w:jc w:val="center"/>
        <w:rPr>
          <w:rFonts w:ascii="Times New Roman" w:eastAsia="Times New Roman" w:hAnsi="Times New Roman"/>
          <w:lang w:eastAsia="cs-CZ"/>
        </w:rPr>
      </w:pP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C6AE2F6" w14:textId="7F2B9FCD" w:rsidR="000C0D16" w:rsidRPr="009504A8" w:rsidRDefault="0014413C" w:rsidP="009504A8">
      <w:pPr>
        <w:numPr>
          <w:ilvl w:val="0"/>
          <w:numId w:val="2"/>
        </w:numPr>
        <w:spacing w:after="0" w:line="240" w:lineRule="auto"/>
        <w:ind w:left="426" w:hanging="426"/>
        <w:jc w:val="both"/>
        <w:rPr>
          <w:rFonts w:ascii="Times New Roman" w:hAnsi="Times New Roman"/>
          <w:bCs/>
          <w:i/>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479E8112" w14:textId="77777777" w:rsidR="009504A8" w:rsidRPr="000C0D16" w:rsidRDefault="009504A8" w:rsidP="009504A8">
      <w:pPr>
        <w:spacing w:after="0" w:line="240" w:lineRule="auto"/>
        <w:jc w:val="both"/>
        <w:rPr>
          <w:rFonts w:ascii="Times New Roman" w:hAnsi="Times New Roman"/>
          <w:bCs/>
          <w:i/>
        </w:rPr>
      </w:pPr>
    </w:p>
    <w:p w14:paraId="604C2D77" w14:textId="294ED686" w:rsidR="00901F7E" w:rsidRPr="00177E6D" w:rsidRDefault="0014413C" w:rsidP="00BE65AC">
      <w:pPr>
        <w:numPr>
          <w:ilvl w:val="0"/>
          <w:numId w:val="2"/>
        </w:numPr>
        <w:spacing w:after="0" w:line="240" w:lineRule="auto"/>
        <w:ind w:left="426" w:hanging="426"/>
        <w:jc w:val="both"/>
        <w:rPr>
          <w:rFonts w:ascii="Times New Roman" w:hAnsi="Times New Roman"/>
          <w:bCs/>
          <w:i/>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6FC445DF" w14:textId="77777777" w:rsidR="00901F7E" w:rsidRPr="0096502F" w:rsidRDefault="00901F7E"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VIII.</w:t>
      </w:r>
    </w:p>
    <w:p w14:paraId="7CFEB204" w14:textId="661648DE" w:rsidR="00BE65AC" w:rsidRDefault="00BE65AC" w:rsidP="00BE65AC">
      <w:pPr>
        <w:spacing w:after="0" w:line="240" w:lineRule="auto"/>
        <w:jc w:val="center"/>
        <w:rPr>
          <w:rFonts w:ascii="Times New Roman" w:eastAsia="Times New Roman" w:hAnsi="Times New Roman"/>
          <w:b/>
          <w:bCs/>
          <w:lang w:eastAsia="cs-CZ"/>
        </w:rPr>
      </w:pPr>
      <w:bookmarkStart w:id="11" w:name="_Hlk29298238"/>
      <w:r w:rsidRPr="0096502F">
        <w:rPr>
          <w:rFonts w:ascii="Times New Roman" w:eastAsia="Times New Roman" w:hAnsi="Times New Roman"/>
          <w:b/>
          <w:bCs/>
          <w:lang w:eastAsia="cs-CZ"/>
        </w:rPr>
        <w:t>Veřejná podpora</w:t>
      </w:r>
    </w:p>
    <w:p w14:paraId="7FF651F3" w14:textId="77777777" w:rsidR="006D0BE9" w:rsidRPr="0096502F" w:rsidRDefault="006D0BE9" w:rsidP="00BE65AC">
      <w:pPr>
        <w:spacing w:after="0" w:line="240" w:lineRule="auto"/>
        <w:jc w:val="center"/>
        <w:rPr>
          <w:rFonts w:ascii="Times New Roman" w:eastAsia="Times New Roman" w:hAnsi="Times New Roman"/>
          <w:b/>
          <w:bCs/>
          <w:lang w:eastAsia="cs-CZ"/>
        </w:rPr>
      </w:pPr>
    </w:p>
    <w:p w14:paraId="6F641373" w14:textId="44B93384" w:rsidR="00BE65AC" w:rsidRDefault="00BE65AC" w:rsidP="0006295B">
      <w:pPr>
        <w:numPr>
          <w:ilvl w:val="0"/>
          <w:numId w:val="9"/>
        </w:numPr>
        <w:spacing w:after="0" w:line="240" w:lineRule="auto"/>
        <w:ind w:left="426" w:hanging="426"/>
        <w:jc w:val="both"/>
        <w:rPr>
          <w:rFonts w:ascii="Times New Roman" w:eastAsia="Times New Roman" w:hAnsi="Times New Roman"/>
          <w:bCs/>
          <w:lang w:eastAsia="cs-CZ"/>
        </w:rPr>
      </w:pPr>
      <w:r w:rsidRPr="0096502F">
        <w:rPr>
          <w:rFonts w:ascii="Times New Roman" w:eastAsia="Times New Roman" w:hAnsi="Times New Roman"/>
          <w:bCs/>
          <w:lang w:eastAsia="cs-CZ"/>
        </w:rPr>
        <w:t>Příjemce bere na vědomí, že je mu poskytována podpora</w:t>
      </w:r>
      <w:r w:rsidR="004328DC" w:rsidRPr="0096502F">
        <w:rPr>
          <w:rFonts w:ascii="Times New Roman" w:eastAsia="Times New Roman" w:hAnsi="Times New Roman"/>
          <w:bCs/>
          <w:lang w:eastAsia="cs-CZ"/>
        </w:rPr>
        <w:t xml:space="preserve"> de minimis (podpora malého rozsahu)</w:t>
      </w:r>
      <w:r w:rsidRPr="0096502F">
        <w:rPr>
          <w:rFonts w:ascii="Times New Roman" w:eastAsia="Times New Roman" w:hAnsi="Times New Roman"/>
          <w:bCs/>
          <w:lang w:eastAsia="cs-CZ"/>
        </w:rPr>
        <w:t>,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to v souladu s Nařízením Komise (ES) č. 1407/2013 ze dne 18. prosince 2013 o použití článků 107 a</w:t>
      </w:r>
      <w:r w:rsidR="004328DC" w:rsidRPr="0096502F">
        <w:rPr>
          <w:rFonts w:ascii="Times New Roman" w:eastAsia="Times New Roman" w:hAnsi="Times New Roman"/>
          <w:bCs/>
          <w:lang w:eastAsia="cs-CZ"/>
        </w:rPr>
        <w:t> </w:t>
      </w:r>
      <w:r w:rsidRPr="0096502F">
        <w:rPr>
          <w:rFonts w:ascii="Times New Roman" w:eastAsia="Times New Roman" w:hAnsi="Times New Roman"/>
          <w:bCs/>
          <w:lang w:eastAsia="cs-CZ"/>
        </w:rPr>
        <w:t>108 Smlouvy o fungování Evropské unie na podporu de minimis, publikovaném v Úředním věstníku L č.352/2013 na straně 1 (dále jen „Nařízení komise“).</w:t>
      </w:r>
    </w:p>
    <w:p w14:paraId="0FFA231A" w14:textId="77777777" w:rsidR="00D153F5" w:rsidRPr="0096502F" w:rsidRDefault="00D153F5" w:rsidP="00D153F5">
      <w:pPr>
        <w:spacing w:after="0" w:line="240" w:lineRule="auto"/>
        <w:ind w:left="426"/>
        <w:jc w:val="both"/>
        <w:rPr>
          <w:rFonts w:ascii="Times New Roman" w:eastAsia="Times New Roman" w:hAnsi="Times New Roman"/>
          <w:bCs/>
          <w:lang w:eastAsia="cs-CZ"/>
        </w:rPr>
      </w:pPr>
    </w:p>
    <w:p w14:paraId="6C487729" w14:textId="039CBC32" w:rsidR="00BE65AC" w:rsidRPr="0096502F" w:rsidRDefault="00BE65AC" w:rsidP="0006295B">
      <w:pPr>
        <w:pStyle w:val="Odstavecseseznamem"/>
        <w:numPr>
          <w:ilvl w:val="0"/>
          <w:numId w:val="10"/>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prohlašuje, že v souladu s článkem 3 tohoto </w:t>
      </w:r>
      <w:r w:rsidRPr="0096502F">
        <w:rPr>
          <w:rFonts w:ascii="Times New Roman" w:hAnsi="Times New Roman"/>
          <w:iCs/>
        </w:rPr>
        <w:t>Nařízení komise</w:t>
      </w:r>
      <w:r w:rsidRPr="0096502F">
        <w:rPr>
          <w:rFonts w:ascii="Times New Roman" w:hAnsi="Times New Roman"/>
        </w:rPr>
        <w:t xml:space="preserve">, obdržel v předchozích 3 fiskálních letech od data účinnosti této smlouvy podporu de minimis a celková výše podpory de minimis, kterou tak </w:t>
      </w:r>
      <w:r w:rsidR="00E478E2" w:rsidRPr="0096502F">
        <w:rPr>
          <w:rFonts w:ascii="Times New Roman" w:hAnsi="Times New Roman"/>
        </w:rPr>
        <w:t>přijal, nepřesáhne 200.000 EUR.</w:t>
      </w:r>
    </w:p>
    <w:p w14:paraId="1843F923" w14:textId="78A74970" w:rsidR="00883ADE" w:rsidRPr="0096502F" w:rsidRDefault="00883ADE" w:rsidP="00D153F5">
      <w:pPr>
        <w:spacing w:after="0" w:line="240" w:lineRule="auto"/>
        <w:ind w:left="426" w:hanging="426"/>
        <w:jc w:val="both"/>
        <w:rPr>
          <w:rFonts w:ascii="Times New Roman" w:eastAsia="Times New Roman" w:hAnsi="Times New Roman"/>
          <w:bCs/>
          <w:lang w:eastAsia="cs-CZ"/>
        </w:rPr>
      </w:pPr>
    </w:p>
    <w:p w14:paraId="3EFA7CBB" w14:textId="08A43E6E" w:rsidR="00BE65AC" w:rsidRPr="0096502F" w:rsidRDefault="00BE65AC" w:rsidP="0006295B">
      <w:pPr>
        <w:numPr>
          <w:ilvl w:val="0"/>
          <w:numId w:val="11"/>
        </w:numPr>
        <w:tabs>
          <w:tab w:val="clear" w:pos="360"/>
        </w:tabs>
        <w:spacing w:after="0" w:line="240" w:lineRule="auto"/>
        <w:ind w:left="426" w:hanging="426"/>
        <w:jc w:val="both"/>
        <w:rPr>
          <w:rFonts w:ascii="Times New Roman" w:hAnsi="Times New Roman"/>
        </w:rPr>
      </w:pPr>
      <w:r w:rsidRPr="0096502F">
        <w:rPr>
          <w:rFonts w:ascii="Times New Roman" w:hAnsi="Times New Roman"/>
        </w:rPr>
        <w:t>Kurz pro přepočet částky do CZK je stanovený Evropskou centrální bankou zveřejňovaný na</w:t>
      </w:r>
      <w:r w:rsidR="00883ADE" w:rsidRPr="0096502F">
        <w:rPr>
          <w:rFonts w:ascii="Times New Roman" w:hAnsi="Times New Roman"/>
        </w:rPr>
        <w:t> </w:t>
      </w:r>
      <w:r w:rsidRPr="0096502F">
        <w:rPr>
          <w:rFonts w:ascii="Times New Roman" w:hAnsi="Times New Roman"/>
        </w:rPr>
        <w:t>webových stránkách ECB ke dni podpisu smlouvy.</w:t>
      </w:r>
    </w:p>
    <w:p w14:paraId="2A8FE328" w14:textId="77777777" w:rsidR="00BE65AC" w:rsidRPr="0096502F" w:rsidRDefault="00BE65AC" w:rsidP="0096502F">
      <w:pPr>
        <w:spacing w:after="0" w:line="240" w:lineRule="auto"/>
        <w:ind w:left="426" w:hanging="426"/>
        <w:jc w:val="both"/>
        <w:rPr>
          <w:rFonts w:ascii="Times New Roman" w:hAnsi="Times New Roman"/>
        </w:rPr>
      </w:pPr>
    </w:p>
    <w:p w14:paraId="6D0A4B79" w14:textId="27C04F5F" w:rsidR="00BE65AC" w:rsidRDefault="00BE65AC" w:rsidP="0006295B">
      <w:pPr>
        <w:numPr>
          <w:ilvl w:val="0"/>
          <w:numId w:val="11"/>
        </w:numPr>
        <w:tabs>
          <w:tab w:val="clear" w:pos="360"/>
        </w:tabs>
        <w:spacing w:after="0" w:line="240" w:lineRule="auto"/>
        <w:ind w:left="426" w:hanging="426"/>
        <w:jc w:val="both"/>
        <w:rPr>
          <w:rFonts w:ascii="Times New Roman" w:hAnsi="Times New Roman"/>
        </w:rPr>
      </w:pPr>
      <w:r w:rsidRPr="0096502F">
        <w:rPr>
          <w:rFonts w:ascii="Times New Roman" w:hAnsi="Times New Roman"/>
        </w:rPr>
        <w:t xml:space="preserve">Příjemce podpory dle smlouvy se zavazuje vrátit </w:t>
      </w:r>
      <w:r w:rsidR="00A9759E" w:rsidRPr="0096502F">
        <w:rPr>
          <w:rFonts w:ascii="Times New Roman" w:hAnsi="Times New Roman"/>
        </w:rPr>
        <w:t>poskytovateli</w:t>
      </w:r>
      <w:r w:rsidRPr="0096502F">
        <w:rPr>
          <w:rFonts w:ascii="Times New Roman" w:hAnsi="Times New Roman"/>
        </w:rPr>
        <w:t xml:space="preserve"> bez zbytečného odkladu poskytnutou podporu včetně úroků podle </w:t>
      </w:r>
      <w:r w:rsidRPr="0096502F">
        <w:rPr>
          <w:rFonts w:ascii="Times New Roman" w:hAnsi="Times New Roman"/>
          <w:iCs/>
        </w:rPr>
        <w:t>Nařízení komise</w:t>
      </w:r>
      <w:r w:rsidRPr="0096502F">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96502F">
        <w:rPr>
          <w:rStyle w:val="Znakapoznpodarou"/>
          <w:rFonts w:ascii="Times New Roman" w:hAnsi="Times New Roman"/>
        </w:rPr>
        <w:footnoteReference w:id="1"/>
      </w:r>
      <w:r w:rsidRPr="0096502F">
        <w:rPr>
          <w:rFonts w:ascii="Times New Roman" w:hAnsi="Times New Roman"/>
        </w:rPr>
        <w:t xml:space="preserve"> buď o vrácení podpory, prozatímním navrácení podpory nebo</w:t>
      </w:r>
      <w:r w:rsidR="00AB7308">
        <w:rPr>
          <w:rFonts w:ascii="Times New Roman" w:hAnsi="Times New Roman"/>
        </w:rPr>
        <w:t> </w:t>
      </w:r>
      <w:r w:rsidRPr="0096502F">
        <w:rPr>
          <w:rFonts w:ascii="Times New Roman" w:hAnsi="Times New Roman"/>
        </w:rPr>
        <w:t>o</w:t>
      </w:r>
      <w:r w:rsidR="00AB7308">
        <w:rPr>
          <w:rFonts w:ascii="Times New Roman" w:hAnsi="Times New Roman"/>
        </w:rPr>
        <w:t> </w:t>
      </w:r>
      <w:r w:rsidRPr="0096502F">
        <w:rPr>
          <w:rFonts w:ascii="Times New Roman" w:hAnsi="Times New Roman"/>
        </w:rPr>
        <w:t>pozastavení podpory.</w:t>
      </w:r>
    </w:p>
    <w:p w14:paraId="17B1B2CD" w14:textId="77777777" w:rsidR="005C055A" w:rsidRPr="0096502F" w:rsidRDefault="005C055A" w:rsidP="005C055A">
      <w:pPr>
        <w:spacing w:after="0" w:line="240" w:lineRule="auto"/>
        <w:jc w:val="both"/>
        <w:rPr>
          <w:rFonts w:ascii="Times New Roman" w:hAnsi="Times New Roman"/>
        </w:rPr>
      </w:pPr>
    </w:p>
    <w:bookmarkEnd w:id="11"/>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4379695C" w:rsidR="0014413C"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w:t>
      </w:r>
      <w:r w:rsidR="008C4DA3" w:rsidRPr="0096502F">
        <w:rPr>
          <w:rFonts w:ascii="Times New Roman" w:eastAsia="Times New Roman" w:hAnsi="Times New Roman"/>
          <w:lang w:eastAsia="cs-CZ"/>
        </w:rPr>
        <w:t>dle smlouvy</w:t>
      </w:r>
      <w:r w:rsidRPr="0096502F">
        <w:rPr>
          <w:rFonts w:ascii="Times New Roman" w:eastAsia="Times New Roman" w:hAnsi="Times New Roman"/>
          <w:lang w:eastAsia="cs-CZ"/>
        </w:rPr>
        <w:t xml:space="preserve">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59115B0E" w14:textId="77777777" w:rsidR="00B579B9" w:rsidRPr="0096502F" w:rsidRDefault="00B579B9" w:rsidP="00B579B9">
      <w:pPr>
        <w:spacing w:after="0" w:line="240" w:lineRule="auto"/>
        <w:jc w:val="both"/>
        <w:rPr>
          <w:rFonts w:ascii="Times New Roman" w:eastAsia="Times New Roman" w:hAnsi="Times New Roman"/>
          <w:lang w:eastAsia="cs-CZ"/>
        </w:rPr>
      </w:pPr>
    </w:p>
    <w:p w14:paraId="481E1F56" w14:textId="46A4EF39" w:rsidR="00B579B9" w:rsidRDefault="00280C54" w:rsidP="00B579B9">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w:t>
      </w:r>
      <w:r w:rsidR="004F62CD" w:rsidRPr="00D5683C">
        <w:rPr>
          <w:rFonts w:ascii="Times New Roman" w:eastAsia="Times New Roman" w:hAnsi="Times New Roman"/>
          <w:lang w:eastAsia="cs-CZ"/>
        </w:rPr>
        <w:t xml:space="preserve">vyhotovena ve </w:t>
      </w:r>
      <w:r w:rsidR="00CC27A8" w:rsidRPr="00D5683C">
        <w:rPr>
          <w:rFonts w:ascii="Times New Roman" w:eastAsia="Times New Roman" w:hAnsi="Times New Roman"/>
          <w:lang w:eastAsia="cs-CZ"/>
        </w:rPr>
        <w:t>3</w:t>
      </w:r>
      <w:r w:rsidR="004F62CD" w:rsidRPr="00D5683C">
        <w:rPr>
          <w:rFonts w:ascii="Times New Roman" w:eastAsia="Times New Roman" w:hAnsi="Times New Roman"/>
          <w:lang w:eastAsia="cs-CZ"/>
        </w:rPr>
        <w:t xml:space="preserve"> vyhotoveních, z nichž 2 obdrží poskytovatel a 1 příjemce.</w:t>
      </w:r>
    </w:p>
    <w:p w14:paraId="407A3466" w14:textId="77777777" w:rsidR="00B579B9" w:rsidRDefault="00B579B9" w:rsidP="00B579B9">
      <w:pPr>
        <w:spacing w:after="0" w:line="240" w:lineRule="auto"/>
        <w:ind w:left="426"/>
        <w:jc w:val="both"/>
        <w:rPr>
          <w:rFonts w:ascii="Times New Roman" w:eastAsia="Times New Roman" w:hAnsi="Times New Roman"/>
          <w:lang w:eastAsia="cs-CZ"/>
        </w:rPr>
      </w:pPr>
    </w:p>
    <w:p w14:paraId="6D6E4D91" w14:textId="77777777" w:rsidR="005A01BD" w:rsidRDefault="00280C54" w:rsidP="005A01BD">
      <w:pPr>
        <w:numPr>
          <w:ilvl w:val="0"/>
          <w:numId w:val="4"/>
        </w:numPr>
        <w:spacing w:after="0" w:line="240" w:lineRule="auto"/>
        <w:ind w:left="426" w:hanging="426"/>
        <w:jc w:val="both"/>
        <w:rPr>
          <w:rFonts w:ascii="Times New Roman" w:eastAsia="Times New Roman" w:hAnsi="Times New Roman"/>
          <w:lang w:eastAsia="cs-CZ"/>
        </w:rPr>
      </w:pPr>
      <w:r w:rsidRPr="00B579B9">
        <w:rPr>
          <w:rFonts w:ascii="Times New Roman" w:eastAsia="Times New Roman" w:hAnsi="Times New Roman"/>
          <w:lang w:eastAsia="cs-CZ"/>
        </w:rPr>
        <w:t>S</w:t>
      </w:r>
      <w:r w:rsidR="00E73920" w:rsidRPr="00B579B9">
        <w:rPr>
          <w:rFonts w:ascii="Times New Roman" w:eastAsia="Times New Roman" w:hAnsi="Times New Roman"/>
          <w:lang w:eastAsia="cs-CZ"/>
        </w:rPr>
        <w:t>mlouva nabývá platnosti dnem podpisu smluvních stran</w:t>
      </w:r>
      <w:r w:rsidR="0058028B" w:rsidRPr="00B579B9">
        <w:rPr>
          <w:rFonts w:ascii="Times New Roman" w:eastAsia="Times New Roman" w:hAnsi="Times New Roman"/>
          <w:lang w:eastAsia="cs-CZ"/>
        </w:rPr>
        <w:t>.</w:t>
      </w:r>
      <w:r w:rsidR="00E73920" w:rsidRPr="00B579B9">
        <w:rPr>
          <w:rFonts w:ascii="Times New Roman" w:eastAsia="Times New Roman" w:hAnsi="Times New Roman"/>
          <w:lang w:eastAsia="cs-CZ"/>
        </w:rPr>
        <w:t xml:space="preserve"> </w:t>
      </w:r>
    </w:p>
    <w:p w14:paraId="3BA299E1" w14:textId="77777777" w:rsidR="005A01BD" w:rsidRDefault="005A01BD" w:rsidP="005A01BD">
      <w:pPr>
        <w:pStyle w:val="Odstavecseseznamem"/>
        <w:rPr>
          <w:rFonts w:ascii="Times New Roman" w:eastAsia="Times New Roman" w:hAnsi="Times New Roman"/>
          <w:lang w:eastAsia="cs-CZ"/>
        </w:rPr>
      </w:pPr>
    </w:p>
    <w:p w14:paraId="7F38AE6D" w14:textId="1F8932CB" w:rsidR="00B579B9" w:rsidRPr="005A01BD" w:rsidRDefault="00280C54" w:rsidP="005A01BD">
      <w:pPr>
        <w:numPr>
          <w:ilvl w:val="0"/>
          <w:numId w:val="4"/>
        </w:numPr>
        <w:spacing w:after="0" w:line="240" w:lineRule="auto"/>
        <w:ind w:left="426" w:hanging="426"/>
        <w:jc w:val="both"/>
        <w:rPr>
          <w:rFonts w:ascii="Times New Roman" w:eastAsia="Times New Roman" w:hAnsi="Times New Roman"/>
          <w:lang w:eastAsia="cs-CZ"/>
        </w:rPr>
      </w:pPr>
      <w:r w:rsidRPr="005A01BD">
        <w:rPr>
          <w:rFonts w:ascii="Times New Roman" w:eastAsia="Times New Roman" w:hAnsi="Times New Roman"/>
          <w:lang w:eastAsia="cs-CZ"/>
        </w:rPr>
        <w:t>S</w:t>
      </w:r>
      <w:r w:rsidR="00360341" w:rsidRPr="005A01BD">
        <w:rPr>
          <w:rFonts w:ascii="Times New Roman" w:eastAsia="Times New Roman" w:hAnsi="Times New Roman"/>
          <w:lang w:eastAsia="cs-CZ"/>
        </w:rPr>
        <w:t>mlouva nabývá účinnost</w:t>
      </w:r>
      <w:r w:rsidR="00E73920" w:rsidRPr="005A01BD">
        <w:rPr>
          <w:rFonts w:ascii="Times New Roman" w:eastAsia="Times New Roman" w:hAnsi="Times New Roman"/>
          <w:lang w:eastAsia="cs-CZ"/>
        </w:rPr>
        <w:t>i</w:t>
      </w:r>
      <w:r w:rsidR="00360341" w:rsidRPr="005A01BD">
        <w:rPr>
          <w:rFonts w:ascii="Times New Roman" w:eastAsia="Times New Roman" w:hAnsi="Times New Roman"/>
          <w:lang w:eastAsia="cs-CZ"/>
        </w:rPr>
        <w:t xml:space="preserve"> </w:t>
      </w:r>
      <w:r w:rsidR="00E73920" w:rsidRPr="005A01BD">
        <w:rPr>
          <w:rFonts w:ascii="Times New Roman" w:eastAsia="Times New Roman" w:hAnsi="Times New Roman"/>
          <w:lang w:eastAsia="cs-CZ"/>
        </w:rPr>
        <w:t>dnem</w:t>
      </w:r>
      <w:r w:rsidR="00360341" w:rsidRPr="005A01BD">
        <w:rPr>
          <w:rFonts w:ascii="Times New Roman" w:eastAsia="Times New Roman" w:hAnsi="Times New Roman"/>
          <w:lang w:eastAsia="cs-CZ"/>
        </w:rPr>
        <w:t xml:space="preserve"> </w:t>
      </w:r>
      <w:r w:rsidR="00E73920" w:rsidRPr="005A01BD">
        <w:rPr>
          <w:rFonts w:ascii="Times New Roman" w:eastAsia="Times New Roman" w:hAnsi="Times New Roman"/>
          <w:lang w:eastAsia="cs-CZ"/>
        </w:rPr>
        <w:t>zveřejnění</w:t>
      </w:r>
      <w:r w:rsidR="00360341" w:rsidRPr="005A01BD">
        <w:rPr>
          <w:rFonts w:ascii="Times New Roman" w:eastAsia="Times New Roman" w:hAnsi="Times New Roman"/>
          <w:lang w:eastAsia="cs-CZ"/>
        </w:rPr>
        <w:t xml:space="preserve"> v registru smluv dle zákona č. 340/2015 Sb., o</w:t>
      </w:r>
      <w:r w:rsidR="00661774" w:rsidRPr="005A01BD">
        <w:rPr>
          <w:rFonts w:ascii="Times New Roman" w:eastAsia="Times New Roman" w:hAnsi="Times New Roman"/>
          <w:lang w:eastAsia="cs-CZ"/>
        </w:rPr>
        <w:t> </w:t>
      </w:r>
      <w:r w:rsidR="00360341" w:rsidRPr="005A01BD">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5A01BD">
        <w:rPr>
          <w:rFonts w:ascii="Times New Roman" w:eastAsia="Times New Roman" w:hAnsi="Times New Roman"/>
          <w:lang w:eastAsia="cs-CZ"/>
        </w:rPr>
        <w:t>.</w:t>
      </w:r>
      <w:r w:rsidR="00360341" w:rsidRPr="005A01BD">
        <w:rPr>
          <w:rFonts w:ascii="Times New Roman" w:eastAsia="Times New Roman" w:hAnsi="Times New Roman"/>
          <w:lang w:eastAsia="cs-CZ"/>
        </w:rPr>
        <w:t xml:space="preserve"> Smluvní strany se dohodly, že uveřejnění smlouvy v registru smluv provede poskytovatel</w:t>
      </w:r>
      <w:r w:rsidR="00661774" w:rsidRPr="005A01BD">
        <w:rPr>
          <w:rFonts w:ascii="Times New Roman" w:eastAsia="Times New Roman" w:hAnsi="Times New Roman"/>
          <w:lang w:eastAsia="cs-CZ"/>
        </w:rPr>
        <w:t>.</w:t>
      </w:r>
      <w:r w:rsidR="00360341" w:rsidRPr="005A01BD">
        <w:rPr>
          <w:rFonts w:ascii="Times New Roman" w:eastAsia="Times New Roman" w:hAnsi="Times New Roman"/>
          <w:lang w:eastAsia="cs-CZ"/>
        </w:rPr>
        <w:t xml:space="preserve"> </w:t>
      </w:r>
      <w:r w:rsidR="00661774" w:rsidRPr="005A01BD">
        <w:rPr>
          <w:rFonts w:ascii="Times New Roman" w:eastAsia="Times New Roman" w:hAnsi="Times New Roman"/>
          <w:lang w:eastAsia="cs-CZ"/>
        </w:rPr>
        <w:t>K</w:t>
      </w:r>
      <w:r w:rsidR="00360341" w:rsidRPr="005A01BD">
        <w:rPr>
          <w:rFonts w:ascii="Times New Roman" w:eastAsia="Times New Roman" w:hAnsi="Times New Roman"/>
          <w:lang w:eastAsia="cs-CZ"/>
        </w:rPr>
        <w:t>ontakt na doručení oznámení o vkladu smluvním protistranám</w:t>
      </w:r>
      <w:r w:rsidR="00661774" w:rsidRPr="005A01BD">
        <w:rPr>
          <w:rFonts w:ascii="Times New Roman" w:eastAsia="Times New Roman" w:hAnsi="Times New Roman"/>
          <w:lang w:eastAsia="cs-CZ"/>
        </w:rPr>
        <w:t xml:space="preserve"> je uveden v</w:t>
      </w:r>
      <w:r w:rsidR="00B34A40" w:rsidRPr="005A01BD">
        <w:rPr>
          <w:rFonts w:ascii="Times New Roman" w:eastAsia="Times New Roman" w:hAnsi="Times New Roman"/>
          <w:lang w:eastAsia="cs-CZ"/>
        </w:rPr>
        <w:t> záhlaví smlouvy u</w:t>
      </w:r>
      <w:r w:rsidR="00661774" w:rsidRPr="005A01BD">
        <w:rPr>
          <w:rFonts w:ascii="Times New Roman" w:eastAsia="Times New Roman" w:hAnsi="Times New Roman"/>
          <w:lang w:eastAsia="cs-CZ"/>
        </w:rPr>
        <w:t> </w:t>
      </w:r>
      <w:r w:rsidR="00B34A40" w:rsidRPr="005A01BD">
        <w:rPr>
          <w:rFonts w:ascii="Times New Roman" w:eastAsia="Times New Roman" w:hAnsi="Times New Roman"/>
          <w:lang w:eastAsia="cs-CZ"/>
        </w:rPr>
        <w:t>příjemce</w:t>
      </w:r>
      <w:r w:rsidR="00661774" w:rsidRPr="005A01BD">
        <w:rPr>
          <w:rFonts w:ascii="Times New Roman" w:eastAsia="Times New Roman" w:hAnsi="Times New Roman"/>
          <w:lang w:eastAsia="cs-CZ"/>
        </w:rPr>
        <w:t>.</w:t>
      </w:r>
    </w:p>
    <w:p w14:paraId="422D8B58" w14:textId="3BAD378B" w:rsidR="00CC27A8" w:rsidRPr="0096502F" w:rsidRDefault="00B579B9" w:rsidP="00B579B9">
      <w:pPr>
        <w:spacing w:after="0" w:line="240" w:lineRule="auto"/>
        <w:ind w:left="426"/>
        <w:jc w:val="both"/>
        <w:rPr>
          <w:rFonts w:ascii="Times New Roman" w:eastAsia="Times New Roman" w:hAnsi="Times New Roman"/>
          <w:lang w:eastAsia="cs-CZ"/>
        </w:rPr>
      </w:pPr>
      <w:r w:rsidRPr="0096502F">
        <w:rPr>
          <w:rFonts w:ascii="Times New Roman" w:eastAsia="Times New Roman" w:hAnsi="Times New Roman"/>
          <w:lang w:eastAsia="cs-CZ"/>
        </w:rPr>
        <w:t xml:space="preserve"> </w:t>
      </w:r>
    </w:p>
    <w:p w14:paraId="259E1A4A" w14:textId="36D0E024" w:rsidR="0014413C" w:rsidRDefault="0014413C" w:rsidP="0006295B">
      <w:pPr>
        <w:pStyle w:val="Odstavecseseznamem"/>
        <w:numPr>
          <w:ilvl w:val="0"/>
          <w:numId w:val="13"/>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0655E42F" w14:textId="77777777" w:rsidR="00B579B9" w:rsidRPr="00B579B9" w:rsidRDefault="00B579B9" w:rsidP="00B579B9">
      <w:pPr>
        <w:pStyle w:val="Odstavecseseznamem"/>
        <w:rPr>
          <w:rFonts w:ascii="Times New Roman" w:eastAsia="Times New Roman" w:hAnsi="Times New Roman"/>
          <w:lang w:eastAsia="cs-CZ"/>
        </w:rPr>
      </w:pPr>
    </w:p>
    <w:p w14:paraId="77463E4E" w14:textId="45A2C62E" w:rsidR="0014413C" w:rsidRPr="0096502F" w:rsidRDefault="0014413C" w:rsidP="0006295B">
      <w:pPr>
        <w:pStyle w:val="Odstavecseseznamem"/>
        <w:numPr>
          <w:ilvl w:val="0"/>
          <w:numId w:val="13"/>
        </w:numPr>
        <w:tabs>
          <w:tab w:val="clear" w:pos="1680"/>
        </w:tabs>
        <w:spacing w:after="0" w:line="240" w:lineRule="auto"/>
        <w:ind w:left="426" w:hanging="426"/>
        <w:jc w:val="both"/>
        <w:rPr>
          <w:rFonts w:ascii="Times New Roman" w:eastAsia="Times New Roman" w:hAnsi="Times New Roman"/>
          <w:lang w:eastAsia="cs-CZ"/>
        </w:rPr>
      </w:pPr>
      <w:r w:rsidRPr="00B579B9">
        <w:rPr>
          <w:rFonts w:ascii="Times New Roman" w:eastAsia="Times New Roman" w:hAnsi="Times New Roman"/>
          <w:lang w:eastAsia="cs-CZ"/>
        </w:rPr>
        <w:t>O poskytnutí dotace a uzavření veřejnoprávní smlouvy rozhodla v souladu s ustanovením § 59 odst. 2 písm. a) zákona č.</w:t>
      </w:r>
      <w:r w:rsidR="005672DF" w:rsidRPr="00B579B9">
        <w:rPr>
          <w:rFonts w:ascii="Times New Roman" w:eastAsia="Times New Roman" w:hAnsi="Times New Roman"/>
          <w:lang w:eastAsia="cs-CZ"/>
        </w:rPr>
        <w:t xml:space="preserve"> </w:t>
      </w:r>
      <w:r w:rsidRPr="00B579B9">
        <w:rPr>
          <w:rFonts w:ascii="Times New Roman" w:eastAsia="Times New Roman" w:hAnsi="Times New Roman"/>
          <w:lang w:eastAsia="cs-CZ"/>
        </w:rPr>
        <w:t>129/2000 Sb., o krajích</w:t>
      </w:r>
      <w:r w:rsidR="004766E0" w:rsidRPr="00B579B9">
        <w:rPr>
          <w:rFonts w:ascii="Times New Roman" w:eastAsia="Times New Roman" w:hAnsi="Times New Roman"/>
          <w:lang w:eastAsia="cs-CZ"/>
        </w:rPr>
        <w:t xml:space="preserve"> (krajské zřízení)</w:t>
      </w:r>
      <w:r w:rsidRPr="00B579B9">
        <w:rPr>
          <w:rFonts w:ascii="Times New Roman" w:eastAsia="Times New Roman" w:hAnsi="Times New Roman"/>
          <w:lang w:eastAsia="cs-CZ"/>
        </w:rPr>
        <w:t xml:space="preserve">, ve znění pozdějších předpisů, Rada Karlovarského kraje usnesením č. </w:t>
      </w:r>
      <w:r w:rsidR="00FB6CCD">
        <w:rPr>
          <w:rFonts w:ascii="Times New Roman" w:eastAsia="Times New Roman" w:hAnsi="Times New Roman"/>
          <w:lang w:eastAsia="cs-CZ"/>
        </w:rPr>
        <w:t>RK 1218/11/20 ze dne 09.11.2020.</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B91E3B" w:rsidRPr="0096502F" w14:paraId="656DD215" w14:textId="2F749644" w:rsidTr="00145607">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6ECD67DC"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265B39">
              <w:rPr>
                <w:rFonts w:ascii="Times New Roman" w:eastAsia="Times New Roman" w:hAnsi="Times New Roman"/>
                <w:lang w:eastAsia="cs-CZ"/>
              </w:rPr>
              <w:t xml:space="preserve"> </w:t>
            </w:r>
            <w:r w:rsidR="00BE3471">
              <w:rPr>
                <w:rFonts w:ascii="Times New Roman" w:eastAsia="Times New Roman" w:hAnsi="Times New Roman"/>
                <w:lang w:eastAsia="cs-CZ"/>
              </w:rPr>
              <w:t xml:space="preserve">   </w:t>
            </w:r>
            <w:r w:rsidR="00265B39">
              <w:rPr>
                <w:rFonts w:ascii="Times New Roman" w:eastAsia="Times New Roman" w:hAnsi="Times New Roman"/>
                <w:lang w:eastAsia="cs-CZ"/>
              </w:rPr>
              <w:t xml:space="preserve">   </w:t>
            </w:r>
          </w:p>
        </w:tc>
        <w:tc>
          <w:tcPr>
            <w:tcW w:w="2265" w:type="dxa"/>
            <w:vAlign w:val="center"/>
          </w:tcPr>
          <w:p w14:paraId="4AB38E7B" w14:textId="7F4C00E4" w:rsidR="00B91E3B" w:rsidRPr="0096502F" w:rsidRDefault="00BE3471" w:rsidP="0014560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Habartov</w:t>
            </w:r>
          </w:p>
        </w:tc>
        <w:tc>
          <w:tcPr>
            <w:tcW w:w="2266" w:type="dxa"/>
            <w:vAlign w:val="center"/>
          </w:tcPr>
          <w:p w14:paraId="63469B04" w14:textId="5916661F" w:rsidR="00B91E3B" w:rsidRPr="0096502F" w:rsidRDefault="000B0985"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D</w:t>
            </w:r>
            <w:r w:rsidR="00B91E3B">
              <w:rPr>
                <w:rFonts w:ascii="Times New Roman" w:eastAsia="Times New Roman" w:hAnsi="Times New Roman"/>
                <w:lang w:eastAsia="cs-CZ"/>
              </w:rPr>
              <w:t>ne</w:t>
            </w:r>
            <w:r>
              <w:rPr>
                <w:rFonts w:ascii="Times New Roman" w:eastAsia="Times New Roman" w:hAnsi="Times New Roman"/>
                <w:lang w:eastAsia="cs-CZ"/>
              </w:rPr>
              <w:t xml:space="preserve">           </w:t>
            </w:r>
          </w:p>
        </w:tc>
      </w:tr>
    </w:tbl>
    <w:p w14:paraId="7D4AB6A9" w14:textId="2DDFCC49" w:rsidR="00C52226" w:rsidRPr="0096502F" w:rsidRDefault="00C52226" w:rsidP="002D2CA1">
      <w:pPr>
        <w:tabs>
          <w:tab w:val="left" w:pos="2127"/>
          <w:tab w:val="left" w:pos="2214"/>
        </w:tabs>
        <w:spacing w:after="0" w:line="240" w:lineRule="auto"/>
        <w:rPr>
          <w:rFonts w:ascii="Times New Roman" w:eastAsia="Times New Roman" w:hAnsi="Times New Roman"/>
          <w:i/>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96502F" w14:paraId="77B3BBD9" w14:textId="77777777" w:rsidTr="00543233">
        <w:trPr>
          <w:trHeight w:val="1536"/>
        </w:trPr>
        <w:tc>
          <w:tcPr>
            <w:tcW w:w="4534" w:type="dxa"/>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FAD78B0"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w:t>
            </w:r>
            <w:r w:rsidR="00C107E4">
              <w:rPr>
                <w:rFonts w:ascii="Times New Roman" w:eastAsia="Times New Roman" w:hAnsi="Times New Roman"/>
                <w:lang w:eastAsia="cs-CZ"/>
              </w:rPr>
              <w:t>……..</w:t>
            </w:r>
            <w:r w:rsidR="009A27A4" w:rsidRPr="0096502F">
              <w:rPr>
                <w:rFonts w:ascii="Times New Roman" w:eastAsia="Times New Roman" w:hAnsi="Times New Roman"/>
                <w:lang w:eastAsia="cs-CZ"/>
              </w:rPr>
              <w:t>... .....</w:t>
            </w:r>
            <w:r w:rsidR="00FE6835">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w:t>
            </w:r>
          </w:p>
          <w:p w14:paraId="27A277FD" w14:textId="3DF7235F" w:rsidR="00911A5C" w:rsidRDefault="00911A5C" w:rsidP="00BE65AC">
            <w:pPr>
              <w:spacing w:after="0" w:line="240" w:lineRule="auto"/>
              <w:jc w:val="center"/>
              <w:rPr>
                <w:rFonts w:ascii="Times New Roman" w:eastAsia="Times New Roman" w:hAnsi="Times New Roman"/>
                <w:lang w:eastAsia="cs-CZ"/>
              </w:rPr>
            </w:pPr>
            <w:r w:rsidRPr="00911A5C">
              <w:rPr>
                <w:rFonts w:ascii="Times New Roman" w:eastAsia="Times New Roman" w:hAnsi="Times New Roman"/>
                <w:lang w:eastAsia="cs-CZ"/>
              </w:rPr>
              <w:t>Mgr. Petr Kubis,</w:t>
            </w:r>
            <w:r>
              <w:rPr>
                <w:rFonts w:ascii="Times New Roman" w:eastAsia="Times New Roman" w:hAnsi="Times New Roman"/>
                <w:lang w:eastAsia="cs-CZ"/>
              </w:rPr>
              <w:t xml:space="preserve"> </w:t>
            </w:r>
            <w:r w:rsidRPr="00911A5C">
              <w:rPr>
                <w:rFonts w:ascii="Times New Roman" w:eastAsia="Times New Roman" w:hAnsi="Times New Roman"/>
                <w:lang w:eastAsia="cs-CZ"/>
              </w:rPr>
              <w:t>hejtman</w:t>
            </w:r>
            <w:r w:rsidRPr="00C52226">
              <w:rPr>
                <w:rFonts w:ascii="Times New Roman" w:eastAsia="Times New Roman" w:hAnsi="Times New Roman"/>
                <w:lang w:eastAsia="cs-CZ"/>
              </w:rPr>
              <w:t xml:space="preserve"> </w:t>
            </w:r>
            <w:r w:rsidR="00FE6835">
              <w:rPr>
                <w:rFonts w:ascii="Times New Roman" w:eastAsia="Times New Roman" w:hAnsi="Times New Roman"/>
                <w:lang w:eastAsia="cs-CZ"/>
              </w:rPr>
              <w:t>Karlovarského kraje</w:t>
            </w:r>
          </w:p>
          <w:p w14:paraId="4507D2CA" w14:textId="2975CF67"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02D368F8" w14:textId="77777777" w:rsidR="00FB6CCD" w:rsidRDefault="00FB6CCD" w:rsidP="00BE65AC">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 xml:space="preserve">Ing. Tomáš Musil, </w:t>
            </w:r>
            <w:proofErr w:type="spellStart"/>
            <w:r>
              <w:rPr>
                <w:rFonts w:ascii="Times New Roman" w:eastAsia="Times New Roman" w:hAnsi="Times New Roman"/>
                <w:lang w:eastAsia="cs-CZ"/>
              </w:rPr>
              <w:t>iEN</w:t>
            </w:r>
            <w:proofErr w:type="spellEnd"/>
            <w:r>
              <w:rPr>
                <w:rFonts w:ascii="Times New Roman" w:eastAsia="Times New Roman" w:hAnsi="Times New Roman"/>
                <w:lang w:eastAsia="cs-CZ"/>
              </w:rPr>
              <w:t>, jednatel</w:t>
            </w:r>
            <w:r w:rsidRPr="00C52226">
              <w:rPr>
                <w:rFonts w:ascii="Times New Roman" w:eastAsia="Times New Roman" w:hAnsi="Times New Roman"/>
                <w:lang w:eastAsia="cs-CZ"/>
              </w:rPr>
              <w:t xml:space="preserve"> </w:t>
            </w:r>
          </w:p>
          <w:p w14:paraId="3E705D2F" w14:textId="3FA6F35F" w:rsidR="00C52226" w:rsidRPr="0096502F" w:rsidRDefault="00C52226"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50A7B895" w14:textId="486B9268" w:rsidR="00C52226" w:rsidRPr="0096502F" w:rsidRDefault="00C52226" w:rsidP="002D2CA1">
      <w:pPr>
        <w:tabs>
          <w:tab w:val="left" w:pos="2127"/>
          <w:tab w:val="left" w:pos="2214"/>
        </w:tabs>
        <w:spacing w:after="0" w:line="240" w:lineRule="auto"/>
        <w:rPr>
          <w:rFonts w:ascii="Times New Roman" w:eastAsia="Times New Roman" w:hAnsi="Times New Roman"/>
          <w:i/>
          <w:lang w:eastAsia="cs-CZ"/>
        </w:rPr>
      </w:pPr>
    </w:p>
    <w:p w14:paraId="41DEB6E3" w14:textId="61DC8BD3"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55419D80" w14:textId="2EB9F6B9" w:rsidR="00204FA7" w:rsidRDefault="00204FA7" w:rsidP="00A455B7">
      <w:pPr>
        <w:pStyle w:val="Zhlav"/>
        <w:tabs>
          <w:tab w:val="left" w:pos="708"/>
        </w:tabs>
        <w:spacing w:line="276" w:lineRule="auto"/>
        <w:jc w:val="both"/>
        <w:rPr>
          <w:caps/>
          <w:color w:val="FF0000"/>
          <w:sz w:val="22"/>
          <w:szCs w:val="22"/>
          <w:u w:val="single"/>
        </w:rPr>
      </w:pPr>
      <w:bookmarkStart w:id="12" w:name="_Hlk31185227"/>
      <w:r>
        <w:rPr>
          <w:sz w:val="22"/>
          <w:szCs w:val="22"/>
          <w:u w:val="single"/>
        </w:rPr>
        <w:t xml:space="preserve">Pravidla pro příjem a hodnocení žádostí, poskytnutí a finančního vypořádání dotace z rozpočtu Karlovarského kraje dotačního programu „Program rozvoje konkurenceschopnosti Karlovarského kraje“ </w:t>
      </w:r>
    </w:p>
    <w:bookmarkEnd w:id="12"/>
    <w:p w14:paraId="5BCA2AFA" w14:textId="6FE0A18F" w:rsidR="00EF04B3" w:rsidRDefault="00EF04B3" w:rsidP="00BE65AC">
      <w:pPr>
        <w:spacing w:after="0" w:line="240" w:lineRule="auto"/>
        <w:rPr>
          <w:rFonts w:ascii="Times New Roman" w:eastAsia="Times New Roman" w:hAnsi="Times New Roman"/>
          <w:lang w:eastAsia="cs-CZ"/>
        </w:rPr>
      </w:pPr>
    </w:p>
    <w:p w14:paraId="1966224F" w14:textId="77777777" w:rsidR="0054069D" w:rsidRDefault="0054069D" w:rsidP="00177E6D">
      <w:pPr>
        <w:spacing w:after="0" w:line="240" w:lineRule="auto"/>
        <w:rPr>
          <w:rFonts w:ascii="Times New Roman" w:eastAsia="Times New Roman" w:hAnsi="Times New Roman"/>
          <w:lang w:eastAsia="cs-CZ"/>
        </w:rPr>
      </w:pPr>
    </w:p>
    <w:p w14:paraId="5022E8BB" w14:textId="77777777" w:rsidR="0054069D" w:rsidRDefault="0054069D" w:rsidP="00177E6D">
      <w:pPr>
        <w:spacing w:after="0" w:line="240" w:lineRule="auto"/>
        <w:rPr>
          <w:rFonts w:ascii="Times New Roman" w:eastAsia="Times New Roman" w:hAnsi="Times New Roman"/>
          <w:lang w:eastAsia="cs-CZ"/>
        </w:rPr>
      </w:pPr>
    </w:p>
    <w:p w14:paraId="54AAD322" w14:textId="77777777" w:rsidR="0054069D" w:rsidRDefault="0054069D" w:rsidP="00177E6D">
      <w:pPr>
        <w:spacing w:after="0" w:line="240" w:lineRule="auto"/>
        <w:rPr>
          <w:rFonts w:ascii="Times New Roman" w:eastAsia="Times New Roman" w:hAnsi="Times New Roman"/>
          <w:lang w:eastAsia="cs-CZ"/>
        </w:rPr>
      </w:pPr>
    </w:p>
    <w:p w14:paraId="08903C0E" w14:textId="12C857B7" w:rsidR="0054069D" w:rsidRDefault="00177E6D" w:rsidP="00591D4B">
      <w:pPr>
        <w:spacing w:after="0" w:line="240" w:lineRule="auto"/>
        <w:rPr>
          <w:rFonts w:ascii="Times New Roman" w:eastAsia="Times New Roman" w:hAnsi="Times New Roman"/>
          <w:sz w:val="20"/>
          <w:szCs w:val="20"/>
          <w:lang w:eastAsia="cs-CZ"/>
        </w:rPr>
      </w:pPr>
      <w:r w:rsidRPr="00406CC0">
        <w:rPr>
          <w:rFonts w:ascii="Times New Roman" w:eastAsia="Times New Roman" w:hAnsi="Times New Roman"/>
          <w:lang w:eastAsia="cs-CZ"/>
        </w:rPr>
        <w:t>Za správnost:</w:t>
      </w:r>
      <w:r w:rsidR="0054069D" w:rsidRPr="0054069D">
        <w:rPr>
          <w:rFonts w:ascii="Times New Roman" w:eastAsia="Times New Roman" w:hAnsi="Times New Roman"/>
          <w:lang w:eastAsia="cs-CZ"/>
        </w:rPr>
        <w:t xml:space="preserve"> </w:t>
      </w:r>
      <w:r w:rsidR="0054069D">
        <w:rPr>
          <w:rFonts w:ascii="Times New Roman" w:eastAsia="Times New Roman" w:hAnsi="Times New Roman"/>
          <w:lang w:eastAsia="cs-CZ"/>
        </w:rPr>
        <w:t>Iveta Grünerová</w:t>
      </w:r>
    </w:p>
    <w:p w14:paraId="2AD9D5EF" w14:textId="77777777" w:rsidR="00591D4B" w:rsidRDefault="00591D4B" w:rsidP="00591D4B">
      <w:pPr>
        <w:spacing w:after="0" w:line="240" w:lineRule="auto"/>
        <w:rPr>
          <w:rFonts w:ascii="Times New Roman" w:eastAsia="Times New Roman" w:hAnsi="Times New Roman"/>
          <w:lang w:eastAsia="cs-CZ"/>
        </w:rPr>
      </w:pPr>
    </w:p>
    <w:sectPr w:rsidR="00591D4B" w:rsidSect="00357618">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111F8" w14:textId="77777777" w:rsidR="00C458D3" w:rsidRDefault="00C458D3" w:rsidP="00BE360F">
      <w:pPr>
        <w:spacing w:after="0" w:line="240" w:lineRule="auto"/>
      </w:pPr>
      <w:r>
        <w:separator/>
      </w:r>
    </w:p>
  </w:endnote>
  <w:endnote w:type="continuationSeparator" w:id="0">
    <w:p w14:paraId="7212CE19" w14:textId="77777777" w:rsidR="00C458D3" w:rsidRDefault="00C458D3"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29F0945" w:rsidR="00A97803" w:rsidRPr="00054236" w:rsidRDefault="00A97803">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476F63">
              <w:rPr>
                <w:rFonts w:ascii="Times New Roman" w:hAnsi="Times New Roman"/>
                <w:bCs/>
                <w:noProof/>
              </w:rPr>
              <w:t>15</w:t>
            </w:r>
            <w:r w:rsidRPr="00054236">
              <w:rPr>
                <w:rFonts w:ascii="Times New Roman" w:hAnsi="Times New Roman"/>
                <w:bCs/>
              </w:rPr>
              <w:fldChar w:fldCharType="end"/>
            </w:r>
            <w:r w:rsidRPr="00054236">
              <w:rPr>
                <w:rFonts w:ascii="Times New Roman" w:hAnsi="Times New Roman"/>
              </w:rPr>
              <w:t xml:space="preserve"> z </w:t>
            </w:r>
            <w:r w:rsidR="00B409E7">
              <w:rPr>
                <w:rFonts w:ascii="Times New Roman" w:hAnsi="Times New Roman"/>
              </w:rPr>
              <w:t>8</w:t>
            </w:r>
          </w:p>
        </w:sdtContent>
      </w:sdt>
    </w:sdtContent>
  </w:sdt>
  <w:p w14:paraId="4F3473E7" w14:textId="77777777" w:rsidR="00A97803" w:rsidRDefault="00A978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8206F" w14:textId="77777777" w:rsidR="00C458D3" w:rsidRDefault="00C458D3" w:rsidP="00BE360F">
      <w:pPr>
        <w:spacing w:after="0" w:line="240" w:lineRule="auto"/>
      </w:pPr>
      <w:r>
        <w:separator/>
      </w:r>
    </w:p>
  </w:footnote>
  <w:footnote w:type="continuationSeparator" w:id="0">
    <w:p w14:paraId="1F2C78A3" w14:textId="77777777" w:rsidR="00C458D3" w:rsidRDefault="00C458D3" w:rsidP="00BE360F">
      <w:pPr>
        <w:spacing w:after="0" w:line="240" w:lineRule="auto"/>
      </w:pPr>
      <w:r>
        <w:continuationSeparator/>
      </w:r>
    </w:p>
  </w:footnote>
  <w:footnote w:id="1">
    <w:p w14:paraId="50D0A9FE" w14:textId="77777777" w:rsidR="00A97803" w:rsidRPr="0096502F" w:rsidRDefault="00A97803" w:rsidP="00A56375">
      <w:pPr>
        <w:pStyle w:val="Textpoznpodarou"/>
        <w:ind w:left="426" w:hanging="426"/>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276648"/>
    <w:multiLevelType w:val="hybridMultilevel"/>
    <w:tmpl w:val="9586C378"/>
    <w:lvl w:ilvl="0" w:tplc="892CDEB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E4A7C"/>
    <w:multiLevelType w:val="hybridMultilevel"/>
    <w:tmpl w:val="D87C9A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32009FA"/>
    <w:multiLevelType w:val="hybridMultilevel"/>
    <w:tmpl w:val="EBF4983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7E72CC"/>
    <w:multiLevelType w:val="hybridMultilevel"/>
    <w:tmpl w:val="9A064902"/>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0"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3CA29F1"/>
    <w:multiLevelType w:val="hybridMultilevel"/>
    <w:tmpl w:val="F6E09A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A3A4438">
      <w:start w:val="1"/>
      <w:numFmt w:val="decimal"/>
      <w:lvlText w:val="%4."/>
      <w:lvlJc w:val="left"/>
      <w:pPr>
        <w:ind w:left="36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13B6BC4"/>
    <w:multiLevelType w:val="hybridMultilevel"/>
    <w:tmpl w:val="07468464"/>
    <w:lvl w:ilvl="0" w:tplc="130052F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9"/>
  </w:num>
  <w:num w:numId="5">
    <w:abstractNumId w:val="4"/>
  </w:num>
  <w:num w:numId="6">
    <w:abstractNumId w:val="17"/>
  </w:num>
  <w:num w:numId="7">
    <w:abstractNumId w:val="3"/>
  </w:num>
  <w:num w:numId="8">
    <w:abstractNumId w:val="7"/>
  </w:num>
  <w:num w:numId="9">
    <w:abstractNumId w:val="19"/>
  </w:num>
  <w:num w:numId="10">
    <w:abstractNumId w:val="10"/>
  </w:num>
  <w:num w:numId="11">
    <w:abstractNumId w:val="14"/>
  </w:num>
  <w:num w:numId="12">
    <w:abstractNumId w:val="18"/>
  </w:num>
  <w:num w:numId="13">
    <w:abstractNumId w:val="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6295B"/>
    <w:rsid w:val="0007392E"/>
    <w:rsid w:val="000B0985"/>
    <w:rsid w:val="000C0D16"/>
    <w:rsid w:val="000D056C"/>
    <w:rsid w:val="000D0A0A"/>
    <w:rsid w:val="000D7E3F"/>
    <w:rsid w:val="000E2276"/>
    <w:rsid w:val="000E40E9"/>
    <w:rsid w:val="001005CC"/>
    <w:rsid w:val="00111564"/>
    <w:rsid w:val="00123BD3"/>
    <w:rsid w:val="001333F6"/>
    <w:rsid w:val="00133E0D"/>
    <w:rsid w:val="00137BD3"/>
    <w:rsid w:val="0014413C"/>
    <w:rsid w:val="00145607"/>
    <w:rsid w:val="00151042"/>
    <w:rsid w:val="00160C8F"/>
    <w:rsid w:val="00164CCA"/>
    <w:rsid w:val="00165A58"/>
    <w:rsid w:val="00172B80"/>
    <w:rsid w:val="00177E6D"/>
    <w:rsid w:val="001A17EC"/>
    <w:rsid w:val="001B4CCB"/>
    <w:rsid w:val="001E36E9"/>
    <w:rsid w:val="001F6BB4"/>
    <w:rsid w:val="001F7143"/>
    <w:rsid w:val="001F7C4F"/>
    <w:rsid w:val="00202B5E"/>
    <w:rsid w:val="00204FA7"/>
    <w:rsid w:val="00207C4A"/>
    <w:rsid w:val="0021036C"/>
    <w:rsid w:val="00222BFF"/>
    <w:rsid w:val="00223AA5"/>
    <w:rsid w:val="002415E5"/>
    <w:rsid w:val="00255105"/>
    <w:rsid w:val="00255E42"/>
    <w:rsid w:val="00262686"/>
    <w:rsid w:val="002634F5"/>
    <w:rsid w:val="00265B39"/>
    <w:rsid w:val="0026670E"/>
    <w:rsid w:val="00280C54"/>
    <w:rsid w:val="00282499"/>
    <w:rsid w:val="00295200"/>
    <w:rsid w:val="00295DBF"/>
    <w:rsid w:val="002B630B"/>
    <w:rsid w:val="002C37CF"/>
    <w:rsid w:val="002C3D92"/>
    <w:rsid w:val="002D2CA1"/>
    <w:rsid w:val="002D4503"/>
    <w:rsid w:val="002D58E9"/>
    <w:rsid w:val="002E7009"/>
    <w:rsid w:val="003211B2"/>
    <w:rsid w:val="0034026B"/>
    <w:rsid w:val="00343B28"/>
    <w:rsid w:val="003444FD"/>
    <w:rsid w:val="00357618"/>
    <w:rsid w:val="00360341"/>
    <w:rsid w:val="00360E6D"/>
    <w:rsid w:val="00372191"/>
    <w:rsid w:val="00374374"/>
    <w:rsid w:val="00397077"/>
    <w:rsid w:val="003A2D63"/>
    <w:rsid w:val="003A4509"/>
    <w:rsid w:val="003A7724"/>
    <w:rsid w:val="003B42E8"/>
    <w:rsid w:val="003C1573"/>
    <w:rsid w:val="003C3E5E"/>
    <w:rsid w:val="003C587E"/>
    <w:rsid w:val="003E6893"/>
    <w:rsid w:val="003F184B"/>
    <w:rsid w:val="003F2BD5"/>
    <w:rsid w:val="00405C25"/>
    <w:rsid w:val="00406CC0"/>
    <w:rsid w:val="00414D20"/>
    <w:rsid w:val="00424DBD"/>
    <w:rsid w:val="004328DC"/>
    <w:rsid w:val="004521A6"/>
    <w:rsid w:val="004766E0"/>
    <w:rsid w:val="00476F63"/>
    <w:rsid w:val="00484485"/>
    <w:rsid w:val="00485A84"/>
    <w:rsid w:val="004A1309"/>
    <w:rsid w:val="004A34B2"/>
    <w:rsid w:val="004B4520"/>
    <w:rsid w:val="004B6BA4"/>
    <w:rsid w:val="004C45A6"/>
    <w:rsid w:val="004D7C7B"/>
    <w:rsid w:val="004F157D"/>
    <w:rsid w:val="004F62CD"/>
    <w:rsid w:val="00504B8A"/>
    <w:rsid w:val="00514F52"/>
    <w:rsid w:val="005169F4"/>
    <w:rsid w:val="00526E11"/>
    <w:rsid w:val="0054027F"/>
    <w:rsid w:val="0054069D"/>
    <w:rsid w:val="00541C22"/>
    <w:rsid w:val="005427A7"/>
    <w:rsid w:val="00543233"/>
    <w:rsid w:val="00554EDC"/>
    <w:rsid w:val="0056213F"/>
    <w:rsid w:val="00567220"/>
    <w:rsid w:val="005672DF"/>
    <w:rsid w:val="00571D39"/>
    <w:rsid w:val="0058028B"/>
    <w:rsid w:val="005802C0"/>
    <w:rsid w:val="005856B3"/>
    <w:rsid w:val="005914D8"/>
    <w:rsid w:val="00591D4B"/>
    <w:rsid w:val="00596BB2"/>
    <w:rsid w:val="005A01BD"/>
    <w:rsid w:val="005B79C0"/>
    <w:rsid w:val="005C055A"/>
    <w:rsid w:val="005C4092"/>
    <w:rsid w:val="005D3C03"/>
    <w:rsid w:val="005E2458"/>
    <w:rsid w:val="005E635B"/>
    <w:rsid w:val="00602229"/>
    <w:rsid w:val="00611B27"/>
    <w:rsid w:val="0061715E"/>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C18B0"/>
    <w:rsid w:val="006C59AB"/>
    <w:rsid w:val="006D060C"/>
    <w:rsid w:val="006D0BE9"/>
    <w:rsid w:val="006F408B"/>
    <w:rsid w:val="00740F38"/>
    <w:rsid w:val="007456C7"/>
    <w:rsid w:val="007519BF"/>
    <w:rsid w:val="00761C0F"/>
    <w:rsid w:val="00770199"/>
    <w:rsid w:val="00771AFF"/>
    <w:rsid w:val="00773CB2"/>
    <w:rsid w:val="00775014"/>
    <w:rsid w:val="0077543B"/>
    <w:rsid w:val="007845FE"/>
    <w:rsid w:val="007872FD"/>
    <w:rsid w:val="00793E30"/>
    <w:rsid w:val="007A6A70"/>
    <w:rsid w:val="007B0223"/>
    <w:rsid w:val="007C0642"/>
    <w:rsid w:val="007C0B2E"/>
    <w:rsid w:val="007C659B"/>
    <w:rsid w:val="007F4957"/>
    <w:rsid w:val="00810246"/>
    <w:rsid w:val="00846C44"/>
    <w:rsid w:val="00850D74"/>
    <w:rsid w:val="00857137"/>
    <w:rsid w:val="0086528E"/>
    <w:rsid w:val="00871172"/>
    <w:rsid w:val="00883ADE"/>
    <w:rsid w:val="00887680"/>
    <w:rsid w:val="008971A4"/>
    <w:rsid w:val="008A14BE"/>
    <w:rsid w:val="008A78C6"/>
    <w:rsid w:val="008A7A6B"/>
    <w:rsid w:val="008B030C"/>
    <w:rsid w:val="008C4DA3"/>
    <w:rsid w:val="008D35BD"/>
    <w:rsid w:val="008E2D00"/>
    <w:rsid w:val="008F4CA7"/>
    <w:rsid w:val="00900482"/>
    <w:rsid w:val="0090147B"/>
    <w:rsid w:val="00901F7E"/>
    <w:rsid w:val="009033B3"/>
    <w:rsid w:val="00910550"/>
    <w:rsid w:val="00911A5C"/>
    <w:rsid w:val="00917072"/>
    <w:rsid w:val="00920744"/>
    <w:rsid w:val="00921426"/>
    <w:rsid w:val="0092610B"/>
    <w:rsid w:val="00932C22"/>
    <w:rsid w:val="0094025E"/>
    <w:rsid w:val="00942534"/>
    <w:rsid w:val="00950075"/>
    <w:rsid w:val="009504A8"/>
    <w:rsid w:val="009510B9"/>
    <w:rsid w:val="00955D80"/>
    <w:rsid w:val="0096502F"/>
    <w:rsid w:val="00966A0B"/>
    <w:rsid w:val="00985B02"/>
    <w:rsid w:val="00993A70"/>
    <w:rsid w:val="009A27A4"/>
    <w:rsid w:val="009A63B2"/>
    <w:rsid w:val="009B0BF9"/>
    <w:rsid w:val="009D1788"/>
    <w:rsid w:val="009D5AFF"/>
    <w:rsid w:val="009D6E5B"/>
    <w:rsid w:val="009F1D5A"/>
    <w:rsid w:val="009F26E9"/>
    <w:rsid w:val="009F53FC"/>
    <w:rsid w:val="00A024BF"/>
    <w:rsid w:val="00A1538A"/>
    <w:rsid w:val="00A21E10"/>
    <w:rsid w:val="00A22D02"/>
    <w:rsid w:val="00A238F5"/>
    <w:rsid w:val="00A455B7"/>
    <w:rsid w:val="00A457C1"/>
    <w:rsid w:val="00A56375"/>
    <w:rsid w:val="00A57E05"/>
    <w:rsid w:val="00A61445"/>
    <w:rsid w:val="00A63F88"/>
    <w:rsid w:val="00A67ED1"/>
    <w:rsid w:val="00A71373"/>
    <w:rsid w:val="00A8306E"/>
    <w:rsid w:val="00A8376E"/>
    <w:rsid w:val="00A87282"/>
    <w:rsid w:val="00A91923"/>
    <w:rsid w:val="00A94788"/>
    <w:rsid w:val="00A9496A"/>
    <w:rsid w:val="00A97285"/>
    <w:rsid w:val="00A9759E"/>
    <w:rsid w:val="00A97803"/>
    <w:rsid w:val="00AA5121"/>
    <w:rsid w:val="00AB391B"/>
    <w:rsid w:val="00AB5FB8"/>
    <w:rsid w:val="00AB7308"/>
    <w:rsid w:val="00AC7CD8"/>
    <w:rsid w:val="00AE1C37"/>
    <w:rsid w:val="00AF08EC"/>
    <w:rsid w:val="00AF3BC4"/>
    <w:rsid w:val="00AF58B3"/>
    <w:rsid w:val="00B0304F"/>
    <w:rsid w:val="00B34A40"/>
    <w:rsid w:val="00B37BE3"/>
    <w:rsid w:val="00B409E7"/>
    <w:rsid w:val="00B56465"/>
    <w:rsid w:val="00B579B9"/>
    <w:rsid w:val="00B71CC1"/>
    <w:rsid w:val="00B7459B"/>
    <w:rsid w:val="00B81791"/>
    <w:rsid w:val="00B85089"/>
    <w:rsid w:val="00B90822"/>
    <w:rsid w:val="00B91E3B"/>
    <w:rsid w:val="00B9260A"/>
    <w:rsid w:val="00BB75B4"/>
    <w:rsid w:val="00BD0939"/>
    <w:rsid w:val="00BD1541"/>
    <w:rsid w:val="00BD1D69"/>
    <w:rsid w:val="00BE0D49"/>
    <w:rsid w:val="00BE3471"/>
    <w:rsid w:val="00BE360F"/>
    <w:rsid w:val="00BE65AC"/>
    <w:rsid w:val="00BE660D"/>
    <w:rsid w:val="00C04C17"/>
    <w:rsid w:val="00C107E4"/>
    <w:rsid w:val="00C121BD"/>
    <w:rsid w:val="00C33FC1"/>
    <w:rsid w:val="00C400A4"/>
    <w:rsid w:val="00C41656"/>
    <w:rsid w:val="00C439A1"/>
    <w:rsid w:val="00C458D3"/>
    <w:rsid w:val="00C52226"/>
    <w:rsid w:val="00C534F0"/>
    <w:rsid w:val="00C6368D"/>
    <w:rsid w:val="00C656E9"/>
    <w:rsid w:val="00C75FCA"/>
    <w:rsid w:val="00C857E0"/>
    <w:rsid w:val="00CA233B"/>
    <w:rsid w:val="00CB0C47"/>
    <w:rsid w:val="00CB24C9"/>
    <w:rsid w:val="00CC1E5A"/>
    <w:rsid w:val="00CC27A8"/>
    <w:rsid w:val="00CC3E33"/>
    <w:rsid w:val="00CC59AB"/>
    <w:rsid w:val="00CD138F"/>
    <w:rsid w:val="00D153F5"/>
    <w:rsid w:val="00D2561C"/>
    <w:rsid w:val="00D342D4"/>
    <w:rsid w:val="00D4279B"/>
    <w:rsid w:val="00D43B69"/>
    <w:rsid w:val="00D54890"/>
    <w:rsid w:val="00D5683C"/>
    <w:rsid w:val="00D6351F"/>
    <w:rsid w:val="00D752E9"/>
    <w:rsid w:val="00D75FEA"/>
    <w:rsid w:val="00D86122"/>
    <w:rsid w:val="00D877E7"/>
    <w:rsid w:val="00D90BDC"/>
    <w:rsid w:val="00DA30D1"/>
    <w:rsid w:val="00DB3437"/>
    <w:rsid w:val="00DB61B8"/>
    <w:rsid w:val="00DC74B9"/>
    <w:rsid w:val="00DE7302"/>
    <w:rsid w:val="00DF5D2C"/>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957C2"/>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1574"/>
    <w:rsid w:val="00F424B4"/>
    <w:rsid w:val="00F448C8"/>
    <w:rsid w:val="00F44B77"/>
    <w:rsid w:val="00F53C1A"/>
    <w:rsid w:val="00F5535D"/>
    <w:rsid w:val="00F63A34"/>
    <w:rsid w:val="00F707CA"/>
    <w:rsid w:val="00F70A0F"/>
    <w:rsid w:val="00F75EE2"/>
    <w:rsid w:val="00F831AF"/>
    <w:rsid w:val="00F8367F"/>
    <w:rsid w:val="00F90498"/>
    <w:rsid w:val="00FB6CCD"/>
    <w:rsid w:val="00FC56AD"/>
    <w:rsid w:val="00FD20FC"/>
    <w:rsid w:val="00FE00E9"/>
    <w:rsid w:val="00FE683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5"/>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9381">
      <w:bodyDiv w:val="1"/>
      <w:marLeft w:val="0"/>
      <w:marRight w:val="0"/>
      <w:marTop w:val="0"/>
      <w:marBottom w:val="0"/>
      <w:divBdr>
        <w:top w:val="none" w:sz="0" w:space="0" w:color="auto"/>
        <w:left w:val="none" w:sz="0" w:space="0" w:color="auto"/>
        <w:bottom w:val="none" w:sz="0" w:space="0" w:color="auto"/>
        <w:right w:val="none" w:sz="0" w:space="0" w:color="auto"/>
      </w:divBdr>
    </w:div>
    <w:div w:id="72170285">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79172716">
      <w:bodyDiv w:val="1"/>
      <w:marLeft w:val="0"/>
      <w:marRight w:val="0"/>
      <w:marTop w:val="0"/>
      <w:marBottom w:val="0"/>
      <w:divBdr>
        <w:top w:val="none" w:sz="0" w:space="0" w:color="auto"/>
        <w:left w:val="none" w:sz="0" w:space="0" w:color="auto"/>
        <w:bottom w:val="none" w:sz="0" w:space="0" w:color="auto"/>
        <w:right w:val="none" w:sz="0" w:space="0" w:color="auto"/>
      </w:divBdr>
    </w:div>
    <w:div w:id="912010045">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979925046">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431195612">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530071759">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1869835103">
      <w:bodyDiv w:val="1"/>
      <w:marLeft w:val="0"/>
      <w:marRight w:val="0"/>
      <w:marTop w:val="0"/>
      <w:marBottom w:val="0"/>
      <w:divBdr>
        <w:top w:val="none" w:sz="0" w:space="0" w:color="auto"/>
        <w:left w:val="none" w:sz="0" w:space="0" w:color="auto"/>
        <w:bottom w:val="none" w:sz="0" w:space="0" w:color="auto"/>
        <w:right w:val="none" w:sz="0" w:space="0" w:color="auto"/>
      </w:divBdr>
    </w:div>
    <w:div w:id="20446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6E12F-50B6-4C36-915B-707F5E40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3094</Words>
  <Characters>18260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Iveta Grünerová</cp:lastModifiedBy>
  <cp:revision>5</cp:revision>
  <cp:lastPrinted>2020-10-29T12:17:00Z</cp:lastPrinted>
  <dcterms:created xsi:type="dcterms:W3CDTF">2020-11-19T15:37:00Z</dcterms:created>
  <dcterms:modified xsi:type="dcterms:W3CDTF">2020-11-23T07:29:00Z</dcterms:modified>
</cp:coreProperties>
</file>