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9C06F" w14:textId="77777777" w:rsidR="002B13C8" w:rsidRPr="00B87AAA" w:rsidRDefault="002B13C8" w:rsidP="002B13C8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>Smlouva o poskytování služeb pověřence pro ochranu osobních údajů</w:t>
      </w:r>
    </w:p>
    <w:p w14:paraId="424833C5" w14:textId="77777777" w:rsidR="002B13C8" w:rsidRDefault="002B13C8" w:rsidP="002B13C8">
      <w:pPr>
        <w:spacing w:after="120"/>
        <w:ind w:firstLine="142"/>
        <w:jc w:val="center"/>
        <w:rPr>
          <w:rFonts w:ascii="Calibri" w:hAnsi="Calibri" w:cs="Calibri"/>
        </w:rPr>
      </w:pPr>
    </w:p>
    <w:p w14:paraId="66F6F769" w14:textId="2E32A1B6" w:rsidR="002B13C8" w:rsidRPr="009844C0" w:rsidRDefault="002B13C8" w:rsidP="002B13C8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7C3F32">
        <w:rPr>
          <w:rFonts w:ascii="Calibri" w:hAnsi="Calibri" w:cs="Calibri"/>
        </w:rPr>
        <w:t>KVD-302/2020</w:t>
      </w:r>
    </w:p>
    <w:p w14:paraId="2B7E7819" w14:textId="486F790E" w:rsidR="002B13C8" w:rsidRPr="00272303" w:rsidRDefault="00B44055" w:rsidP="00B44055">
      <w:pPr>
        <w:spacing w:after="120"/>
        <w:ind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</w:t>
      </w:r>
      <w:r w:rsidR="002B13C8" w:rsidRPr="00272303">
        <w:rPr>
          <w:rFonts w:ascii="Calibri" w:hAnsi="Calibri" w:cs="Calibri"/>
        </w:rPr>
        <w:t xml:space="preserve">číslo smlouvy </w:t>
      </w:r>
      <w:r w:rsidR="002B13C8">
        <w:rPr>
          <w:rFonts w:ascii="Calibri" w:hAnsi="Calibri" w:cs="Calibri"/>
        </w:rPr>
        <w:t>poskytovatel</w:t>
      </w:r>
      <w:r w:rsidR="002B13C8" w:rsidRPr="00272303">
        <w:rPr>
          <w:rFonts w:ascii="Calibri" w:hAnsi="Calibri" w:cs="Calibri"/>
        </w:rPr>
        <w:t>e:</w:t>
      </w:r>
      <w:r w:rsidR="002B13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30/2020</w:t>
      </w:r>
    </w:p>
    <w:p w14:paraId="2DD221B6" w14:textId="77777777" w:rsidR="002B13C8" w:rsidRDefault="002B13C8" w:rsidP="002B13C8">
      <w:pPr>
        <w:spacing w:before="100" w:beforeAutospacing="1" w:after="100" w:afterAutospacing="1"/>
        <w:jc w:val="center"/>
        <w:rPr>
          <w:rFonts w:ascii="Calibri" w:hAnsi="Calibri"/>
          <w:i/>
          <w:iCs/>
        </w:rPr>
      </w:pPr>
      <w:r w:rsidRPr="00272161">
        <w:rPr>
          <w:rFonts w:ascii="Calibri" w:hAnsi="Calibri"/>
          <w:i/>
          <w:iCs/>
        </w:rPr>
        <w:t xml:space="preserve">uzavřená v souladu </w:t>
      </w:r>
      <w:r>
        <w:rPr>
          <w:rFonts w:ascii="Calibri" w:hAnsi="Calibri"/>
          <w:i/>
          <w:iCs/>
        </w:rPr>
        <w:t xml:space="preserve">s </w:t>
      </w:r>
      <w:r w:rsidRPr="00272161">
        <w:rPr>
          <w:rFonts w:ascii="Calibri" w:hAnsi="Calibri"/>
          <w:i/>
          <w:iCs/>
        </w:rPr>
        <w:t xml:space="preserve">ustanovením § </w:t>
      </w:r>
      <w:r>
        <w:rPr>
          <w:rFonts w:ascii="Calibri" w:hAnsi="Calibri"/>
          <w:i/>
          <w:iCs/>
        </w:rPr>
        <w:t>1746 odst. 2</w:t>
      </w:r>
      <w:r w:rsidRPr="00272161">
        <w:rPr>
          <w:rFonts w:ascii="Calibri" w:hAnsi="Calibri"/>
          <w:i/>
          <w:iCs/>
        </w:rPr>
        <w:t xml:space="preserve"> zákona č. </w:t>
      </w:r>
      <w:r>
        <w:rPr>
          <w:rFonts w:ascii="Calibri" w:hAnsi="Calibri"/>
          <w:i/>
          <w:iCs/>
        </w:rPr>
        <w:t>89/2012</w:t>
      </w:r>
      <w:r w:rsidRPr="00272161">
        <w:rPr>
          <w:rFonts w:ascii="Calibri" w:hAnsi="Calibri"/>
          <w:i/>
          <w:iCs/>
        </w:rPr>
        <w:t xml:space="preserve"> Sb., ob</w:t>
      </w:r>
      <w:r>
        <w:rPr>
          <w:rFonts w:ascii="Calibri" w:hAnsi="Calibri"/>
          <w:i/>
          <w:iCs/>
        </w:rPr>
        <w:t>čanský</w:t>
      </w:r>
      <w:r w:rsidRPr="00272161">
        <w:rPr>
          <w:rFonts w:ascii="Calibri" w:hAnsi="Calibri"/>
          <w:i/>
          <w:iCs/>
        </w:rPr>
        <w:t xml:space="preserve"> zákoník</w:t>
      </w:r>
      <w:r>
        <w:rPr>
          <w:rFonts w:ascii="Calibri" w:hAnsi="Calibri"/>
          <w:i/>
          <w:iCs/>
        </w:rPr>
        <w:t>, ve znění pozdějších předpisů</w:t>
      </w:r>
      <w:r w:rsidRPr="00272161">
        <w:rPr>
          <w:rFonts w:ascii="Calibri" w:hAnsi="Calibri"/>
          <w:i/>
          <w:iCs/>
        </w:rPr>
        <w:t xml:space="preserve"> (dále jen „smlouva“)</w:t>
      </w:r>
      <w:r>
        <w:rPr>
          <w:rFonts w:ascii="Calibri" w:hAnsi="Calibri"/>
          <w:i/>
          <w:iCs/>
        </w:rPr>
        <w:t>,</w:t>
      </w:r>
      <w:r w:rsidRPr="00272161">
        <w:rPr>
          <w:rFonts w:ascii="Calibri" w:hAnsi="Calibri"/>
          <w:i/>
          <w:iCs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376"/>
        <w:gridCol w:w="6804"/>
        <w:gridCol w:w="174"/>
      </w:tblGrid>
      <w:tr w:rsidR="002B13C8" w:rsidRPr="00B87AAA" w14:paraId="28393A5E" w14:textId="77777777" w:rsidTr="00105218">
        <w:tc>
          <w:tcPr>
            <w:tcW w:w="9354" w:type="dxa"/>
            <w:gridSpan w:val="3"/>
            <w:shd w:val="clear" w:color="auto" w:fill="auto"/>
          </w:tcPr>
          <w:p w14:paraId="716419A8" w14:textId="77777777" w:rsidR="002B13C8" w:rsidRPr="00B87AAA" w:rsidRDefault="002B13C8" w:rsidP="00105218">
            <w:pPr>
              <w:spacing w:before="100" w:beforeAutospacing="1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AAA">
              <w:rPr>
                <w:rFonts w:ascii="Arial" w:hAnsi="Arial" w:cs="Arial"/>
                <w:b/>
                <w:bCs/>
                <w:sz w:val="22"/>
                <w:szCs w:val="22"/>
              </w:rPr>
              <w:t>Koordinátor veřejné dopravy Zlínského kraje, s.r.o.</w:t>
            </w:r>
          </w:p>
        </w:tc>
      </w:tr>
      <w:tr w:rsidR="002B13C8" w:rsidRPr="00B87AAA" w14:paraId="0C982B35" w14:textId="77777777" w:rsidTr="00105218">
        <w:trPr>
          <w:gridAfter w:val="1"/>
          <w:wAfter w:w="174" w:type="dxa"/>
        </w:trPr>
        <w:tc>
          <w:tcPr>
            <w:tcW w:w="9180" w:type="dxa"/>
            <w:gridSpan w:val="2"/>
            <w:shd w:val="clear" w:color="auto" w:fill="auto"/>
          </w:tcPr>
          <w:p w14:paraId="3680F73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Vedená u Krajského soudu v Brně, spisová značka C 51250</w:t>
            </w:r>
          </w:p>
        </w:tc>
      </w:tr>
      <w:tr w:rsidR="002B13C8" w:rsidRPr="00B87AAA" w14:paraId="431A941D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44BE554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shd w:val="clear" w:color="auto" w:fill="auto"/>
          </w:tcPr>
          <w:p w14:paraId="54D9D058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028">
              <w:rPr>
                <w:rFonts w:ascii="Arial" w:hAnsi="Arial" w:cs="Arial"/>
                <w:sz w:val="20"/>
                <w:szCs w:val="20"/>
              </w:rPr>
              <w:t>Ing. Vít Šumpela</w:t>
            </w:r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2B13C8" w:rsidRPr="00B87AAA" w14:paraId="6CD1254E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DB0F5B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</w:tcPr>
          <w:p w14:paraId="38CEB3B6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AAA">
              <w:rPr>
                <w:rFonts w:ascii="Arial" w:hAnsi="Arial" w:cs="Arial"/>
                <w:sz w:val="20"/>
                <w:szCs w:val="20"/>
              </w:rPr>
              <w:t>Podvesná</w:t>
            </w:r>
            <w:proofErr w:type="spellEnd"/>
            <w:r w:rsidRPr="00B87AAA">
              <w:rPr>
                <w:rFonts w:ascii="Arial" w:hAnsi="Arial" w:cs="Arial"/>
                <w:sz w:val="20"/>
                <w:szCs w:val="20"/>
              </w:rPr>
              <w:t xml:space="preserve"> XVII 3833, 760 01 Zlín</w:t>
            </w:r>
          </w:p>
        </w:tc>
      </w:tr>
      <w:tr w:rsidR="002B13C8" w:rsidRPr="00B87AAA" w14:paraId="2C1281ED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2E911986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</w:tcPr>
          <w:p w14:paraId="0F8CEAA5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27677761</w:t>
            </w:r>
          </w:p>
        </w:tc>
      </w:tr>
      <w:tr w:rsidR="002B13C8" w:rsidRPr="00B87AAA" w14:paraId="216762C7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5D0F2D99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</w:tcPr>
          <w:p w14:paraId="2A5531E2" w14:textId="41A2F027" w:rsidR="002B13C8" w:rsidRPr="00B87AAA" w:rsidRDefault="00941AA0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CZ27677761</w:t>
            </w:r>
          </w:p>
        </w:tc>
      </w:tr>
      <w:tr w:rsidR="002B13C8" w:rsidRPr="00B87AAA" w14:paraId="5BC33FD8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6451E3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74A43CF4" w14:textId="0D883949" w:rsidR="002B13C8" w:rsidRPr="00B87AAA" w:rsidRDefault="00941AA0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2B13C8" w:rsidRPr="00B87AAA" w14:paraId="6B318D7F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C752E30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shd w:val="clear" w:color="auto" w:fill="auto"/>
          </w:tcPr>
          <w:p w14:paraId="6679D6C7" w14:textId="4D625AAD" w:rsidR="002B13C8" w:rsidRPr="00B87AAA" w:rsidRDefault="00941AA0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35-4313110217/0100</w:t>
            </w:r>
          </w:p>
        </w:tc>
      </w:tr>
      <w:tr w:rsidR="002B13C8" w:rsidRPr="00B87AAA" w14:paraId="2FCE7DB6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70E2EFB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14:paraId="262D381D" w14:textId="44DB5D17" w:rsidR="002B13C8" w:rsidRPr="00B87AAA" w:rsidRDefault="00941AA0" w:rsidP="0010521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Markéta Argalášová</w:t>
            </w:r>
          </w:p>
        </w:tc>
      </w:tr>
      <w:tr w:rsidR="002B13C8" w:rsidRPr="00B87AAA" w14:paraId="010FFD36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FB98C68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shd w:val="clear" w:color="auto" w:fill="auto"/>
          </w:tcPr>
          <w:p w14:paraId="2C4C2ABA" w14:textId="070BF38E" w:rsidR="002B13C8" w:rsidRPr="00B87AAA" w:rsidRDefault="00941AA0" w:rsidP="0010521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+420 737 433 487</w:t>
            </w:r>
          </w:p>
        </w:tc>
      </w:tr>
      <w:tr w:rsidR="002B13C8" w:rsidRPr="00B87AAA" w14:paraId="4A99BCFB" w14:textId="77777777" w:rsidTr="00105218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5D71B9B6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6EEE64B1" w14:textId="2D5B8E0E" w:rsidR="002B13C8" w:rsidRPr="00B87AAA" w:rsidRDefault="00941AA0" w:rsidP="0010521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argalasova@koved.cz</w:t>
            </w:r>
          </w:p>
        </w:tc>
      </w:tr>
    </w:tbl>
    <w:p w14:paraId="06F3CB91" w14:textId="77777777" w:rsidR="002B13C8" w:rsidRPr="00B87AAA" w:rsidRDefault="002B13C8" w:rsidP="002B13C8">
      <w:pPr>
        <w:spacing w:before="100" w:beforeAutospacing="1" w:line="288" w:lineRule="auto"/>
        <w:rPr>
          <w:rFonts w:ascii="Arial" w:hAnsi="Arial" w:cs="Arial"/>
          <w:b/>
          <w:bCs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 xml:space="preserve">dále jen 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„objednatel“ </w:t>
      </w:r>
    </w:p>
    <w:p w14:paraId="51D5401C" w14:textId="77777777" w:rsidR="002B13C8" w:rsidRPr="00B87AAA" w:rsidRDefault="002B13C8" w:rsidP="002B13C8">
      <w:pPr>
        <w:spacing w:before="240" w:after="480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a</w:t>
      </w:r>
    </w:p>
    <w:p w14:paraId="7D09421E" w14:textId="77777777" w:rsidR="002B13C8" w:rsidRPr="00B87AAA" w:rsidRDefault="002B13C8" w:rsidP="002B13C8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B87AAA">
        <w:rPr>
          <w:rFonts w:ascii="Arial" w:hAnsi="Arial" w:cs="Arial"/>
          <w:b/>
          <w:bCs/>
          <w:sz w:val="22"/>
          <w:szCs w:val="22"/>
        </w:rPr>
        <w:t xml:space="preserve">I3 </w:t>
      </w:r>
      <w:proofErr w:type="spellStart"/>
      <w:r w:rsidRPr="00B87AAA">
        <w:rPr>
          <w:rFonts w:ascii="Arial" w:hAnsi="Arial" w:cs="Arial"/>
          <w:b/>
          <w:bCs/>
          <w:sz w:val="22"/>
          <w:szCs w:val="22"/>
        </w:rPr>
        <w:t>Consultants</w:t>
      </w:r>
      <w:proofErr w:type="spellEnd"/>
      <w:r w:rsidRPr="00B87AAA">
        <w:rPr>
          <w:rFonts w:ascii="Arial" w:hAnsi="Arial" w:cs="Arial"/>
          <w:b/>
          <w:bCs/>
          <w:sz w:val="22"/>
          <w:szCs w:val="22"/>
        </w:rPr>
        <w:t xml:space="preserve"> s.r.o.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694"/>
        <w:gridCol w:w="110"/>
      </w:tblGrid>
      <w:tr w:rsidR="002B13C8" w:rsidRPr="00B87AAA" w14:paraId="482DD8D0" w14:textId="77777777" w:rsidTr="00105218">
        <w:trPr>
          <w:gridAfter w:val="1"/>
          <w:wAfter w:w="110" w:type="dxa"/>
        </w:trPr>
        <w:tc>
          <w:tcPr>
            <w:tcW w:w="9212" w:type="dxa"/>
            <w:gridSpan w:val="2"/>
          </w:tcPr>
          <w:p w14:paraId="673A71D5" w14:textId="77777777" w:rsidR="002B13C8" w:rsidRPr="00B87AAA" w:rsidRDefault="002B13C8" w:rsidP="001052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vedená u Městského soudu v Praze, spisová značka C 126634</w:t>
            </w:r>
          </w:p>
        </w:tc>
      </w:tr>
      <w:tr w:rsidR="002B13C8" w:rsidRPr="00B87AAA" w14:paraId="11B1A88A" w14:textId="77777777" w:rsidTr="00105218">
        <w:tc>
          <w:tcPr>
            <w:tcW w:w="2518" w:type="dxa"/>
          </w:tcPr>
          <w:p w14:paraId="21E374A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gridSpan w:val="2"/>
          </w:tcPr>
          <w:p w14:paraId="2DFE5939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Tomáš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Kubínek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jednatel; </w:t>
            </w: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2B13C8" w:rsidRPr="00B87AAA" w14:paraId="19541D4F" w14:textId="77777777" w:rsidTr="00105218">
        <w:tc>
          <w:tcPr>
            <w:tcW w:w="2518" w:type="dxa"/>
          </w:tcPr>
          <w:p w14:paraId="679B7EE3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2"/>
          </w:tcPr>
          <w:p w14:paraId="535FB29D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Praha 6 - Řepy, K Trninám 945/34, PSČ 163 00</w:t>
            </w:r>
          </w:p>
        </w:tc>
      </w:tr>
      <w:tr w:rsidR="002B13C8" w:rsidRPr="00B87AAA" w14:paraId="1F4583DC" w14:textId="77777777" w:rsidTr="00105218">
        <w:tc>
          <w:tcPr>
            <w:tcW w:w="2518" w:type="dxa"/>
          </w:tcPr>
          <w:p w14:paraId="4AF5253B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gridSpan w:val="2"/>
          </w:tcPr>
          <w:p w14:paraId="39A237DA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279 21 344</w:t>
            </w:r>
          </w:p>
        </w:tc>
      </w:tr>
      <w:tr w:rsidR="002B13C8" w:rsidRPr="00B87AAA" w14:paraId="5A2EBE1E" w14:textId="77777777" w:rsidTr="00105218">
        <w:tc>
          <w:tcPr>
            <w:tcW w:w="2518" w:type="dxa"/>
          </w:tcPr>
          <w:p w14:paraId="48E04458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2"/>
          </w:tcPr>
          <w:p w14:paraId="5EAAD15D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 xml:space="preserve">CZ27921344  </w:t>
            </w:r>
          </w:p>
        </w:tc>
      </w:tr>
      <w:tr w:rsidR="002B13C8" w:rsidRPr="00B87AAA" w14:paraId="67732100" w14:textId="77777777" w:rsidTr="00105218">
        <w:tc>
          <w:tcPr>
            <w:tcW w:w="2518" w:type="dxa"/>
          </w:tcPr>
          <w:p w14:paraId="4E405CDD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gridSpan w:val="2"/>
          </w:tcPr>
          <w:p w14:paraId="16376D91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2B13C8" w:rsidRPr="00B87AAA" w14:paraId="63FFED50" w14:textId="77777777" w:rsidTr="00105218">
        <w:tc>
          <w:tcPr>
            <w:tcW w:w="2518" w:type="dxa"/>
          </w:tcPr>
          <w:p w14:paraId="46C5E839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gridSpan w:val="2"/>
          </w:tcPr>
          <w:p w14:paraId="316AA9C6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43-561350297/0100</w:t>
            </w:r>
          </w:p>
        </w:tc>
      </w:tr>
      <w:tr w:rsidR="002B13C8" w:rsidRPr="00B87AAA" w14:paraId="6618606A" w14:textId="77777777" w:rsidTr="00105218">
        <w:tc>
          <w:tcPr>
            <w:tcW w:w="2518" w:type="dxa"/>
          </w:tcPr>
          <w:p w14:paraId="6C4014D7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gridSpan w:val="2"/>
          </w:tcPr>
          <w:p w14:paraId="716C62D4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2B13C8" w:rsidRPr="00B87AAA" w14:paraId="1D3E44D5" w14:textId="77777777" w:rsidTr="00105218">
        <w:tc>
          <w:tcPr>
            <w:tcW w:w="2518" w:type="dxa"/>
          </w:tcPr>
          <w:p w14:paraId="5037B705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gridSpan w:val="2"/>
          </w:tcPr>
          <w:p w14:paraId="047525F8" w14:textId="77777777" w:rsidR="002B13C8" w:rsidRPr="00B87AAA" w:rsidRDefault="002B13C8" w:rsidP="001052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+420 543 214 714, +420 733 510 780</w:t>
            </w:r>
          </w:p>
        </w:tc>
      </w:tr>
      <w:tr w:rsidR="002B13C8" w:rsidRPr="00B87AAA" w14:paraId="035C1A2C" w14:textId="77777777" w:rsidTr="00105218">
        <w:tc>
          <w:tcPr>
            <w:tcW w:w="2518" w:type="dxa"/>
          </w:tcPr>
          <w:p w14:paraId="78E35985" w14:textId="77777777" w:rsidR="002B13C8" w:rsidRPr="00B87AAA" w:rsidRDefault="002B13C8" w:rsidP="00105218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2"/>
          </w:tcPr>
          <w:p w14:paraId="44EE41B8" w14:textId="77777777" w:rsidR="002B13C8" w:rsidRPr="00B87AAA" w:rsidRDefault="00BE5D5A" w:rsidP="001052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2B13C8" w:rsidRPr="00B87AA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obchod@i3c.cz</w:t>
              </w:r>
            </w:hyperlink>
          </w:p>
        </w:tc>
      </w:tr>
    </w:tbl>
    <w:p w14:paraId="7F64B3CA" w14:textId="77777777" w:rsidR="002B13C8" w:rsidRPr="00B87AAA" w:rsidRDefault="002B13C8" w:rsidP="002B13C8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dále jen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 „poskytovatel“</w:t>
      </w:r>
    </w:p>
    <w:p w14:paraId="55525A39" w14:textId="77777777" w:rsidR="002B13C8" w:rsidRDefault="002B13C8" w:rsidP="002B13C8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35C10B3" w14:textId="77777777" w:rsidR="002B13C8" w:rsidRPr="001E5F1D" w:rsidRDefault="002B13C8" w:rsidP="002B13C8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I.</w:t>
      </w:r>
    </w:p>
    <w:p w14:paraId="0DF9949F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3AC75953" w14:textId="77777777" w:rsidR="002B13C8" w:rsidRPr="001E5F1D" w:rsidRDefault="002B13C8" w:rsidP="002B13C8">
      <w:pPr>
        <w:widowControl w:val="0"/>
        <w:numPr>
          <w:ilvl w:val="0"/>
          <w:numId w:val="4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Dne 25. května 2018 </w:t>
      </w:r>
      <w:r w:rsidRPr="00B87AAA">
        <w:rPr>
          <w:rFonts w:ascii="Arial" w:eastAsia="Calibri" w:hAnsi="Arial" w:cs="Arial"/>
          <w:sz w:val="20"/>
          <w:szCs w:val="20"/>
          <w:lang w:eastAsia="en-US"/>
        </w:rPr>
        <w:t xml:space="preserve">vstoupilo v účinnost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</w:t>
      </w:r>
      <w:r w:rsidRPr="006049A0">
        <w:rPr>
          <w:rFonts w:ascii="Arial" w:eastAsia="Calibri" w:hAnsi="Arial" w:cs="Arial"/>
          <w:sz w:val="20"/>
          <w:szCs w:val="20"/>
          <w:lang w:eastAsia="en-US"/>
        </w:rPr>
        <w:t>jen „Nařízení GDPR“).</w:t>
      </w:r>
    </w:p>
    <w:p w14:paraId="0CBA9C86" w14:textId="77777777" w:rsidR="002B13C8" w:rsidRPr="00F52E5B" w:rsidRDefault="002B13C8" w:rsidP="002B13C8">
      <w:pPr>
        <w:widowControl w:val="0"/>
        <w:numPr>
          <w:ilvl w:val="0"/>
          <w:numId w:val="4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2E5B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Objednatel, obchodní společnost Koordinátor veřejné dopravy Zlínského kraje s.r.o. byla založena na základě rozhodnutí Zastupitelstva Zlínského kraje ze dne 21. 12. 2005, jako společnost s ručením omezeným. Jediným společníkem a vlastníkem společnosti je Zlínský kraj. Objednatel je organizací, která při své činnosti zpracovává osobní údaje </w:t>
      </w:r>
      <w:r w:rsidRPr="00F52E5B">
        <w:rPr>
          <w:rFonts w:ascii="Arial" w:eastAsia="Calibri" w:hAnsi="Arial"/>
          <w:sz w:val="20"/>
        </w:rPr>
        <w:t>a je ve smyslu čl. 4 odst. 7</w:t>
      </w:r>
      <w:r w:rsidRPr="00F52E5B">
        <w:rPr>
          <w:rFonts w:ascii="Arial" w:eastAsia="Calibri" w:hAnsi="Arial" w:cs="Arial"/>
          <w:sz w:val="20"/>
          <w:szCs w:val="20"/>
          <w:lang w:eastAsia="en-US"/>
        </w:rPr>
        <w:t xml:space="preserve"> Nařízení GDPR správcem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E136C36" w14:textId="77777777" w:rsidR="002B13C8" w:rsidRPr="001E5F1D" w:rsidRDefault="002B13C8" w:rsidP="002B13C8">
      <w:pPr>
        <w:widowControl w:val="0"/>
        <w:numPr>
          <w:ilvl w:val="0"/>
          <w:numId w:val="4"/>
        </w:numPr>
        <w:spacing w:after="60" w:line="288" w:lineRule="auto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Poskytovatel prohlašuje, že je odborně způsobilý k poskytování </w:t>
      </w:r>
      <w:r w:rsidRPr="001E5F1D">
        <w:rPr>
          <w:rFonts w:ascii="Arial" w:hAnsi="Arial" w:cs="Arial"/>
          <w:bCs/>
          <w:color w:val="000000"/>
          <w:sz w:val="20"/>
          <w:szCs w:val="20"/>
        </w:rPr>
        <w:t xml:space="preserve">služeb pověřence pro ochranu osobních údajů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a disponuje odpovídajícím personálním a technickým zázemím pro zajištění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 pověřence.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A2B41E9" w14:textId="77777777" w:rsidR="002B13C8" w:rsidRPr="001E5F1D" w:rsidRDefault="002B13C8" w:rsidP="002B13C8">
      <w:pPr>
        <w:spacing w:before="240"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II.</w:t>
      </w:r>
    </w:p>
    <w:p w14:paraId="688C6FDE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Předmět smlouvy</w:t>
      </w:r>
    </w:p>
    <w:p w14:paraId="6EAC8AF6" w14:textId="77777777" w:rsidR="002B13C8" w:rsidRPr="001E5F1D" w:rsidRDefault="002B13C8" w:rsidP="002B13C8">
      <w:pPr>
        <w:widowControl w:val="0"/>
        <w:numPr>
          <w:ilvl w:val="0"/>
          <w:numId w:val="5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Předmětem této smlouvy je závazek poskytovatele zajišťovat pro objednavatele veškeré činnost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pověřence pro ochranu osobních údajů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ve smyslu čl. 37 až 39 Nařízení GDPR a dále ve smyslu dalších obecně závazných právních předpisů (včetně těch, které budou vydány) a objednatel se zavazuje za to zaplatit poskytovateli odměnu.</w:t>
      </w:r>
    </w:p>
    <w:p w14:paraId="6C5BEE1C" w14:textId="77777777" w:rsidR="002B13C8" w:rsidRPr="001E5F1D" w:rsidRDefault="002B13C8" w:rsidP="002B13C8">
      <w:pPr>
        <w:widowControl w:val="0"/>
        <w:numPr>
          <w:ilvl w:val="0"/>
          <w:numId w:val="5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bude pro objednatele plnit všechny povinnosti, které Nařízení GDPR a další obecně závazné právní předpisy, pověřencům ukládá (dále také jen „</w:t>
      </w:r>
      <w:r w:rsidRPr="00971028">
        <w:rPr>
          <w:rFonts w:ascii="Arial" w:eastAsia="Calibri" w:hAnsi="Arial" w:cs="Arial"/>
          <w:bCs/>
          <w:sz w:val="20"/>
          <w:szCs w:val="20"/>
          <w:lang w:eastAsia="en-US"/>
        </w:rPr>
        <w:t>služby“).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Poskytovatel bude vykonávat pro objednatele zejména (nikoli však pouze) tyto činnosti 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>pověřence pro ochranu osobních údajů: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DCA93FF" w14:textId="77777777" w:rsidR="002B13C8" w:rsidRPr="00195D3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95D3D">
        <w:rPr>
          <w:rFonts w:ascii="Arial" w:hAnsi="Arial" w:cs="Arial"/>
          <w:sz w:val="20"/>
          <w:szCs w:val="20"/>
        </w:rPr>
        <w:t>Vypracování a podpora implementace dokumentace pro ochranu osobních údajů v souladu s GDPR do podmínek organizace,</w:t>
      </w:r>
    </w:p>
    <w:p w14:paraId="7F9C5FCB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vést záznamy o činnostech zpracování/o všech kategoriích činností prováděných pro objednatele;</w:t>
      </w:r>
    </w:p>
    <w:p w14:paraId="2D13FDDC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poskytovat informace a poradenství objednateli a jeho pracovníkům, kteří provádějí zpracování, o jejich povinnostech podle Nařízení GDPR a dalších obecně závazných právních předpisů v oblasti ochrany údajů;</w:t>
      </w:r>
    </w:p>
    <w:p w14:paraId="72FEB85C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monitorování souladu s Nařízením GDPR a dalšími obecně závaznými právními předpisy v oblasti ochrany údajů s koncepcemi poskytovatele v oblasti ochrany osobních údajů, včetně rozdělení odpovědnosti, zvyšování povědomí a odborné přípravy pracovníků zapojených do operací zpracování a souvisejících auditů;</w:t>
      </w:r>
    </w:p>
    <w:p w14:paraId="30F3A0A7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poskytovat poradenství, pokud jde o posouzení vlivu na ochranu osobních údajů, a monitorování jeho uplatňování podle článku 35 Nařízení GPDR;</w:t>
      </w:r>
    </w:p>
    <w:p w14:paraId="0D66EAA2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shromažďovat informace za účelem zjišťování zpracovatelských činností;</w:t>
      </w:r>
    </w:p>
    <w:p w14:paraId="4043F2A9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analyzovat a prověřovat právní soulad zpracovatelských činností;</w:t>
      </w:r>
    </w:p>
    <w:p w14:paraId="09C124E0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informovat, radit a vydávat doporučení objednateli;</w:t>
      </w:r>
    </w:p>
    <w:p w14:paraId="51B052EE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spolupracovat s dozorovým úřadem;</w:t>
      </w:r>
    </w:p>
    <w:p w14:paraId="746A5F15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působit jako kontaktní místo pro dozorový úřad v záležitostech týkajících se zpracování, včetně předchozí konzultace podle článku 36 Nařízení GDPR, a případně vedení konzultací v jakékoli jiné věci;</w:t>
      </w:r>
    </w:p>
    <w:p w14:paraId="2FCE94AD" w14:textId="77777777" w:rsidR="002B13C8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hanging="153"/>
        <w:contextualSpacing w:val="0"/>
        <w:jc w:val="both"/>
        <w:rPr>
          <w:rFonts w:ascii="Arial" w:hAnsi="Arial" w:cs="Arial"/>
          <w:sz w:val="20"/>
          <w:szCs w:val="20"/>
        </w:rPr>
      </w:pPr>
      <w:r w:rsidRPr="00C45A6E">
        <w:rPr>
          <w:rFonts w:ascii="Arial" w:hAnsi="Arial" w:cs="Arial"/>
          <w:sz w:val="20"/>
          <w:szCs w:val="20"/>
        </w:rPr>
        <w:t xml:space="preserve">je povinen jednat se subjekty údajů ve smyslu čl. 38 odst. 4 </w:t>
      </w:r>
      <w:r>
        <w:rPr>
          <w:rFonts w:ascii="Arial" w:hAnsi="Arial" w:cs="Arial"/>
          <w:sz w:val="20"/>
          <w:szCs w:val="20"/>
        </w:rPr>
        <w:t xml:space="preserve">Nařízení </w:t>
      </w:r>
      <w:r w:rsidRPr="00C45A6E">
        <w:rPr>
          <w:rFonts w:ascii="Arial" w:hAnsi="Arial" w:cs="Arial"/>
          <w:sz w:val="20"/>
          <w:szCs w:val="20"/>
        </w:rPr>
        <w:t>GDPR</w:t>
      </w:r>
    </w:p>
    <w:p w14:paraId="232A87FE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poskytovat posudek objednateli k následujícím otázkám:</w:t>
      </w:r>
    </w:p>
    <w:p w14:paraId="31AFD844" w14:textId="77777777" w:rsidR="002B13C8" w:rsidRPr="001E5F1D" w:rsidRDefault="002B13C8" w:rsidP="002B13C8">
      <w:pPr>
        <w:pStyle w:val="Default"/>
        <w:numPr>
          <w:ilvl w:val="1"/>
          <w:numId w:val="6"/>
        </w:numPr>
        <w:tabs>
          <w:tab w:val="left" w:pos="1418"/>
        </w:tabs>
        <w:spacing w:after="60" w:line="288" w:lineRule="auto"/>
        <w:ind w:left="1418" w:hanging="425"/>
        <w:jc w:val="both"/>
        <w:rPr>
          <w:sz w:val="20"/>
          <w:szCs w:val="20"/>
        </w:rPr>
      </w:pPr>
      <w:r w:rsidRPr="001E5F1D">
        <w:rPr>
          <w:sz w:val="20"/>
          <w:szCs w:val="20"/>
        </w:rPr>
        <w:t>zda je nebo není nutné provést posouzení vlivu;</w:t>
      </w:r>
    </w:p>
    <w:p w14:paraId="42087CFF" w14:textId="77777777" w:rsidR="002B13C8" w:rsidRPr="001E5F1D" w:rsidRDefault="002B13C8" w:rsidP="002B13C8">
      <w:pPr>
        <w:pStyle w:val="Default"/>
        <w:numPr>
          <w:ilvl w:val="1"/>
          <w:numId w:val="6"/>
        </w:numPr>
        <w:tabs>
          <w:tab w:val="left" w:pos="1418"/>
        </w:tabs>
        <w:spacing w:after="60" w:line="288" w:lineRule="auto"/>
        <w:ind w:left="1418" w:hanging="425"/>
        <w:jc w:val="both"/>
        <w:rPr>
          <w:sz w:val="20"/>
          <w:szCs w:val="20"/>
        </w:rPr>
      </w:pPr>
      <w:r w:rsidRPr="001E5F1D">
        <w:rPr>
          <w:sz w:val="20"/>
          <w:szCs w:val="20"/>
        </w:rPr>
        <w:t>jakou metodiku při zpracování posouzení vlivu použít;</w:t>
      </w:r>
    </w:p>
    <w:p w14:paraId="5AB029BD" w14:textId="77777777" w:rsidR="002B13C8" w:rsidRPr="001E5F1D" w:rsidRDefault="002B13C8" w:rsidP="002B13C8">
      <w:pPr>
        <w:pStyle w:val="Default"/>
        <w:numPr>
          <w:ilvl w:val="1"/>
          <w:numId w:val="6"/>
        </w:numPr>
        <w:tabs>
          <w:tab w:val="left" w:pos="1418"/>
        </w:tabs>
        <w:spacing w:after="60" w:line="288" w:lineRule="auto"/>
        <w:ind w:left="1418" w:hanging="425"/>
        <w:jc w:val="both"/>
        <w:rPr>
          <w:sz w:val="20"/>
          <w:szCs w:val="20"/>
        </w:rPr>
      </w:pPr>
      <w:r w:rsidRPr="001E5F1D">
        <w:rPr>
          <w:sz w:val="20"/>
          <w:szCs w:val="20"/>
        </w:rPr>
        <w:t>zda posouzení vlivu vypracovat vlastními silami nebo jeho zpracování zadat externě;</w:t>
      </w:r>
    </w:p>
    <w:p w14:paraId="333E0F1A" w14:textId="77777777" w:rsidR="002B13C8" w:rsidRPr="001E5F1D" w:rsidRDefault="002B13C8" w:rsidP="002B13C8">
      <w:pPr>
        <w:pStyle w:val="Default"/>
        <w:numPr>
          <w:ilvl w:val="1"/>
          <w:numId w:val="6"/>
        </w:numPr>
        <w:tabs>
          <w:tab w:val="left" w:pos="1418"/>
        </w:tabs>
        <w:spacing w:after="60" w:line="288" w:lineRule="auto"/>
        <w:ind w:left="1418" w:hanging="425"/>
        <w:jc w:val="both"/>
        <w:rPr>
          <w:sz w:val="20"/>
          <w:szCs w:val="20"/>
        </w:rPr>
      </w:pPr>
      <w:r w:rsidRPr="001E5F1D">
        <w:rPr>
          <w:sz w:val="20"/>
          <w:szCs w:val="20"/>
        </w:rPr>
        <w:t>jaká ochranná opatření (včetně technických a organizačních) uplatnit pro zmírnění rizik vůči právům a zájmům subjektů údajů;</w:t>
      </w:r>
    </w:p>
    <w:p w14:paraId="6ED6314F" w14:textId="77777777" w:rsidR="002B13C8" w:rsidRPr="001E5F1D" w:rsidRDefault="002B13C8" w:rsidP="002B13C8">
      <w:pPr>
        <w:pStyle w:val="Default"/>
        <w:numPr>
          <w:ilvl w:val="1"/>
          <w:numId w:val="6"/>
        </w:numPr>
        <w:tabs>
          <w:tab w:val="left" w:pos="1418"/>
        </w:tabs>
        <w:spacing w:after="60" w:line="288" w:lineRule="auto"/>
        <w:ind w:left="1418" w:hanging="425"/>
        <w:jc w:val="both"/>
        <w:rPr>
          <w:sz w:val="20"/>
          <w:szCs w:val="20"/>
        </w:rPr>
      </w:pPr>
      <w:r w:rsidRPr="001E5F1D">
        <w:rPr>
          <w:sz w:val="20"/>
          <w:szCs w:val="20"/>
        </w:rPr>
        <w:lastRenderedPageBreak/>
        <w:t>zda posouzení vlivu bylo zpracováno správně a zda jeho závěry (ať už vedou či ne k pokračování zpracovatelské operace a bez ohledu na to, jaká ochranná opatření určují uplatnit) jsou v souladu s Obecným nařízením;</w:t>
      </w:r>
    </w:p>
    <w:p w14:paraId="2A2E8DE0" w14:textId="77777777" w:rsidR="002B13C8" w:rsidRPr="001E5F1D" w:rsidRDefault="002B13C8" w:rsidP="002B13C8">
      <w:pPr>
        <w:pStyle w:val="Odstavecseseznamem"/>
        <w:numPr>
          <w:ilvl w:val="0"/>
          <w:numId w:val="6"/>
        </w:numPr>
        <w:tabs>
          <w:tab w:val="left" w:pos="993"/>
        </w:tabs>
        <w:spacing w:after="60" w:line="288" w:lineRule="auto"/>
        <w:ind w:left="9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zajišťovat návrhy a podílet se na realizaci nápravných opatření, jejichž potřeba realizovat je vyvstane z</w:t>
      </w:r>
      <w:r>
        <w:rPr>
          <w:rFonts w:ascii="Arial" w:hAnsi="Arial" w:cs="Arial"/>
          <w:sz w:val="20"/>
          <w:szCs w:val="20"/>
        </w:rPr>
        <w:t> </w:t>
      </w:r>
      <w:r w:rsidRPr="001E5F1D">
        <w:rPr>
          <w:rFonts w:ascii="Arial" w:hAnsi="Arial" w:cs="Arial"/>
          <w:sz w:val="20"/>
          <w:szCs w:val="20"/>
        </w:rPr>
        <w:t>analýzy</w:t>
      </w:r>
      <w:r>
        <w:rPr>
          <w:rFonts w:ascii="Arial" w:hAnsi="Arial" w:cs="Arial"/>
          <w:sz w:val="20"/>
          <w:szCs w:val="20"/>
        </w:rPr>
        <w:t xml:space="preserve"> procesů zpracování osobních údajů</w:t>
      </w:r>
      <w:r w:rsidRPr="001E5F1D">
        <w:rPr>
          <w:rFonts w:ascii="Arial" w:hAnsi="Arial" w:cs="Arial"/>
          <w:sz w:val="20"/>
          <w:szCs w:val="20"/>
        </w:rPr>
        <w:t xml:space="preserve">. </w:t>
      </w:r>
    </w:p>
    <w:p w14:paraId="57058CAF" w14:textId="77777777" w:rsidR="002B13C8" w:rsidRPr="00C45A6E" w:rsidRDefault="002B13C8" w:rsidP="002B13C8">
      <w:pPr>
        <w:widowControl w:val="0"/>
        <w:numPr>
          <w:ilvl w:val="0"/>
          <w:numId w:val="5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 xml:space="preserve">Poskytovatel bude při provádění činností dle této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>mlouvy postupovat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podle 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>Nařízení GDPR a další</w:t>
      </w:r>
      <w:r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 xml:space="preserve"> obecně závazn</w:t>
      </w:r>
      <w:r>
        <w:rPr>
          <w:rFonts w:ascii="Arial" w:eastAsia="Calibri" w:hAnsi="Arial" w:cs="Arial"/>
          <w:sz w:val="20"/>
          <w:szCs w:val="20"/>
          <w:lang w:eastAsia="en-US"/>
        </w:rPr>
        <w:t>ých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 xml:space="preserve"> právní</w:t>
      </w:r>
      <w:r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 xml:space="preserve"> předpis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ů a 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>rovněž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také 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>dle:</w:t>
      </w:r>
    </w:p>
    <w:p w14:paraId="0AF30C44" w14:textId="77777777" w:rsidR="002B13C8" w:rsidRDefault="002B13C8" w:rsidP="002B13C8">
      <w:pPr>
        <w:widowControl w:val="0"/>
        <w:numPr>
          <w:ilvl w:val="0"/>
          <w:numId w:val="14"/>
        </w:numPr>
        <w:spacing w:after="60" w:line="288" w:lineRule="auto"/>
        <w:ind w:left="993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pokynů vydaných Pracovní skupinou WP 29 (podle čl. 29 Nařízení), jako např.</w:t>
      </w:r>
    </w:p>
    <w:p w14:paraId="292A3564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Pokyny týkající se pověřenců pro ochranu osobních údajů,</w:t>
      </w:r>
    </w:p>
    <w:p w14:paraId="534F0901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Pokyny k ohlašování případů porušení zabezpečení osobních údajů,</w:t>
      </w:r>
    </w:p>
    <w:p w14:paraId="1A1956BD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Pokyny k posouzení vlivu na ochranu osobních údajů a ke stanovení, zda zpracování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45A6E">
        <w:rPr>
          <w:rFonts w:ascii="Arial" w:eastAsia="Calibri" w:hAnsi="Arial" w:cs="Arial"/>
          <w:sz w:val="20"/>
          <w:szCs w:val="20"/>
          <w:lang w:eastAsia="en-US"/>
        </w:rPr>
        <w:t>bude „pravděpodobně mít za následek vysoké riziko“,</w:t>
      </w:r>
    </w:p>
    <w:p w14:paraId="59214F4D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Pokyny týkající se práva na přenositelnost údajů,</w:t>
      </w:r>
    </w:p>
    <w:p w14:paraId="6DEC111D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Pokyny k uplatňování a stanovování správních pokut,</w:t>
      </w:r>
    </w:p>
    <w:p w14:paraId="14598511" w14:textId="77777777" w:rsidR="002B13C8" w:rsidRPr="00C45A6E" w:rsidRDefault="002B13C8" w:rsidP="002B13C8">
      <w:pPr>
        <w:widowControl w:val="0"/>
        <w:numPr>
          <w:ilvl w:val="2"/>
          <w:numId w:val="6"/>
        </w:numPr>
        <w:spacing w:after="60" w:line="288" w:lineRule="auto"/>
        <w:ind w:left="1418" w:hanging="42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Stanovisko 2/2017 ke zpracování osobních údajů na pracovišti.</w:t>
      </w:r>
    </w:p>
    <w:p w14:paraId="495296A5" w14:textId="77777777" w:rsidR="002B13C8" w:rsidRDefault="002B13C8" w:rsidP="002B13C8">
      <w:pPr>
        <w:widowControl w:val="0"/>
        <w:numPr>
          <w:ilvl w:val="0"/>
          <w:numId w:val="13"/>
        </w:numPr>
        <w:spacing w:after="60" w:line="288" w:lineRule="auto"/>
        <w:ind w:left="993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45A6E">
        <w:rPr>
          <w:rFonts w:ascii="Arial" w:eastAsia="Calibri" w:hAnsi="Arial" w:cs="Arial"/>
          <w:sz w:val="20"/>
          <w:szCs w:val="20"/>
          <w:lang w:eastAsia="en-US"/>
        </w:rPr>
        <w:t>doporučení, metodických pomůcek apod. vydáv</w:t>
      </w:r>
      <w:r>
        <w:rPr>
          <w:rFonts w:ascii="Arial" w:eastAsia="Calibri" w:hAnsi="Arial" w:cs="Arial"/>
          <w:sz w:val="20"/>
          <w:szCs w:val="20"/>
          <w:lang w:eastAsia="en-US"/>
        </w:rPr>
        <w:t>aných ústředními správními orgány (ministerstvy apod.).</w:t>
      </w:r>
    </w:p>
    <w:p w14:paraId="006A1DFF" w14:textId="77777777" w:rsidR="002B13C8" w:rsidRPr="001E5F1D" w:rsidRDefault="002B13C8" w:rsidP="002B13C8">
      <w:pPr>
        <w:widowControl w:val="0"/>
        <w:spacing w:after="60" w:line="288" w:lineRule="auto"/>
        <w:ind w:left="99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0D8241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III.</w:t>
      </w:r>
    </w:p>
    <w:p w14:paraId="5B4A9715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Podmínky poskytování služeb</w:t>
      </w:r>
    </w:p>
    <w:p w14:paraId="5792F10E" w14:textId="77777777" w:rsidR="002B13C8" w:rsidRPr="00C45A6E" w:rsidRDefault="002B13C8" w:rsidP="002B13C8">
      <w:pPr>
        <w:widowControl w:val="0"/>
        <w:numPr>
          <w:ilvl w:val="0"/>
          <w:numId w:val="7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</w:t>
      </w:r>
      <w:r>
        <w:rPr>
          <w:rFonts w:ascii="Arial" w:eastAsia="Calibri" w:hAnsi="Arial" w:cs="Arial"/>
          <w:sz w:val="20"/>
          <w:szCs w:val="20"/>
          <w:lang w:eastAsia="en-US"/>
        </w:rPr>
        <w:t>tovatel prohlašuje, že činnost p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ověřence bude vykonávat zcela nezávisle a že není ve střetu zájmů s objednatelem.</w:t>
      </w:r>
    </w:p>
    <w:p w14:paraId="3B36914F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se zavazuje zajistit realizaci předmětu smlouvy výlučně prostřednictvím členů týmu, kteří mají odpovídající kvalifikaci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1E5F1D">
        <w:rPr>
          <w:rFonts w:ascii="Arial" w:hAnsi="Arial" w:cs="Arial"/>
          <w:sz w:val="20"/>
          <w:szCs w:val="20"/>
        </w:rPr>
        <w:t xml:space="preserve"> </w:t>
      </w:r>
    </w:p>
    <w:p w14:paraId="37715AC4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 xml:space="preserve">Poskytovatel je povinen sdělit objednateli jméno, příjmení a telefonický kontakt na fyzickou osobu (člena týmu), která bude </w:t>
      </w:r>
      <w:r>
        <w:rPr>
          <w:rFonts w:ascii="Arial" w:hAnsi="Arial" w:cs="Arial"/>
          <w:sz w:val="20"/>
          <w:szCs w:val="20"/>
        </w:rPr>
        <w:t xml:space="preserve">fakticky </w:t>
      </w:r>
      <w:r w:rsidRPr="001E5F1D">
        <w:rPr>
          <w:rFonts w:ascii="Arial" w:hAnsi="Arial" w:cs="Arial"/>
          <w:sz w:val="20"/>
          <w:szCs w:val="20"/>
        </w:rPr>
        <w:t>zajišťovat službu pověřence pro ochranu osobních údajů</w:t>
      </w:r>
      <w:r>
        <w:rPr>
          <w:rFonts w:ascii="Arial" w:hAnsi="Arial" w:cs="Arial"/>
          <w:sz w:val="20"/>
          <w:szCs w:val="20"/>
        </w:rPr>
        <w:t>.</w:t>
      </w:r>
      <w:r w:rsidRPr="001E5F1D">
        <w:rPr>
          <w:rFonts w:ascii="Arial" w:hAnsi="Arial" w:cs="Arial"/>
          <w:sz w:val="20"/>
          <w:szCs w:val="20"/>
        </w:rPr>
        <w:t xml:space="preserve"> </w:t>
      </w:r>
    </w:p>
    <w:p w14:paraId="12B3ED98" w14:textId="77777777" w:rsidR="002B13C8" w:rsidRPr="005A41E7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V případě změny fyzické osoby, která bude zajišťovat činnost pověřence pro ochranu osobních údajů, je poskytovatel povinen oznámit objednateli tuto změnu nejméně 15 pracovních dnů před provedením této změny</w:t>
      </w:r>
      <w:r>
        <w:rPr>
          <w:rFonts w:ascii="Arial" w:hAnsi="Arial" w:cs="Arial"/>
          <w:sz w:val="20"/>
          <w:szCs w:val="20"/>
        </w:rPr>
        <w:t xml:space="preserve">. </w:t>
      </w:r>
      <w:r w:rsidRPr="005A41E7">
        <w:rPr>
          <w:rFonts w:ascii="Arial" w:hAnsi="Arial" w:cs="Arial"/>
          <w:sz w:val="20"/>
          <w:szCs w:val="20"/>
        </w:rPr>
        <w:t xml:space="preserve">Objednatel si vyhrazuje právo požadovat výměnu </w:t>
      </w:r>
      <w:r>
        <w:rPr>
          <w:rFonts w:ascii="Arial" w:hAnsi="Arial" w:cs="Arial"/>
          <w:sz w:val="20"/>
          <w:szCs w:val="20"/>
        </w:rPr>
        <w:t xml:space="preserve">osoby, </w:t>
      </w:r>
      <w:r w:rsidRPr="001E5F1D">
        <w:rPr>
          <w:rFonts w:ascii="Arial" w:hAnsi="Arial" w:cs="Arial"/>
          <w:sz w:val="20"/>
          <w:szCs w:val="20"/>
        </w:rPr>
        <w:t>která bude zajišťovat činnost pověřence pro ochranu osobních údajů</w:t>
      </w:r>
      <w:r>
        <w:rPr>
          <w:rFonts w:ascii="Arial" w:hAnsi="Arial" w:cs="Arial"/>
          <w:sz w:val="20"/>
          <w:szCs w:val="20"/>
        </w:rPr>
        <w:t xml:space="preserve">, </w:t>
      </w:r>
      <w:r w:rsidRPr="005A41E7">
        <w:rPr>
          <w:rFonts w:ascii="Arial" w:hAnsi="Arial" w:cs="Arial"/>
          <w:sz w:val="20"/>
          <w:szCs w:val="20"/>
        </w:rPr>
        <w:t>v případě nespokojenosti, a to předev</w:t>
      </w:r>
      <w:r>
        <w:rPr>
          <w:rFonts w:ascii="Arial" w:hAnsi="Arial" w:cs="Arial"/>
          <w:sz w:val="20"/>
          <w:szCs w:val="20"/>
        </w:rPr>
        <w:t>ším s kvalitou s poskytovanými s</w:t>
      </w:r>
      <w:r w:rsidRPr="005A41E7">
        <w:rPr>
          <w:rFonts w:ascii="Arial" w:hAnsi="Arial" w:cs="Arial"/>
          <w:sz w:val="20"/>
          <w:szCs w:val="20"/>
        </w:rPr>
        <w:t xml:space="preserve">lužbami ze strany </w:t>
      </w:r>
      <w:r>
        <w:rPr>
          <w:rFonts w:ascii="Arial" w:hAnsi="Arial" w:cs="Arial"/>
          <w:sz w:val="20"/>
          <w:szCs w:val="20"/>
        </w:rPr>
        <w:t>dané fyzické osoby</w:t>
      </w:r>
      <w:r w:rsidRPr="005A41E7">
        <w:rPr>
          <w:rFonts w:ascii="Arial" w:hAnsi="Arial" w:cs="Arial"/>
          <w:sz w:val="20"/>
          <w:szCs w:val="20"/>
        </w:rPr>
        <w:t xml:space="preserve">. Objednatel je povinen žádost o výměnu </w:t>
      </w:r>
      <w:r>
        <w:rPr>
          <w:rFonts w:ascii="Arial" w:hAnsi="Arial" w:cs="Arial"/>
          <w:sz w:val="20"/>
          <w:szCs w:val="20"/>
        </w:rPr>
        <w:t xml:space="preserve">osoby, </w:t>
      </w:r>
      <w:r w:rsidRPr="001E5F1D">
        <w:rPr>
          <w:rFonts w:ascii="Arial" w:hAnsi="Arial" w:cs="Arial"/>
          <w:sz w:val="20"/>
          <w:szCs w:val="20"/>
        </w:rPr>
        <w:t>která bude zajišťovat činnost pověřence pro ochranu osobních údajů</w:t>
      </w:r>
      <w:r w:rsidRPr="005A4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poskytovateli vždy zdůvodnit.</w:t>
      </w:r>
      <w:r w:rsidRPr="005A4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A41E7">
        <w:rPr>
          <w:rFonts w:ascii="Arial" w:hAnsi="Arial" w:cs="Arial"/>
          <w:sz w:val="20"/>
          <w:szCs w:val="20"/>
        </w:rPr>
        <w:t xml:space="preserve">oskytovatel však tento důvod není oprávněn rozporovat a je povinen žádosti do </w:t>
      </w:r>
      <w:proofErr w:type="gramStart"/>
      <w:r w:rsidRPr="005A41E7">
        <w:rPr>
          <w:rFonts w:ascii="Arial" w:hAnsi="Arial" w:cs="Arial"/>
          <w:sz w:val="20"/>
          <w:szCs w:val="20"/>
        </w:rPr>
        <w:t>30-ti</w:t>
      </w:r>
      <w:proofErr w:type="gramEnd"/>
      <w:r w:rsidRPr="005A41E7">
        <w:rPr>
          <w:rFonts w:ascii="Arial" w:hAnsi="Arial" w:cs="Arial"/>
          <w:sz w:val="20"/>
          <w:szCs w:val="20"/>
        </w:rPr>
        <w:t xml:space="preserve"> dnů vyhovět.</w:t>
      </w:r>
    </w:p>
    <w:p w14:paraId="1BAE9246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Objednatel se zavazuje poskytnout poskytovateli součinnost při poskytování služeb pověřence pro ochranu osobních údajů, zejména mu umožní přístup do svého sídla a sídla jednotlivých poboček objednatele,</w:t>
      </w:r>
      <w:r>
        <w:rPr>
          <w:rFonts w:ascii="Arial" w:hAnsi="Arial" w:cs="Arial"/>
          <w:sz w:val="20"/>
          <w:szCs w:val="20"/>
        </w:rPr>
        <w:t xml:space="preserve"> </w:t>
      </w:r>
      <w:r w:rsidRPr="001E5F1D">
        <w:rPr>
          <w:rFonts w:ascii="Arial" w:hAnsi="Arial" w:cs="Arial"/>
          <w:sz w:val="20"/>
          <w:szCs w:val="20"/>
        </w:rPr>
        <w:t xml:space="preserve">ve kterých bude služba poskytována </w:t>
      </w:r>
      <w:r>
        <w:rPr>
          <w:rFonts w:ascii="Arial" w:hAnsi="Arial" w:cs="Arial"/>
          <w:sz w:val="20"/>
          <w:szCs w:val="20"/>
        </w:rPr>
        <w:t>a umožní mu výkon činností pověřence v těchto prostorách,</w:t>
      </w:r>
      <w:r w:rsidRPr="001E5F1D">
        <w:rPr>
          <w:rFonts w:ascii="Arial" w:hAnsi="Arial" w:cs="Arial"/>
          <w:sz w:val="20"/>
          <w:szCs w:val="20"/>
        </w:rPr>
        <w:t xml:space="preserve"> a poskytne potřebné informace nezbytné pro výkon činnosti pověřence pro ochranu osobních údajů, které má k dispozici.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2E47CC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hAnsi="Arial" w:cs="Arial"/>
          <w:sz w:val="20"/>
          <w:szCs w:val="20"/>
        </w:rPr>
        <w:t>Poskytovatel zodpovídá za správnost a odbornost poskytovaných služeb a jejich soulad s platnou legislativou.</w:t>
      </w:r>
    </w:p>
    <w:p w14:paraId="718511B5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je povinen informovat objednatele o výsledcích své činnosti a předat mu vše, co v souvislosti s plněním svých povinností získal.</w:t>
      </w:r>
    </w:p>
    <w:p w14:paraId="19053A3A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Poskytovatel, vč. všech jeho zaměstnanců a osob podílejících se na poskytování služeb podle této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mlouvy, jsou povinni zachovávat mlčenlivost o skutečnostech, o kterých se v souvislosti s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lastRenderedPageBreak/>
        <w:t>výkonem činnosti dle této smlouvy dozví, a poskytovatel se zavazuje zajistit, že tyto skutečnosti a informace tyto osoby nevyužijí ve svůj prospěch či prospěch třetích osob, popř. k újmě objednatele či újmě třetích osob. Současně se poskytovatel zavazuje, že přijme taková opatření, která v maximální možné míře omezí riziko úniku informací ke třetím osobám v souvislosti s jeho činnostmi v této smlouvě popsanými či touto smlouvou předpokládanými. Tento závazek trvá bez časového omezení i po skončení této smlouvy, pokud objednatel písemně nezbaví poskytovatele částečně nebo úplně těchto povinností.</w:t>
      </w:r>
    </w:p>
    <w:p w14:paraId="78978514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zahájit plnění předmětu smlouvy bez zbytečného odkladu poté, co po podpisu této smlouvy bude objednatelem písemně (případně emailovou zprávou) vyzván k zahájení plnění. </w:t>
      </w:r>
    </w:p>
    <w:p w14:paraId="67D95171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Poskytovatel je povinen mít k dispozici vlastní kancelář, která je jeho sídlem. Poskytovatel se zavazuje zajistit stálou dostupnost běžnými komunikačními prostředky (tj. </w:t>
      </w:r>
      <w:r w:rsidRPr="001E5F1D">
        <w:rPr>
          <w:rFonts w:ascii="Arial" w:hAnsi="Arial" w:cs="Arial"/>
          <w:sz w:val="20"/>
          <w:szCs w:val="20"/>
        </w:rPr>
        <w:t>telefon, mobilní telefon, email apod.) osobně nebo prostřednictvím svého sekretariátu.</w:t>
      </w:r>
    </w:p>
    <w:p w14:paraId="17163B96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nebo jeho zástupce, je povinen být k dispozici podle potřeb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nebo instrukcí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objednatele v sídle objednatele nebo na jiném, objednatelem určeném pracovišti, a to v době, na které se objednatel a poskytovatel dohodnou, po podpisu této smlouvy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AF8B3AC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je povinen ke dni uzavřen</w:t>
      </w:r>
      <w:r>
        <w:rPr>
          <w:rFonts w:ascii="Arial" w:eastAsia="Calibri" w:hAnsi="Arial" w:cs="Arial"/>
          <w:sz w:val="20"/>
          <w:szCs w:val="20"/>
          <w:lang w:eastAsia="en-US"/>
        </w:rPr>
        <w:t>í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této smlouvy mít a po celou dobu trvání smlouvy udržovat pojištění odpovědnosti za škodu způsobenou při výkonu povolání třetím osobám s pojistným plněním v minimální výši 5.000.000</w:t>
      </w:r>
      <w:r w:rsidRPr="001E5F1D">
        <w:rPr>
          <w:rFonts w:ascii="Arial" w:hAnsi="Arial" w:cs="Arial"/>
          <w:sz w:val="20"/>
          <w:szCs w:val="20"/>
        </w:rPr>
        <w:t xml:space="preserve"> Kč.</w:t>
      </w:r>
    </w:p>
    <w:p w14:paraId="4211A094" w14:textId="77777777" w:rsidR="002B13C8" w:rsidRPr="001E5F1D" w:rsidRDefault="002B13C8" w:rsidP="002B13C8">
      <w:pPr>
        <w:numPr>
          <w:ilvl w:val="0"/>
          <w:numId w:val="7"/>
        </w:numPr>
        <w:autoSpaceDE w:val="0"/>
        <w:autoSpaceDN w:val="0"/>
        <w:adjustRightInd w:val="0"/>
        <w:spacing w:after="60"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odpovídá objednateli za škody, které svou činností způsobil a za škody na majetku objednatele, ve kterých je služba pověřence pro ochranu osobních údajů poskytována, popřípadě za škody, které činností poskytovatel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vzniknou dalším osobám, a to v plném rozsahu.  Za škodu se považuje rovněž i udělená sankce ze strany dozorového orgánu nebo sankce či jiné finanční plnění na základě rozhodnutí jiného orgánu veřejné moci, která byla objednateli uložena, a která vznikla v důsledku činnosti nebo nečinnosti pověřence pro ochranu osobních údajů. </w:t>
      </w:r>
    </w:p>
    <w:p w14:paraId="394A3877" w14:textId="77777777" w:rsidR="002B13C8" w:rsidRPr="001E5F1D" w:rsidRDefault="002B13C8" w:rsidP="002B13C8">
      <w:pPr>
        <w:numPr>
          <w:ilvl w:val="0"/>
          <w:numId w:val="7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Není-li mezi smluvními stranami ujednáno jinak zejména s ohledem na složitost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časovou </w:t>
      </w:r>
      <w:r w:rsidRPr="00B232A7">
        <w:rPr>
          <w:rFonts w:ascii="Arial" w:eastAsia="Calibri" w:hAnsi="Arial" w:cs="Arial"/>
          <w:sz w:val="20"/>
          <w:szCs w:val="20"/>
          <w:lang w:eastAsia="en-US"/>
        </w:rPr>
        <w:t xml:space="preserve">náročnost úkolu, bude poskytovatel plnit úkoly dle této smlouvy bez zbytečného odkladu, nejpozději do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232A7">
        <w:rPr>
          <w:rFonts w:ascii="Arial" w:eastAsia="Calibri" w:hAnsi="Arial" w:cs="Arial"/>
          <w:sz w:val="20"/>
          <w:szCs w:val="20"/>
          <w:lang w:eastAsia="en-US"/>
        </w:rPr>
        <w:t xml:space="preserve"> pracovních dnů od odeslání požadavku objednatelem poskytovateli nebo od vzniku rozhodné skutečnosti (např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. zveřejnění právního předpisu ve sbírce zákonů apod.) nebo ve lhůtách stanovených v právním nebo interním předpisu. Neposkytnutí služeb v rámci plnění předmětu smlouvy ve lhůtě v souladu se smlouvou nebo ve lhůtě stanovené objednatelem je považováno za zvlášť hrubé porušení smluvních podmínek, které dává objednateli právo jednostranně odstoupit od smlouvy. </w:t>
      </w:r>
    </w:p>
    <w:p w14:paraId="6F64F9E1" w14:textId="77777777" w:rsidR="002B13C8" w:rsidRPr="001E5F1D" w:rsidRDefault="002B13C8" w:rsidP="002B13C8">
      <w:pPr>
        <w:numPr>
          <w:ilvl w:val="0"/>
          <w:numId w:val="7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není oprávněn postoupit práva, povinnosti a závazky vyplývající z této smlouvy třetím osobám bez předchozího písemného souhlasu objednatele.</w:t>
      </w:r>
    </w:p>
    <w:p w14:paraId="0FD325FA" w14:textId="77777777" w:rsidR="002B13C8" w:rsidRDefault="002B13C8" w:rsidP="002B13C8">
      <w:pPr>
        <w:keepNext/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2649767" w14:textId="77777777" w:rsidR="002B13C8" w:rsidRPr="001E5F1D" w:rsidRDefault="002B13C8" w:rsidP="002B13C8">
      <w:pPr>
        <w:keepNext/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IV.</w:t>
      </w:r>
    </w:p>
    <w:p w14:paraId="58110B01" w14:textId="77777777" w:rsidR="002B13C8" w:rsidRPr="001E5F1D" w:rsidRDefault="002B13C8" w:rsidP="002B13C8">
      <w:pPr>
        <w:keepNext/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Místo plnění</w:t>
      </w:r>
    </w:p>
    <w:p w14:paraId="20E0153C" w14:textId="77777777" w:rsidR="002B13C8" w:rsidRPr="001E5F1D" w:rsidRDefault="002B13C8" w:rsidP="002B13C8">
      <w:pPr>
        <w:pStyle w:val="Textodst1sl"/>
        <w:numPr>
          <w:ilvl w:val="0"/>
          <w:numId w:val="12"/>
        </w:numPr>
        <w:tabs>
          <w:tab w:val="clear" w:pos="0"/>
          <w:tab w:val="clear" w:pos="284"/>
        </w:tabs>
        <w:spacing w:before="0" w:after="60" w:line="288" w:lineRule="auto"/>
        <w:ind w:left="567" w:hanging="567"/>
        <w:rPr>
          <w:rFonts w:ascii="Arial" w:hAnsi="Arial" w:cs="Arial"/>
          <w:sz w:val="20"/>
        </w:rPr>
      </w:pPr>
      <w:r w:rsidRPr="001E5F1D">
        <w:rPr>
          <w:rFonts w:ascii="Arial" w:hAnsi="Arial" w:cs="Arial"/>
          <w:sz w:val="20"/>
        </w:rPr>
        <w:t>Místem plnění jsou prostory objednatele</w:t>
      </w:r>
      <w:r w:rsidRPr="006049A0">
        <w:t xml:space="preserve"> </w:t>
      </w:r>
      <w:r w:rsidRPr="006049A0">
        <w:rPr>
          <w:rFonts w:ascii="Arial" w:hAnsi="Arial" w:cs="Arial"/>
          <w:sz w:val="20"/>
        </w:rPr>
        <w:t>na adrese</w:t>
      </w:r>
      <w:r>
        <w:rPr>
          <w:rFonts w:ascii="Arial" w:hAnsi="Arial" w:cs="Arial"/>
          <w:sz w:val="20"/>
        </w:rPr>
        <w:t>:</w:t>
      </w:r>
      <w:r w:rsidRPr="006049A0">
        <w:rPr>
          <w:rFonts w:ascii="Arial" w:hAnsi="Arial" w:cs="Arial"/>
          <w:sz w:val="20"/>
        </w:rPr>
        <w:t xml:space="preserve"> </w:t>
      </w:r>
      <w:proofErr w:type="spellStart"/>
      <w:r w:rsidRPr="006049A0">
        <w:rPr>
          <w:rFonts w:ascii="Arial" w:hAnsi="Arial" w:cs="Arial"/>
          <w:sz w:val="20"/>
        </w:rPr>
        <w:t>Podvesná</w:t>
      </w:r>
      <w:proofErr w:type="spellEnd"/>
      <w:r w:rsidRPr="006049A0">
        <w:rPr>
          <w:rFonts w:ascii="Arial" w:hAnsi="Arial" w:cs="Arial"/>
          <w:sz w:val="20"/>
        </w:rPr>
        <w:t xml:space="preserve"> XVII 3833, 760 01 Zlín</w:t>
      </w:r>
      <w:r>
        <w:rPr>
          <w:rFonts w:ascii="Arial" w:hAnsi="Arial" w:cs="Arial"/>
          <w:sz w:val="20"/>
        </w:rPr>
        <w:t>, sídlo poskytovatele v Praze na adrese: K Trninám 945/34, 163 00 Praha 6 – Řepy a pobočka v Brně na adrese Scheinerova 1570/6, 628 00 Brno.</w:t>
      </w:r>
    </w:p>
    <w:p w14:paraId="4F9B598A" w14:textId="77777777" w:rsidR="002B13C8" w:rsidRPr="001E5F1D" w:rsidRDefault="002B13C8" w:rsidP="002B13C8">
      <w:p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5C6EC8F" w14:textId="77777777" w:rsidR="002B13C8" w:rsidRPr="001E5F1D" w:rsidRDefault="002B13C8" w:rsidP="002B13C8">
      <w:pPr>
        <w:keepNext/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V.</w:t>
      </w:r>
    </w:p>
    <w:p w14:paraId="0B6DF33C" w14:textId="77777777" w:rsidR="002B13C8" w:rsidRPr="001E5F1D" w:rsidRDefault="002B13C8" w:rsidP="002B13C8">
      <w:pPr>
        <w:keepNext/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Odměna poskytovatele za poskytování služeb</w:t>
      </w:r>
    </w:p>
    <w:p w14:paraId="1418EAA4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Objednatel se zavazuje zaplatit poskytovateli za poskytování služeb 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>pověřence pro ochranu osobních údajů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odměnu.</w:t>
      </w:r>
    </w:p>
    <w:p w14:paraId="1AEE3EA4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Odměna poskytovatele za poskytování služby 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pověřence pro ochranu osobních údajů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podle této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smlouvy se sjednává jako časová odměna ve výši </w:t>
      </w:r>
      <w:r>
        <w:rPr>
          <w:rFonts w:ascii="Arial" w:eastAsia="Calibri" w:hAnsi="Arial" w:cs="Arial"/>
          <w:sz w:val="20"/>
          <w:szCs w:val="20"/>
          <w:lang w:eastAsia="en-US"/>
        </w:rPr>
        <w:t>950</w:t>
      </w:r>
      <w:r w:rsidRPr="00B16D0F">
        <w:rPr>
          <w:rFonts w:ascii="Arial" w:eastAsia="Calibri" w:hAnsi="Arial" w:cs="Arial"/>
          <w:sz w:val="20"/>
          <w:szCs w:val="20"/>
          <w:lang w:eastAsia="en-US"/>
        </w:rPr>
        <w:t xml:space="preserve"> Kč (bez daně z přidané hodnoty) + daň z přidané hodnoty ve výši </w:t>
      </w:r>
      <w:r>
        <w:rPr>
          <w:rFonts w:ascii="Arial" w:eastAsia="Calibri" w:hAnsi="Arial" w:cs="Arial"/>
          <w:sz w:val="20"/>
          <w:szCs w:val="20"/>
          <w:lang w:eastAsia="en-US"/>
        </w:rPr>
        <w:t>200</w:t>
      </w:r>
      <w:r w:rsidRPr="00B16D0F">
        <w:rPr>
          <w:rFonts w:ascii="Arial" w:eastAsia="Calibri" w:hAnsi="Arial" w:cs="Arial"/>
          <w:sz w:val="20"/>
          <w:szCs w:val="20"/>
          <w:lang w:eastAsia="en-US"/>
        </w:rPr>
        <w:t xml:space="preserve"> Kč,</w:t>
      </w:r>
      <w:r w:rsidRPr="00B16D0F">
        <w:rPr>
          <w:rFonts w:ascii="Arial" w:hAnsi="Arial" w:cs="Arial"/>
          <w:sz w:val="20"/>
          <w:szCs w:val="20"/>
        </w:rPr>
        <w:t xml:space="preserve"> </w:t>
      </w:r>
      <w:r w:rsidRPr="00B16D0F">
        <w:rPr>
          <w:rFonts w:ascii="Arial" w:eastAsia="Calibri" w:hAnsi="Arial" w:cs="Arial"/>
          <w:sz w:val="20"/>
          <w:szCs w:val="20"/>
          <w:lang w:eastAsia="en-US"/>
        </w:rPr>
        <w:t xml:space="preserve">celkem tedy časová odměna </w:t>
      </w:r>
      <w:r>
        <w:rPr>
          <w:rFonts w:ascii="Arial" w:eastAsia="Calibri" w:hAnsi="Arial" w:cs="Arial"/>
          <w:sz w:val="20"/>
          <w:szCs w:val="20"/>
          <w:lang w:eastAsia="en-US"/>
        </w:rPr>
        <w:t>1.150</w:t>
      </w:r>
      <w:r w:rsidRPr="00B16D0F">
        <w:rPr>
          <w:rFonts w:ascii="Arial" w:eastAsia="Calibri" w:hAnsi="Arial" w:cs="Arial"/>
          <w:sz w:val="20"/>
          <w:szCs w:val="20"/>
          <w:lang w:eastAsia="en-US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včetně daně z přidané hodnoty za každou 1 hodinu (60 min.) poskytování služby 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>pověřence pro ochranu osobních údajů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40E5E1BC" w14:textId="77777777" w:rsidR="002B13C8" w:rsidRPr="002E7E03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Uvedená cena za 1 hodinu (60 minut) poskytnutých služeb je cenou nejvýše přípustnou a nepřekročitelnou a jsou v ní zahrnuty veškeré náklady potřebné ke splnění předmětu této smlouvy, jakož i veškeré náklady související (např. na administrativní podporu, náklady na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cestovné,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poštovné a hovorné apod.). Smluvní strany nejsou oprávněny v průběhu plnění této smlouvy jakkoli navyšovat cenu za 1 hodinu (60 minut) poskytnutých služeb uvedenou v čl. IV. odst. 2 této smlouvy. Jednotkovou cenu je možno překročit pouze v případě, že dojde ke změnám daňových právních předpisů, které budou mít prokazatelný vliv na výši jednotkové ceny, a to konkrétně v případě zvýšení sazby DPH. V případě, že dojde ke snížení sazby DPH, bude jednotková cena úměrně snížena.</w:t>
      </w:r>
    </w:p>
    <w:p w14:paraId="4E11C010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7E03">
        <w:rPr>
          <w:rFonts w:ascii="Arial" w:eastAsia="Calibri" w:hAnsi="Arial" w:cs="Arial"/>
          <w:sz w:val="20"/>
          <w:szCs w:val="20"/>
          <w:lang w:eastAsia="en-US"/>
        </w:rPr>
        <w:t xml:space="preserve">Poskytovatel je oprávněn fakturovat za poskytování služby </w:t>
      </w:r>
      <w:r w:rsidRPr="002E7E03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pověřence pro ochranu osobních údajů </w:t>
      </w:r>
      <w:r w:rsidRPr="002E7E03">
        <w:rPr>
          <w:rFonts w:ascii="Arial" w:eastAsia="Calibri" w:hAnsi="Arial" w:cs="Arial"/>
          <w:sz w:val="20"/>
          <w:szCs w:val="20"/>
          <w:lang w:eastAsia="en-US"/>
        </w:rPr>
        <w:t xml:space="preserve">podle této </w:t>
      </w:r>
      <w:r w:rsidRPr="00195D3D">
        <w:rPr>
          <w:rFonts w:ascii="Arial" w:eastAsia="Calibri" w:hAnsi="Arial" w:cs="Arial"/>
          <w:sz w:val="20"/>
          <w:szCs w:val="20"/>
          <w:lang w:eastAsia="en-US"/>
        </w:rPr>
        <w:t>smlouvy vždy maximálně 20</w:t>
      </w:r>
      <w:r w:rsidRPr="00195D3D">
        <w:rPr>
          <w:rFonts w:ascii="Arial" w:eastAsia="Calibri" w:hAnsi="Arial"/>
          <w:sz w:val="20"/>
        </w:rPr>
        <w:t xml:space="preserve"> hodin</w:t>
      </w:r>
      <w:r w:rsidRPr="00195D3D">
        <w:rPr>
          <w:rFonts w:ascii="Arial" w:eastAsia="Calibri" w:hAnsi="Arial" w:cs="Arial"/>
          <w:sz w:val="20"/>
          <w:szCs w:val="20"/>
          <w:lang w:eastAsia="en-US"/>
        </w:rPr>
        <w:t xml:space="preserve"> za každý</w:t>
      </w:r>
      <w:r w:rsidRPr="002E7E03">
        <w:rPr>
          <w:rFonts w:ascii="Arial" w:eastAsia="Calibri" w:hAnsi="Arial" w:cs="Arial"/>
          <w:sz w:val="20"/>
          <w:szCs w:val="20"/>
          <w:lang w:eastAsia="en-US"/>
        </w:rPr>
        <w:t xml:space="preserve"> kalendářní měsíc, a to i v případě, že by poskytováním služby </w:t>
      </w:r>
      <w:r w:rsidRPr="002E7E03">
        <w:rPr>
          <w:rFonts w:ascii="Arial" w:eastAsia="Calibri" w:hAnsi="Arial" w:cs="Arial"/>
          <w:bCs/>
          <w:sz w:val="20"/>
          <w:szCs w:val="20"/>
          <w:lang w:eastAsia="en-US"/>
        </w:rPr>
        <w:t>pověřence pro ochranu osobních údajů</w:t>
      </w:r>
      <w:r w:rsidRPr="002E7E03">
        <w:rPr>
          <w:rFonts w:ascii="Arial" w:eastAsia="Calibri" w:hAnsi="Arial" w:cs="Arial"/>
          <w:sz w:val="20"/>
          <w:szCs w:val="20"/>
          <w:lang w:eastAsia="en-US"/>
        </w:rPr>
        <w:t xml:space="preserve"> strávil v daném kalendářním měsíci i více času. Poskytovatel není oprávněn odmítnout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další poskytování služeb podle této smlouvy z důvodu, že čas strávený službami v daném kalendářním měsíci přesáhl maximální počet hodin. K překročení fakturace maximálních limitů hodin poskytnutých služeb za jeden kalendářní měsíc může dojít pouze ojediněle a po předchozím odsouhlasení objednatelem.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Objednatel bere na vědomí, že k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překročení fakturace maximálních limitů hodin poskytnutých služeb za jeden kalendářní měsíc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může dojít zejména v prvních měsících trvání této smlouvy, kdy poskytovatel bude zavádět procesy a opatření pro řádný výkon služeb pověřence a souladu s Nařízením GDPR a další závaznou legislativou. </w:t>
      </w:r>
    </w:p>
    <w:p w14:paraId="1A020CB1" w14:textId="1B69F6AF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 xml:space="preserve">Celková výše plnění za celou dobu realizace předmětu </w:t>
      </w:r>
      <w:r w:rsidRPr="000C3D3F">
        <w:rPr>
          <w:rFonts w:ascii="Arial" w:eastAsia="Calibri" w:hAnsi="Arial" w:cs="Arial"/>
          <w:bCs/>
          <w:sz w:val="20"/>
          <w:szCs w:val="20"/>
          <w:lang w:eastAsia="en-US"/>
        </w:rPr>
        <w:t xml:space="preserve">Smlouvy nesmí přesáhnout částku </w:t>
      </w:r>
      <w:r w:rsidR="00345068">
        <w:rPr>
          <w:rFonts w:ascii="Arial" w:eastAsia="Calibri" w:hAnsi="Arial" w:cs="Arial"/>
          <w:bCs/>
          <w:sz w:val="20"/>
          <w:szCs w:val="20"/>
          <w:lang w:eastAsia="en-US"/>
        </w:rPr>
        <w:t>2</w:t>
      </w:r>
      <w:r w:rsidRPr="000C3D3F">
        <w:rPr>
          <w:rFonts w:ascii="Arial" w:eastAsia="Calibri" w:hAnsi="Arial" w:cs="Arial"/>
          <w:bCs/>
          <w:sz w:val="20"/>
          <w:szCs w:val="20"/>
          <w:lang w:eastAsia="en-US"/>
        </w:rPr>
        <w:t>00.000 Kč bez DPH. Tato částka je stanovena jako maximální a jejím případným vyčerpáním</w:t>
      </w:r>
      <w:r w:rsidRPr="001E5F1D">
        <w:rPr>
          <w:rFonts w:ascii="Arial" w:eastAsia="Calibri" w:hAnsi="Arial" w:cs="Arial"/>
          <w:bCs/>
          <w:sz w:val="20"/>
          <w:szCs w:val="20"/>
          <w:lang w:eastAsia="en-US"/>
        </w:rPr>
        <w:t xml:space="preserve"> tato Smlouva zaniká i před uplynutím doby, na kterou je uzavřena.</w:t>
      </w:r>
    </w:p>
    <w:p w14:paraId="5BADA4D6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Odměna poskytovatele podle bodu 2 tohoto článku bude objednatelem hrazena v české měně a měsíčně (zpětně). Poskytovatel je oprávněn vystavit daňový doklad (fakturu) vždy do </w:t>
      </w: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Pr="001E5F1D">
        <w:rPr>
          <w:rFonts w:ascii="Arial" w:hAnsi="Arial" w:cs="Arial"/>
          <w:sz w:val="20"/>
          <w:szCs w:val="20"/>
        </w:rPr>
        <w:t>dne kalendářního měsíce následujícího po měsíci, za nějž požaduje úhradu.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Přílohou každého daňového dokladu (faktury) musí být časový a věcný rozpis služeb, které poskytovatel pro objednatele v měsíci, za nějž požaduje úhradu, poskytoval.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Vzor časového a věcného rozpisu služeb je uveden v Příloze č. 1 této smlouvy.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Odměna je splatná na výše uvedený bankovní účet poskytovatele na základě daňových dokladů (faktur) vytavených poskytovatelem se </w:t>
      </w:r>
      <w:r w:rsidRPr="000C3D3F">
        <w:rPr>
          <w:rFonts w:ascii="Arial" w:eastAsia="Calibri" w:hAnsi="Arial" w:cs="Arial"/>
          <w:sz w:val="20"/>
          <w:szCs w:val="20"/>
          <w:lang w:eastAsia="en-US"/>
        </w:rPr>
        <w:t>splatností 21 dnů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od doručení objednateli.</w:t>
      </w:r>
    </w:p>
    <w:p w14:paraId="2F998AF9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Faktura bude vystavena v souladu se zákonem č. 563/1991 Sb., o účetnictví, ve znění pozdějších předpisů, a bude obsahovat údaje v souladu s § 435 zákona č. 89/2012 Sb., občanského zákoníku, ve znění pozdějších předpisů a náležitosti daňového dokladu dle § 29 zákona č. 235/2004 Sb., o dani z přidané hodnoty, ve znění pozdějších předpisů. V každé faktuře bude výrazně uveden název veřejné zakázky, v jejímž rámci je tato smlouva realizována. Bude-li faktura chybná, nebo nebude-li obsahovat všechny zákonem stanovené náležitosti nebo požadovanou přílohu, je objednatel oprávněn je do data splatnosti vrátit s tím, že poskytovatel je povinen vystavit fakturu novou, nebo doplněnou o přílohu s novým termínem splatnosti – v takovém případě není klient v prodlení s úhradou.</w:t>
      </w:r>
    </w:p>
    <w:p w14:paraId="30753525" w14:textId="77777777" w:rsidR="002B13C8" w:rsidRPr="001E5F1D" w:rsidRDefault="002B13C8" w:rsidP="002B13C8">
      <w:pPr>
        <w:widowControl w:val="0"/>
        <w:numPr>
          <w:ilvl w:val="0"/>
          <w:numId w:val="1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Poskytovatel není oprávněn započíst jakékoliv své pohledávky proti pohledávkám objednatele. Pohledávky poskytovatele vzniklé v souvislosti se smlouvou nesmějí být postoupeny třetím osobám, zastaveny nebo s nimi jinak disponováno. Jakýkoli právní úkon učiněný poskytovatelem v rozporu s tímto ustanovením smlouvy bude též považován za příčící se dobrým mravům</w:t>
      </w:r>
    </w:p>
    <w:p w14:paraId="1B84993F" w14:textId="77777777" w:rsidR="002B13C8" w:rsidRPr="001E5F1D" w:rsidRDefault="002B13C8" w:rsidP="002B13C8">
      <w:p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8F7C055" w14:textId="77777777" w:rsidR="002B13C8" w:rsidRPr="000C3D3F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Článek VI.</w:t>
      </w:r>
    </w:p>
    <w:p w14:paraId="639A4A6E" w14:textId="77777777" w:rsidR="002B13C8" w:rsidRPr="000C3D3F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b/>
          <w:sz w:val="20"/>
          <w:szCs w:val="20"/>
          <w:lang w:eastAsia="en-US"/>
        </w:rPr>
        <w:t>Sankce</w:t>
      </w:r>
    </w:p>
    <w:p w14:paraId="312637BA" w14:textId="77777777" w:rsidR="002B13C8" w:rsidRPr="000C3D3F" w:rsidRDefault="002B13C8" w:rsidP="002B13C8">
      <w:pPr>
        <w:widowControl w:val="0"/>
        <w:numPr>
          <w:ilvl w:val="0"/>
          <w:numId w:val="2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sz w:val="20"/>
          <w:szCs w:val="20"/>
          <w:lang w:eastAsia="en-US"/>
        </w:rPr>
        <w:t>V případě porušení povinnosti poskytovatele podle ustanovení čl. II. této smlouvy je poskytovatel povinen zaplatit objednateli smluvní pokutu ve výši 10.000 Kč za každé jednotlivé porušení.</w:t>
      </w:r>
    </w:p>
    <w:p w14:paraId="2234A547" w14:textId="77777777" w:rsidR="002B13C8" w:rsidRPr="000C3D3F" w:rsidRDefault="002B13C8" w:rsidP="002B13C8">
      <w:pPr>
        <w:widowControl w:val="0"/>
        <w:numPr>
          <w:ilvl w:val="0"/>
          <w:numId w:val="2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sz w:val="20"/>
          <w:szCs w:val="20"/>
          <w:lang w:eastAsia="en-US"/>
        </w:rPr>
        <w:t>V případě porušení povinnosti poskytovatele podle ustanovení čl. III. odst. 8, 9 této smlouvy je poskytovatel povinen zaplatit objednateli smluvní pokutu ve výši 50.000 Kč za každé jednotlivé porušení.</w:t>
      </w:r>
    </w:p>
    <w:p w14:paraId="58B54BF0" w14:textId="77777777" w:rsidR="002B13C8" w:rsidRPr="000C3D3F" w:rsidRDefault="002B13C8" w:rsidP="002B13C8">
      <w:pPr>
        <w:widowControl w:val="0"/>
        <w:numPr>
          <w:ilvl w:val="0"/>
          <w:numId w:val="2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sz w:val="20"/>
          <w:szCs w:val="20"/>
          <w:lang w:eastAsia="en-US"/>
        </w:rPr>
        <w:t>Objednatel má právo uplatnit sankce vyplývající z této smlouvy písemně.</w:t>
      </w:r>
    </w:p>
    <w:p w14:paraId="3E2F2A67" w14:textId="77777777" w:rsidR="002B13C8" w:rsidRPr="001E5F1D" w:rsidRDefault="002B13C8" w:rsidP="002B13C8">
      <w:p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27A80B1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VI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20A7E6E3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Doba trvání smlouvy</w:t>
      </w:r>
    </w:p>
    <w:p w14:paraId="64514B1C" w14:textId="77777777" w:rsidR="002B13C8" w:rsidRPr="000C3D3F" w:rsidRDefault="002B13C8" w:rsidP="002B13C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6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0C3D3F">
        <w:rPr>
          <w:rFonts w:ascii="Arial" w:hAnsi="Arial" w:cs="Arial"/>
          <w:sz w:val="20"/>
          <w:szCs w:val="20"/>
        </w:rPr>
        <w:t xml:space="preserve">Tato smlouva se uzavírá do vyčerpání finančního limitu stanoveného v čl. V. odst. 5 této smlouvy (tj. do doby, kdy součet částek fakturovaných za poskytnuté služby dle této smlouvy dosáhne částky uvedené v čl. V. odst. 5 této smlouvy), nejdéle však na dobu 1 roku ode dne účinnosti této smlouvy, a to bez ohledu na případné nevyčerpání finančního limitu stanoveného v čl. V. odst. 5 této Smlouvy. </w:t>
      </w:r>
    </w:p>
    <w:p w14:paraId="1DBB574D" w14:textId="77777777" w:rsidR="002B13C8" w:rsidRPr="000C3D3F" w:rsidRDefault="002B13C8" w:rsidP="002B13C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6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0C3D3F">
        <w:rPr>
          <w:rFonts w:ascii="Arial" w:hAnsi="Arial" w:cs="Arial"/>
          <w:sz w:val="20"/>
          <w:szCs w:val="20"/>
        </w:rPr>
        <w:t xml:space="preserve">Poskytovatel je povinen být schopen poskytovat služby bez zbytečného odkladu (nejpozději do </w:t>
      </w:r>
      <w:proofErr w:type="gramStart"/>
      <w:r w:rsidRPr="000C3D3F">
        <w:rPr>
          <w:rFonts w:ascii="Arial" w:hAnsi="Arial" w:cs="Arial"/>
          <w:sz w:val="20"/>
          <w:szCs w:val="20"/>
        </w:rPr>
        <w:t>5-ti</w:t>
      </w:r>
      <w:proofErr w:type="gramEnd"/>
      <w:r w:rsidRPr="000C3D3F">
        <w:rPr>
          <w:rFonts w:ascii="Arial" w:hAnsi="Arial" w:cs="Arial"/>
          <w:sz w:val="20"/>
          <w:szCs w:val="20"/>
        </w:rPr>
        <w:t xml:space="preserve"> dnů) po nabytí účinnosti této smlouvy.</w:t>
      </w:r>
    </w:p>
    <w:p w14:paraId="3710EE8E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F9C7F4D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V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II.</w:t>
      </w:r>
    </w:p>
    <w:p w14:paraId="51CC6BE9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Zánik smlouvy</w:t>
      </w:r>
    </w:p>
    <w:p w14:paraId="2A54B9AA" w14:textId="77777777" w:rsidR="002B13C8" w:rsidRPr="001E5F1D" w:rsidRDefault="002B13C8" w:rsidP="002B13C8">
      <w:pPr>
        <w:numPr>
          <w:ilvl w:val="0"/>
          <w:numId w:val="9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Tato smlouva zaniká:</w:t>
      </w:r>
    </w:p>
    <w:p w14:paraId="0F637771" w14:textId="77777777" w:rsidR="002B13C8" w:rsidRPr="001E5F1D" w:rsidRDefault="002B13C8" w:rsidP="002B13C8">
      <w:pPr>
        <w:widowControl w:val="0"/>
        <w:numPr>
          <w:ilvl w:val="0"/>
          <w:numId w:val="3"/>
        </w:numPr>
        <w:spacing w:after="60" w:line="288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3D3F">
        <w:rPr>
          <w:rFonts w:ascii="Arial" w:eastAsia="Calibri" w:hAnsi="Arial" w:cs="Arial"/>
          <w:sz w:val="20"/>
          <w:szCs w:val="20"/>
          <w:lang w:eastAsia="en-US"/>
        </w:rPr>
        <w:t>Uplynutím doby trvání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smlouvy nebo vyčerpáním finančního limitu stanoveného v čl. IV. odst. 5 této smlouvy;</w:t>
      </w:r>
    </w:p>
    <w:p w14:paraId="75E9E4DE" w14:textId="77777777" w:rsidR="002B13C8" w:rsidRPr="001E5F1D" w:rsidRDefault="002B13C8" w:rsidP="002B13C8">
      <w:pPr>
        <w:widowControl w:val="0"/>
        <w:numPr>
          <w:ilvl w:val="0"/>
          <w:numId w:val="3"/>
        </w:numPr>
        <w:spacing w:after="60" w:line="288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Dohodou smluvních stran, která musí mít písemnou formu;</w:t>
      </w:r>
    </w:p>
    <w:p w14:paraId="28FE090B" w14:textId="77777777" w:rsidR="002B13C8" w:rsidRPr="001E5F1D" w:rsidRDefault="002B13C8" w:rsidP="002B13C8">
      <w:pPr>
        <w:widowControl w:val="0"/>
        <w:numPr>
          <w:ilvl w:val="0"/>
          <w:numId w:val="3"/>
        </w:numPr>
        <w:spacing w:after="60" w:line="288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Písemnou výpovědí objednatele podle čl.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>III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odst.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této smlouvy;</w:t>
      </w:r>
    </w:p>
    <w:p w14:paraId="34ADB028" w14:textId="77777777" w:rsidR="002B13C8" w:rsidRPr="001E5F1D" w:rsidRDefault="002B13C8" w:rsidP="002B13C8">
      <w:pPr>
        <w:widowControl w:val="0"/>
        <w:numPr>
          <w:ilvl w:val="0"/>
          <w:numId w:val="3"/>
        </w:numPr>
        <w:spacing w:after="60" w:line="288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Odstoupením objednatele podle čl. III odst. 1</w:t>
      </w: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této smlouvy;</w:t>
      </w:r>
    </w:p>
    <w:p w14:paraId="064BBB1D" w14:textId="77777777" w:rsidR="002B13C8" w:rsidRPr="001E5F1D" w:rsidRDefault="002B13C8" w:rsidP="002B13C8">
      <w:pPr>
        <w:widowControl w:val="0"/>
        <w:numPr>
          <w:ilvl w:val="0"/>
          <w:numId w:val="3"/>
        </w:numPr>
        <w:spacing w:after="60" w:line="288" w:lineRule="auto"/>
        <w:ind w:left="993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V důsledku zániku některé ze smluvních stran.</w:t>
      </w:r>
    </w:p>
    <w:p w14:paraId="2255ED14" w14:textId="77777777" w:rsidR="002B13C8" w:rsidRPr="001E5F1D" w:rsidRDefault="002B13C8" w:rsidP="002B13C8">
      <w:pPr>
        <w:numPr>
          <w:ilvl w:val="0"/>
          <w:numId w:val="9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hAnsi="Arial" w:cs="Arial"/>
          <w:sz w:val="20"/>
          <w:szCs w:val="20"/>
        </w:rPr>
        <w:t xml:space="preserve">Objednatel je oprávněn smlouvu vypovědět i bez udání důvodu. Výpovědní </w:t>
      </w:r>
      <w:r>
        <w:rPr>
          <w:rFonts w:ascii="Arial" w:hAnsi="Arial" w:cs="Arial"/>
          <w:sz w:val="20"/>
          <w:szCs w:val="20"/>
        </w:rPr>
        <w:t>doba</w:t>
      </w:r>
      <w:r w:rsidRPr="001E5F1D">
        <w:rPr>
          <w:rFonts w:ascii="Arial" w:hAnsi="Arial" w:cs="Arial"/>
          <w:sz w:val="20"/>
          <w:szCs w:val="20"/>
        </w:rPr>
        <w:t xml:space="preserve"> v takovém případě činí 3 měsíce a počíná běžet od prvního dne měsíce následujícího po měsíci, v němž byla výpověď doručena poskytovateli.</w:t>
      </w:r>
    </w:p>
    <w:p w14:paraId="5574CBD1" w14:textId="77777777" w:rsidR="002B13C8" w:rsidRDefault="002B13C8" w:rsidP="002B13C8">
      <w:pPr>
        <w:widowControl w:val="0"/>
        <w:spacing w:after="60" w:line="288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CBBE990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lánek IX</w:t>
      </w: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4FFC34F2" w14:textId="77777777" w:rsidR="002B13C8" w:rsidRPr="001E5F1D" w:rsidRDefault="002B13C8" w:rsidP="002B13C8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1987F6AB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Tato smlouva vznikla dohodou smluvních stran o celém jejím obsahu.</w:t>
      </w:r>
    </w:p>
    <w:p w14:paraId="100EADEE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Právní vztahy smluvních stran vzniklé z této smlouvy i právní vztahy smluvních stran v této smlouvě výslovně neupravené se řídí platnými předpisy ČR. Strany se tímto zavazují, že vynaloží veškeré úsilí k urovnání všech sporů smírnou cestou.</w:t>
      </w:r>
    </w:p>
    <w:p w14:paraId="1E333298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2D28AE5D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Pokud kterékoli ustanovení této smlouvy nebo jeho část je nebo se stane neplatným, neúčinným a/nebo nevynutitelným, nebude mít tato neplatnost, neúčinnost a/nebo nevynutitelnost vliv na platnost, účinnost a/nebo vynutitelnost ostatních ustanovení této smlouvy nebo jejích částí, pokud nevyplývá přímo z obsahu této smlouvy, že toto ustanovení nebo jeho část nelze oddělit od dalšího obsahu. Smluvní strany se zavazují bezodkladně uzavřít dodatek k této smlouvě, kterým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lastRenderedPageBreak/>
        <w:t>neplatné, neúčinné a/nebo nevynutitelné ustanovení nahradí novým ustanovením, které je svým účelem a významem co nejbližší tomu ustanovení této smlouvy, jež má být nahrazeno.</w:t>
      </w:r>
    </w:p>
    <w:p w14:paraId="0CB5E1A8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Tato smlouva nabývá platnosti dnem jejího podpisu oběma smluvními stranami. 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 a s tímto uveřejněním souhlasí. Tato smlouva nabývá účinnosti dnem uveřejnění v registru smluv podle zákona o registru smluv.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Tuto smlouvu v registru smluv zveřejní objednatel.</w:t>
      </w:r>
    </w:p>
    <w:p w14:paraId="389EA287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Smlouva je vyhotovena ve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stejnopisech, přičemž objednatel obdrží </w:t>
      </w: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vyhotovení a poskytovatel 1 vyhotovení smlouvy.</w:t>
      </w:r>
    </w:p>
    <w:p w14:paraId="38CDED3C" w14:textId="77777777" w:rsidR="002B13C8" w:rsidRPr="001E5F1D" w:rsidRDefault="002B13C8" w:rsidP="002B13C8">
      <w:pPr>
        <w:widowControl w:val="0"/>
        <w:numPr>
          <w:ilvl w:val="0"/>
          <w:numId w:val="10"/>
        </w:numPr>
        <w:spacing w:after="60" w:line="288" w:lineRule="auto"/>
        <w:ind w:left="567" w:hanging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>Každá ze smluvních stran prohlašuje, že smlouvu uzavírá svobodně a vážně, že považuje obsah smlouvy za určitý a srozumitelný a že jsou jí známy všechny skutečnosti, jež jsou pro uzavření smlouvy rozhodující.</w:t>
      </w:r>
    </w:p>
    <w:p w14:paraId="4F12E89E" w14:textId="77777777" w:rsidR="002B13C8" w:rsidRDefault="002B13C8" w:rsidP="002B13C8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</w:p>
    <w:p w14:paraId="2372DCBA" w14:textId="77777777" w:rsidR="002B13C8" w:rsidRPr="001E5F1D" w:rsidRDefault="002B13C8" w:rsidP="002B13C8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  <w:r w:rsidRPr="001E5F1D">
        <w:rPr>
          <w:rFonts w:ascii="Arial" w:hAnsi="Arial" w:cs="Arial"/>
          <w:caps/>
          <w:sz w:val="20"/>
          <w:szCs w:val="20"/>
        </w:rPr>
        <w:t>Na důkaz čehož připojují své vlastnoruční podpisy.</w:t>
      </w:r>
    </w:p>
    <w:p w14:paraId="088A918F" w14:textId="77777777" w:rsidR="002B13C8" w:rsidRPr="001E5F1D" w:rsidRDefault="002B13C8" w:rsidP="002B13C8">
      <w:pPr>
        <w:overflowPunct w:val="0"/>
        <w:autoSpaceDE w:val="0"/>
        <w:autoSpaceDN w:val="0"/>
        <w:adjustRightInd w:val="0"/>
        <w:spacing w:after="60"/>
        <w:ind w:left="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2B13C8" w:rsidRPr="001E5F1D" w14:paraId="037B4DDD" w14:textId="77777777" w:rsidTr="00105218">
        <w:tc>
          <w:tcPr>
            <w:tcW w:w="3828" w:type="dxa"/>
            <w:shd w:val="clear" w:color="auto" w:fill="auto"/>
          </w:tcPr>
          <w:p w14:paraId="46FEC116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Zlíně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dne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………………………..</w:t>
            </w:r>
          </w:p>
          <w:p w14:paraId="3642544A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A878EB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3F33A7A3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B2F101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D49691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12566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49248309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>
              <w:t xml:space="preserve"> </w:t>
            </w:r>
            <w:r w:rsidRPr="008F3BCD">
              <w:rPr>
                <w:rFonts w:ascii="Arial" w:hAnsi="Arial" w:cs="Arial"/>
                <w:color w:val="000000"/>
                <w:sz w:val="20"/>
                <w:szCs w:val="20"/>
              </w:rPr>
              <w:t>Vít Šumpela</w:t>
            </w:r>
          </w:p>
          <w:p w14:paraId="18C3C6F7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  <w:tc>
          <w:tcPr>
            <w:tcW w:w="816" w:type="dxa"/>
            <w:shd w:val="clear" w:color="auto" w:fill="auto"/>
          </w:tcPr>
          <w:p w14:paraId="29B4AB47" w14:textId="77777777" w:rsidR="002B13C8" w:rsidRPr="001E5F1D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</w:tcPr>
          <w:p w14:paraId="131B8974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 dne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……………..</w:t>
            </w:r>
          </w:p>
          <w:p w14:paraId="2274E5A2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9A3E0E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poskytovatele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2D4BA6DC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4CFE7E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C06F0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32CC86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23DD1862" w14:textId="77777777" w:rsidR="002B13C8" w:rsidRPr="00CA4FC6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FC6">
              <w:rPr>
                <w:rFonts w:ascii="Arial" w:hAnsi="Arial" w:cs="Arial"/>
                <w:color w:val="000000"/>
                <w:sz w:val="20"/>
                <w:szCs w:val="20"/>
              </w:rPr>
              <w:t>Ing. Igor Prosecký</w:t>
            </w:r>
          </w:p>
          <w:p w14:paraId="73FD2A0F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  <w:p w14:paraId="52438612" w14:textId="77777777" w:rsidR="002B13C8" w:rsidRPr="00A37AB6" w:rsidRDefault="002B13C8" w:rsidP="0010521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6CB49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7E918B9A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30A59C37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5C66BAD4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6C1A307A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43C2B3E1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1F7B8672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60E196BC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49608389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16A3056D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0713D43C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1ADFF778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F7A052D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1FEDF94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05276EC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0AD4E91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2066184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C3424C4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06A6D9E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1783BC5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C692FD6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943F278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78FEFE2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F3EEBEC" w14:textId="77777777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EC1A6AA" w14:textId="77F28E02" w:rsidR="002B13C8" w:rsidRDefault="002B13C8" w:rsidP="002B13C8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D05BC5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Příloha č. 1: Vzor časového a věcného rozpisu služeb</w:t>
      </w:r>
    </w:p>
    <w:p w14:paraId="06238953" w14:textId="77777777" w:rsidR="002B13C8" w:rsidRPr="00D05BC5" w:rsidRDefault="002B13C8" w:rsidP="002B13C8">
      <w:pPr>
        <w:rPr>
          <w:rFonts w:ascii="Arial" w:eastAsia="Calibri" w:hAnsi="Arial" w:cs="Arial"/>
          <w:b/>
          <w:bCs/>
          <w:lang w:eastAsia="en-US"/>
        </w:rPr>
      </w:pPr>
    </w:p>
    <w:p w14:paraId="1C57E628" w14:textId="77777777" w:rsidR="002B13C8" w:rsidRDefault="002B13C8" w:rsidP="002B13C8">
      <w:pPr>
        <w:jc w:val="center"/>
        <w:rPr>
          <w:rFonts w:ascii="Arial" w:eastAsia="Calibri" w:hAnsi="Arial" w:cs="Arial"/>
          <w:b/>
          <w:lang w:eastAsia="en-US"/>
        </w:rPr>
      </w:pPr>
    </w:p>
    <w:p w14:paraId="73255E6D" w14:textId="77777777" w:rsidR="002B13C8" w:rsidRDefault="002B13C8" w:rsidP="002B13C8">
      <w:pPr>
        <w:jc w:val="center"/>
        <w:rPr>
          <w:rFonts w:ascii="Arial" w:eastAsia="Calibri" w:hAnsi="Arial" w:cs="Arial"/>
          <w:b/>
          <w:lang w:eastAsia="en-US"/>
        </w:rPr>
      </w:pPr>
      <w:r w:rsidRPr="0021079B">
        <w:rPr>
          <w:rFonts w:ascii="Arial" w:eastAsia="Calibri" w:hAnsi="Arial" w:cs="Arial"/>
          <w:b/>
          <w:lang w:eastAsia="en-US"/>
        </w:rPr>
        <w:t>ČASOVÝ A VĚCNÝ ROZPIS SLUŽEB</w:t>
      </w:r>
    </w:p>
    <w:p w14:paraId="7BA469E4" w14:textId="77777777" w:rsidR="002B13C8" w:rsidRPr="00940479" w:rsidRDefault="002B13C8" w:rsidP="002B13C8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měsíc rok</w:t>
      </w:r>
    </w:p>
    <w:p w14:paraId="6D7F380D" w14:textId="77777777" w:rsidR="002B13C8" w:rsidRDefault="002B13C8" w:rsidP="002B13C8">
      <w:pPr>
        <w:rPr>
          <w:b/>
          <w:sz w:val="28"/>
          <w:szCs w:val="28"/>
        </w:rPr>
      </w:pPr>
    </w:p>
    <w:p w14:paraId="44963E0A" w14:textId="77777777" w:rsidR="002B13C8" w:rsidRPr="0021079B" w:rsidRDefault="002B13C8" w:rsidP="002B13C8">
      <w:pPr>
        <w:spacing w:before="120"/>
        <w:rPr>
          <w:rFonts w:ascii="Arial" w:hAnsi="Arial" w:cs="Arial"/>
          <w:b/>
          <w:sz w:val="20"/>
          <w:szCs w:val="20"/>
        </w:rPr>
      </w:pPr>
      <w:r w:rsidRPr="0021079B">
        <w:rPr>
          <w:rFonts w:ascii="Arial" w:hAnsi="Arial" w:cs="Arial"/>
          <w:b/>
          <w:sz w:val="20"/>
          <w:szCs w:val="20"/>
        </w:rPr>
        <w:t>Název projektu: Poskytování služeb pověřence pro ochranu osobních údajů</w:t>
      </w:r>
    </w:p>
    <w:p w14:paraId="52D6CE16" w14:textId="77777777" w:rsidR="002B13C8" w:rsidRPr="0021079B" w:rsidRDefault="002B13C8" w:rsidP="002B13C8">
      <w:pPr>
        <w:spacing w:before="120"/>
        <w:rPr>
          <w:rFonts w:ascii="Arial" w:hAnsi="Arial" w:cs="Arial"/>
          <w:sz w:val="20"/>
          <w:szCs w:val="20"/>
        </w:rPr>
      </w:pPr>
      <w:r w:rsidRPr="0021079B">
        <w:rPr>
          <w:rFonts w:ascii="Arial" w:hAnsi="Arial" w:cs="Arial"/>
          <w:sz w:val="20"/>
          <w:szCs w:val="20"/>
        </w:rPr>
        <w:t>Objednatel:</w:t>
      </w:r>
      <w:r w:rsidRPr="0021079B">
        <w:t xml:space="preserve"> </w:t>
      </w:r>
      <w:r w:rsidRPr="00D05BC5">
        <w:rPr>
          <w:rFonts w:ascii="Arial" w:hAnsi="Arial" w:cs="Arial"/>
          <w:sz w:val="20"/>
          <w:szCs w:val="20"/>
        </w:rPr>
        <w:t>Koordinátor veřejné dopravy Zlínského kraje, s.r.o.</w:t>
      </w:r>
    </w:p>
    <w:p w14:paraId="15AD14A3" w14:textId="77777777" w:rsidR="002B13C8" w:rsidRPr="0021079B" w:rsidRDefault="002B13C8" w:rsidP="002B13C8">
      <w:pPr>
        <w:spacing w:before="120"/>
        <w:rPr>
          <w:rFonts w:ascii="Arial" w:hAnsi="Arial" w:cs="Arial"/>
          <w:sz w:val="20"/>
          <w:szCs w:val="20"/>
        </w:rPr>
      </w:pPr>
      <w:r w:rsidRPr="0021079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: </w:t>
      </w:r>
      <w:r w:rsidRPr="0021079B">
        <w:rPr>
          <w:rFonts w:ascii="Arial" w:hAnsi="Arial" w:cs="Arial"/>
          <w:sz w:val="20"/>
          <w:szCs w:val="20"/>
        </w:rPr>
        <w:t xml:space="preserve">I3 </w:t>
      </w:r>
      <w:proofErr w:type="spellStart"/>
      <w:r w:rsidRPr="0021079B">
        <w:rPr>
          <w:rFonts w:ascii="Arial" w:hAnsi="Arial" w:cs="Arial"/>
          <w:sz w:val="20"/>
          <w:szCs w:val="20"/>
        </w:rPr>
        <w:t>Consultants</w:t>
      </w:r>
      <w:proofErr w:type="spellEnd"/>
      <w:r w:rsidRPr="0021079B">
        <w:rPr>
          <w:rFonts w:ascii="Arial" w:hAnsi="Arial" w:cs="Arial"/>
          <w:sz w:val="20"/>
          <w:szCs w:val="20"/>
        </w:rPr>
        <w:t xml:space="preserve"> s.r.o.</w:t>
      </w:r>
    </w:p>
    <w:p w14:paraId="2BFD613F" w14:textId="77777777" w:rsidR="002B13C8" w:rsidRPr="00D631CD" w:rsidRDefault="002B13C8" w:rsidP="002B13C8">
      <w:pPr>
        <w:ind w:left="2832" w:hanging="2832"/>
        <w:rPr>
          <w:i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450"/>
        <w:gridCol w:w="1506"/>
      </w:tblGrid>
      <w:tr w:rsidR="002B13C8" w:rsidRPr="0021079B" w14:paraId="5370073A" w14:textId="77777777" w:rsidTr="00105218">
        <w:trPr>
          <w:jc w:val="center"/>
        </w:trPr>
        <w:tc>
          <w:tcPr>
            <w:tcW w:w="1106" w:type="dxa"/>
            <w:shd w:val="clear" w:color="auto" w:fill="D5F4FF"/>
            <w:vAlign w:val="center"/>
          </w:tcPr>
          <w:p w14:paraId="328871EC" w14:textId="77777777" w:rsidR="002B13C8" w:rsidRPr="0021079B" w:rsidRDefault="002B13C8" w:rsidP="001052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79B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D5F4FF"/>
            <w:vAlign w:val="center"/>
          </w:tcPr>
          <w:p w14:paraId="378741E0" w14:textId="77777777" w:rsidR="002B13C8" w:rsidRPr="0021079B" w:rsidRDefault="002B13C8" w:rsidP="001052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79B">
              <w:rPr>
                <w:rFonts w:ascii="Arial" w:hAnsi="Arial" w:cs="Arial"/>
                <w:b/>
                <w:sz w:val="20"/>
                <w:szCs w:val="20"/>
              </w:rPr>
              <w:t xml:space="preserve">popis činnosti </w:t>
            </w:r>
          </w:p>
        </w:tc>
        <w:tc>
          <w:tcPr>
            <w:tcW w:w="1506" w:type="dxa"/>
            <w:shd w:val="clear" w:color="auto" w:fill="D5F4FF"/>
            <w:vAlign w:val="center"/>
          </w:tcPr>
          <w:p w14:paraId="5AF711BB" w14:textId="77777777" w:rsidR="002B13C8" w:rsidRPr="0021079B" w:rsidRDefault="002B13C8" w:rsidP="001052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79B">
              <w:rPr>
                <w:rFonts w:ascii="Arial" w:hAnsi="Arial" w:cs="Arial"/>
                <w:b/>
                <w:sz w:val="20"/>
                <w:szCs w:val="20"/>
              </w:rPr>
              <w:t>počet člověkohodin</w:t>
            </w:r>
          </w:p>
        </w:tc>
      </w:tr>
      <w:tr w:rsidR="002B13C8" w:rsidRPr="0021079B" w14:paraId="7534250A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0BD2232D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53D2FF"/>
          </w:tcPr>
          <w:p w14:paraId="179C266E" w14:textId="77777777" w:rsidR="002B13C8" w:rsidRDefault="002B13C8" w:rsidP="001052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Činnosti v sídle KOVED</w:t>
            </w:r>
          </w:p>
        </w:tc>
        <w:tc>
          <w:tcPr>
            <w:tcW w:w="1506" w:type="dxa"/>
            <w:shd w:val="clear" w:color="auto" w:fill="auto"/>
          </w:tcPr>
          <w:p w14:paraId="5C7AFC76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52484FC7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6C7DD93B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33039C27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2C8A576A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3AB37517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3B297011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3FBD0FCC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5313D3DC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3F8721D1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119FC8DA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39E91056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3D249579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35D142F8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3E29271E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4BCE7BB8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4B6D292B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798C252C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3802F099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63D4E284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7902BFFC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610490FE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107B084A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53D2FF"/>
          </w:tcPr>
          <w:p w14:paraId="5AF9C9BC" w14:textId="77777777" w:rsidR="002B13C8" w:rsidRPr="004902A5" w:rsidRDefault="002B13C8" w:rsidP="001052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Činnosti v sídle I3C</w:t>
            </w:r>
          </w:p>
        </w:tc>
        <w:tc>
          <w:tcPr>
            <w:tcW w:w="1506" w:type="dxa"/>
            <w:shd w:val="clear" w:color="auto" w:fill="auto"/>
          </w:tcPr>
          <w:p w14:paraId="3BBD1CBF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6A36636B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073B56AA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auto"/>
          </w:tcPr>
          <w:p w14:paraId="0A786AF0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48AB2EFC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228F407D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4390F2F6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auto"/>
          </w:tcPr>
          <w:p w14:paraId="2AC5A135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7AC63FEC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6BF0269F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6CA9C9B5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auto"/>
          </w:tcPr>
          <w:p w14:paraId="48AC1DD6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0E0188F7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5388AF42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7706991F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auto"/>
          </w:tcPr>
          <w:p w14:paraId="532D21BD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057423A9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5E37FDCD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3DB85EE7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  <w:shd w:val="clear" w:color="auto" w:fill="auto"/>
          </w:tcPr>
          <w:p w14:paraId="651D9B48" w14:textId="77777777" w:rsidR="002B13C8" w:rsidRPr="00DD52D8" w:rsidRDefault="002B13C8" w:rsidP="00105218">
            <w:pPr>
              <w:pStyle w:val="Odstavecseseznamem"/>
              <w:widowControl w:val="0"/>
              <w:suppressAutoHyphens/>
              <w:spacing w:before="60" w:after="60" w:line="240" w:lineRule="auto"/>
              <w:ind w:left="77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14:paraId="3BDB116B" w14:textId="77777777" w:rsidR="002B13C8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3C8" w:rsidRPr="0021079B" w14:paraId="4C024B18" w14:textId="77777777" w:rsidTr="00105218">
        <w:trPr>
          <w:jc w:val="center"/>
        </w:trPr>
        <w:tc>
          <w:tcPr>
            <w:tcW w:w="1106" w:type="dxa"/>
            <w:shd w:val="clear" w:color="auto" w:fill="auto"/>
          </w:tcPr>
          <w:p w14:paraId="251089B3" w14:textId="77777777" w:rsidR="002B13C8" w:rsidRPr="004902A5" w:rsidRDefault="002B13C8" w:rsidP="001052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0" w:type="dxa"/>
            <w:shd w:val="clear" w:color="auto" w:fill="53D2FF"/>
          </w:tcPr>
          <w:p w14:paraId="067F64E8" w14:textId="77777777" w:rsidR="002B13C8" w:rsidRPr="004902A5" w:rsidRDefault="002B13C8" w:rsidP="001052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FC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506" w:type="dxa"/>
            <w:shd w:val="clear" w:color="auto" w:fill="auto"/>
          </w:tcPr>
          <w:p w14:paraId="604ED9B1" w14:textId="77777777" w:rsidR="002B13C8" w:rsidRPr="000356BD" w:rsidRDefault="002B13C8" w:rsidP="0010521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07B1DC" w14:textId="77777777" w:rsidR="002B13C8" w:rsidRPr="00D631CD" w:rsidRDefault="002B13C8" w:rsidP="002B13C8">
      <w:pPr>
        <w:rPr>
          <w:b/>
          <w:sz w:val="22"/>
        </w:rPr>
      </w:pPr>
    </w:p>
    <w:p w14:paraId="353F0C1B" w14:textId="77777777" w:rsidR="002B13C8" w:rsidRDefault="002B13C8" w:rsidP="002B13C8">
      <w:pPr>
        <w:rPr>
          <w:b/>
        </w:rPr>
      </w:pPr>
    </w:p>
    <w:p w14:paraId="4EC030B7" w14:textId="77777777" w:rsidR="002B13C8" w:rsidRPr="00D05BC5" w:rsidRDefault="002B13C8" w:rsidP="002B13C8">
      <w:pPr>
        <w:rPr>
          <w:rFonts w:ascii="Arial" w:hAnsi="Arial" w:cs="Arial"/>
          <w:b/>
          <w:sz w:val="20"/>
          <w:szCs w:val="20"/>
        </w:rPr>
      </w:pPr>
      <w:r w:rsidRPr="00D05BC5">
        <w:rPr>
          <w:rFonts w:ascii="Arial" w:hAnsi="Arial" w:cs="Arial"/>
          <w:b/>
          <w:sz w:val="20"/>
          <w:szCs w:val="20"/>
        </w:rPr>
        <w:t xml:space="preserve">Dne: </w:t>
      </w:r>
    </w:p>
    <w:p w14:paraId="3E19AC34" w14:textId="77777777" w:rsidR="002B13C8" w:rsidRDefault="002B13C8" w:rsidP="002B13C8">
      <w:pPr>
        <w:pStyle w:val="Zkladntext"/>
      </w:pPr>
    </w:p>
    <w:p w14:paraId="79F02AEB" w14:textId="77777777" w:rsidR="002B13C8" w:rsidRDefault="002B13C8" w:rsidP="002B13C8">
      <w:pPr>
        <w:rPr>
          <w:rFonts w:ascii="Arial" w:hAnsi="Arial" w:cs="Arial"/>
          <w:b/>
          <w:sz w:val="20"/>
          <w:szCs w:val="20"/>
        </w:rPr>
      </w:pPr>
    </w:p>
    <w:p w14:paraId="0DAB6605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  <w:r w:rsidRPr="00B45736">
        <w:rPr>
          <w:rFonts w:ascii="Arial" w:hAnsi="Arial" w:cs="Arial"/>
          <w:b/>
          <w:sz w:val="20"/>
          <w:szCs w:val="20"/>
        </w:rPr>
        <w:t>Za poskytovatele:</w:t>
      </w:r>
      <w:r w:rsidRPr="00B45736">
        <w:rPr>
          <w:rFonts w:ascii="Arial" w:hAnsi="Arial" w:cs="Arial"/>
          <w:b/>
          <w:sz w:val="20"/>
          <w:szCs w:val="20"/>
        </w:rPr>
        <w:tab/>
      </w:r>
      <w:r w:rsidRPr="00B45736">
        <w:rPr>
          <w:rFonts w:ascii="Arial" w:hAnsi="Arial" w:cs="Arial"/>
          <w:b/>
          <w:sz w:val="20"/>
          <w:szCs w:val="20"/>
        </w:rPr>
        <w:tab/>
      </w:r>
      <w:r w:rsidRPr="00B45736">
        <w:rPr>
          <w:rFonts w:ascii="Arial" w:hAnsi="Arial" w:cs="Arial"/>
          <w:b/>
          <w:sz w:val="20"/>
          <w:szCs w:val="20"/>
        </w:rPr>
        <w:tab/>
      </w:r>
      <w:r w:rsidRPr="00B45736">
        <w:rPr>
          <w:rFonts w:ascii="Arial" w:hAnsi="Arial" w:cs="Arial"/>
          <w:b/>
          <w:sz w:val="20"/>
          <w:szCs w:val="20"/>
        </w:rPr>
        <w:tab/>
      </w:r>
      <w:r w:rsidRPr="00B45736">
        <w:rPr>
          <w:rFonts w:ascii="Arial" w:hAnsi="Arial" w:cs="Arial"/>
          <w:b/>
          <w:sz w:val="20"/>
          <w:szCs w:val="20"/>
        </w:rPr>
        <w:tab/>
        <w:t>Za objednatele:</w:t>
      </w:r>
    </w:p>
    <w:p w14:paraId="03758FFB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</w:p>
    <w:p w14:paraId="50215292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</w:p>
    <w:p w14:paraId="29698255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</w:p>
    <w:p w14:paraId="4FB9C1CE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</w:p>
    <w:p w14:paraId="244CEE41" w14:textId="77777777" w:rsidR="002B13C8" w:rsidRDefault="002B13C8" w:rsidP="002B1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………………………..</w:t>
      </w:r>
    </w:p>
    <w:p w14:paraId="365CF51A" w14:textId="77777777" w:rsidR="002B13C8" w:rsidRPr="00181343" w:rsidRDefault="002B13C8" w:rsidP="002B1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Igor Prosecký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733B6D8" w14:textId="77777777" w:rsidR="002B13C8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05FA527E" w14:textId="77777777" w:rsidR="002B13C8" w:rsidRPr="001E5F1D" w:rsidRDefault="002B13C8" w:rsidP="002B13C8">
      <w:pPr>
        <w:widowControl w:val="0"/>
        <w:spacing w:after="60"/>
        <w:ind w:left="567"/>
        <w:jc w:val="both"/>
        <w:rPr>
          <w:rFonts w:ascii="Arial" w:hAnsi="Arial" w:cs="Arial"/>
          <w:sz w:val="20"/>
          <w:szCs w:val="20"/>
        </w:rPr>
      </w:pPr>
    </w:p>
    <w:p w14:paraId="7FE94B08" w14:textId="77777777" w:rsidR="0011561F" w:rsidRDefault="0011561F"/>
    <w:sectPr w:rsidR="0011561F" w:rsidSect="008A22AF">
      <w:footerReference w:type="default" r:id="rId8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9E9D7" w14:textId="77777777" w:rsidR="00BE5D5A" w:rsidRDefault="00BE5D5A">
      <w:r>
        <w:separator/>
      </w:r>
    </w:p>
  </w:endnote>
  <w:endnote w:type="continuationSeparator" w:id="0">
    <w:p w14:paraId="4C88964E" w14:textId="77777777" w:rsidR="00BE5D5A" w:rsidRDefault="00BE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B4CF7" w14:textId="77777777" w:rsidR="0069516F" w:rsidRPr="00BC3629" w:rsidRDefault="002B13C8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>
      <w:rPr>
        <w:rFonts w:ascii="Arial" w:hAnsi="Arial" w:cs="Arial"/>
        <w:sz w:val="20"/>
        <w:szCs w:val="20"/>
        <w:lang w:val="cs-CZ"/>
      </w:rPr>
      <w:t xml:space="preserve">                                                                                                                                               </w:t>
    </w:r>
    <w:r w:rsidRPr="00BC3629">
      <w:rPr>
        <w:rFonts w:ascii="Arial" w:hAnsi="Arial" w:cs="Arial"/>
        <w:sz w:val="20"/>
        <w:szCs w:val="20"/>
      </w:rPr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7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Pr="00BC3629">
      <w:rPr>
        <w:rStyle w:val="slostrnky"/>
        <w:rFonts w:ascii="Arial" w:hAnsi="Arial" w:cs="Arial"/>
        <w:sz w:val="20"/>
        <w:szCs w:val="20"/>
      </w:rPr>
      <w:fldChar w:fldCharType="begin"/>
    </w:r>
    <w:r w:rsidRPr="00BC3629">
      <w:rPr>
        <w:rStyle w:val="slostrnky"/>
        <w:rFonts w:ascii="Arial" w:hAnsi="Arial" w:cs="Arial"/>
        <w:sz w:val="20"/>
        <w:szCs w:val="20"/>
      </w:rPr>
      <w:instrText xml:space="preserve"> NUMPAGES   \* MERGEFORMAT </w:instrText>
    </w:r>
    <w:r w:rsidRPr="00BC3629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8</w:t>
    </w:r>
    <w:r w:rsidRPr="00BC3629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35C8E" w14:textId="77777777" w:rsidR="00BE5D5A" w:rsidRDefault="00BE5D5A">
      <w:r>
        <w:separator/>
      </w:r>
    </w:p>
  </w:footnote>
  <w:footnote w:type="continuationSeparator" w:id="0">
    <w:p w14:paraId="2750C5B8" w14:textId="77777777" w:rsidR="00BE5D5A" w:rsidRDefault="00BE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34808"/>
    <w:multiLevelType w:val="multilevel"/>
    <w:tmpl w:val="4D0C4C8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636607"/>
    <w:multiLevelType w:val="hybridMultilevel"/>
    <w:tmpl w:val="AC0A8F3C"/>
    <w:lvl w:ilvl="0" w:tplc="D8AE2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5F3D"/>
    <w:multiLevelType w:val="hybridMultilevel"/>
    <w:tmpl w:val="CD9466BA"/>
    <w:lvl w:ilvl="0" w:tplc="6A6C2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2B6703"/>
    <w:multiLevelType w:val="hybridMultilevel"/>
    <w:tmpl w:val="38547424"/>
    <w:lvl w:ilvl="0" w:tplc="D8AE2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570B"/>
    <w:multiLevelType w:val="hybridMultilevel"/>
    <w:tmpl w:val="BDA4AC66"/>
    <w:lvl w:ilvl="0" w:tplc="D8AE2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263CF"/>
    <w:multiLevelType w:val="hybridMultilevel"/>
    <w:tmpl w:val="A05A2AC2"/>
    <w:lvl w:ilvl="0" w:tplc="82D4952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B202E21"/>
    <w:multiLevelType w:val="multilevel"/>
    <w:tmpl w:val="19763A9C"/>
    <w:lvl w:ilvl="0">
      <w:start w:val="1"/>
      <w:numFmt w:val="decimal"/>
      <w:pStyle w:val="slolnku"/>
      <w:suff w:val="nothing"/>
      <w:lvlText w:val="Článek %1."/>
      <w:lvlJc w:val="left"/>
      <w:pPr>
        <w:ind w:left="4679" w:firstLine="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color w:val="auto"/>
      </w:rPr>
    </w:lvl>
    <w:lvl w:ilvl="3">
      <w:start w:val="1"/>
      <w:numFmt w:val="upperLetter"/>
      <w:pStyle w:val="Textodst3psmena"/>
      <w:lvlText w:val="%4)"/>
      <w:lvlJc w:val="left"/>
      <w:pPr>
        <w:tabs>
          <w:tab w:val="num" w:pos="1469"/>
        </w:tabs>
        <w:ind w:left="1469" w:hanging="61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2F9A5E82"/>
    <w:multiLevelType w:val="hybridMultilevel"/>
    <w:tmpl w:val="15444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55735"/>
    <w:multiLevelType w:val="hybridMultilevel"/>
    <w:tmpl w:val="D79AB8BC"/>
    <w:lvl w:ilvl="0" w:tplc="C6369C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D7245F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CB5C07E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72F13"/>
    <w:multiLevelType w:val="hybridMultilevel"/>
    <w:tmpl w:val="0FEADEDC"/>
    <w:lvl w:ilvl="0" w:tplc="0996306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52474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53172"/>
    <w:multiLevelType w:val="hybridMultilevel"/>
    <w:tmpl w:val="566C05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C6BB0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6595"/>
    <w:multiLevelType w:val="hybridMultilevel"/>
    <w:tmpl w:val="658A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C8"/>
    <w:rsid w:val="0011561F"/>
    <w:rsid w:val="002B13C8"/>
    <w:rsid w:val="00345068"/>
    <w:rsid w:val="007C3F32"/>
    <w:rsid w:val="008839AB"/>
    <w:rsid w:val="00941AA0"/>
    <w:rsid w:val="00B44055"/>
    <w:rsid w:val="00BE5D5A"/>
    <w:rsid w:val="00F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0131"/>
  <w15:chartTrackingRefBased/>
  <w15:docId w15:val="{7C0E7E7E-22CC-44D3-B1D5-66439E5A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B13C8"/>
    <w:pPr>
      <w:jc w:val="center"/>
    </w:pPr>
    <w:rPr>
      <w:b/>
      <w:bCs/>
      <w:i/>
      <w:i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B13C8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B1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2B1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2B13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2B13C8"/>
  </w:style>
  <w:style w:type="character" w:styleId="Hypertextovodkaz">
    <w:name w:val="Hyperlink"/>
    <w:rsid w:val="002B13C8"/>
    <w:rPr>
      <w:color w:val="0000FF"/>
      <w:u w:val="single"/>
    </w:rPr>
  </w:style>
  <w:style w:type="paragraph" w:customStyle="1" w:styleId="Default">
    <w:name w:val="Default"/>
    <w:rsid w:val="002B13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lolnku">
    <w:name w:val="Číslo článku"/>
    <w:basedOn w:val="Normln"/>
    <w:next w:val="Normln"/>
    <w:rsid w:val="002B13C8"/>
    <w:pPr>
      <w:keepNext/>
      <w:numPr>
        <w:numId w:val="1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2"/>
      <w:szCs w:val="20"/>
    </w:rPr>
  </w:style>
  <w:style w:type="paragraph" w:customStyle="1" w:styleId="Textodst1sl">
    <w:name w:val="Text odst.1čísl"/>
    <w:basedOn w:val="Normln"/>
    <w:link w:val="Textodst1slChar"/>
    <w:rsid w:val="002B13C8"/>
    <w:pPr>
      <w:numPr>
        <w:ilvl w:val="1"/>
        <w:numId w:val="11"/>
      </w:numPr>
      <w:tabs>
        <w:tab w:val="left" w:pos="0"/>
        <w:tab w:val="left" w:pos="284"/>
      </w:tabs>
      <w:spacing w:before="80"/>
      <w:jc w:val="both"/>
      <w:outlineLvl w:val="1"/>
    </w:pPr>
    <w:rPr>
      <w:sz w:val="22"/>
      <w:szCs w:val="20"/>
    </w:rPr>
  </w:style>
  <w:style w:type="paragraph" w:customStyle="1" w:styleId="Textodst3psmena">
    <w:name w:val="Text odst. 3 písmena"/>
    <w:basedOn w:val="Textodst1sl"/>
    <w:rsid w:val="002B13C8"/>
    <w:pPr>
      <w:numPr>
        <w:ilvl w:val="3"/>
      </w:numPr>
      <w:tabs>
        <w:tab w:val="clear" w:pos="1469"/>
        <w:tab w:val="num" w:pos="360"/>
        <w:tab w:val="num" w:pos="2160"/>
      </w:tabs>
      <w:spacing w:before="0"/>
      <w:ind w:left="2160" w:hanging="360"/>
      <w:outlineLvl w:val="3"/>
    </w:pPr>
  </w:style>
  <w:style w:type="paragraph" w:customStyle="1" w:styleId="Textodst2slovan">
    <w:name w:val="Text odst.2 číslovaný"/>
    <w:basedOn w:val="Textodst1sl"/>
    <w:rsid w:val="002B13C8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620"/>
      </w:tabs>
      <w:spacing w:before="0"/>
      <w:ind w:left="1620" w:hanging="360"/>
      <w:outlineLvl w:val="2"/>
    </w:pPr>
  </w:style>
  <w:style w:type="character" w:customStyle="1" w:styleId="Textodst1slChar">
    <w:name w:val="Text odst.1čísl Char"/>
    <w:link w:val="Textodst1sl"/>
    <w:rsid w:val="002B13C8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A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A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hod@i3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2837</Words>
  <Characters>16742</Characters>
  <Application>Microsoft Office Word</Application>
  <DocSecurity>0</DocSecurity>
  <Lines>139</Lines>
  <Paragraphs>39</Paragraphs>
  <ScaleCrop>false</ScaleCrop>
  <Company/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Argalášová</dc:creator>
  <cp:keywords/>
  <dc:description/>
  <cp:lastModifiedBy>Markéta Argalášová</cp:lastModifiedBy>
  <cp:revision>6</cp:revision>
  <cp:lastPrinted>2020-11-04T14:59:00Z</cp:lastPrinted>
  <dcterms:created xsi:type="dcterms:W3CDTF">2020-11-03T11:17:00Z</dcterms:created>
  <dcterms:modified xsi:type="dcterms:W3CDTF">2020-11-04T16:58:00Z</dcterms:modified>
</cp:coreProperties>
</file>