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56FA" w14:textId="257CCE39" w:rsidR="000421B7" w:rsidRDefault="000421B7" w:rsidP="000421B7">
      <w:pPr>
        <w:widowControl w:val="0"/>
        <w:autoSpaceDE w:val="0"/>
        <w:autoSpaceDN w:val="0"/>
        <w:adjustRightInd w:val="0"/>
        <w:spacing w:line="384" w:lineRule="exac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Dodatek č.</w:t>
      </w:r>
      <w:r w:rsidR="0011452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31532">
        <w:rPr>
          <w:rFonts w:ascii="Calibri" w:hAnsi="Calibri" w:cs="Calibri"/>
          <w:b/>
          <w:bCs/>
          <w:sz w:val="32"/>
          <w:szCs w:val="32"/>
        </w:rPr>
        <w:t xml:space="preserve">3  </w:t>
      </w:r>
    </w:p>
    <w:p w14:paraId="0A1877D3" w14:textId="53BCF981" w:rsidR="00F25F86" w:rsidRDefault="00845678" w:rsidP="00F25F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smlouvy</w:t>
      </w:r>
    </w:p>
    <w:p w14:paraId="6ECD9DAF" w14:textId="7AC7A69A" w:rsidR="000421B7" w:rsidRPr="00C931E0" w:rsidRDefault="004064A8" w:rsidP="000421B7">
      <w:pPr>
        <w:widowControl w:val="0"/>
        <w:autoSpaceDE w:val="0"/>
        <w:autoSpaceDN w:val="0"/>
        <w:adjustRightInd w:val="0"/>
        <w:spacing w:line="288" w:lineRule="exact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="000421B7">
        <w:rPr>
          <w:rFonts w:ascii="Calibri" w:hAnsi="Calibri" w:cs="Calibri"/>
          <w:szCs w:val="22"/>
        </w:rPr>
        <w:t>zavřen</w:t>
      </w:r>
      <w:r w:rsidR="00845678">
        <w:rPr>
          <w:rFonts w:ascii="Calibri" w:hAnsi="Calibri" w:cs="Calibri"/>
          <w:szCs w:val="22"/>
        </w:rPr>
        <w:t>é</w:t>
      </w:r>
      <w:r w:rsidR="000421B7">
        <w:rPr>
          <w:rFonts w:ascii="Calibri" w:hAnsi="Calibri" w:cs="Calibri"/>
          <w:szCs w:val="22"/>
        </w:rPr>
        <w:t xml:space="preserve"> </w:t>
      </w:r>
      <w:r w:rsidR="000421B7" w:rsidRPr="00C931E0">
        <w:rPr>
          <w:rFonts w:ascii="Calibri" w:hAnsi="Calibri" w:cs="Calibri"/>
          <w:szCs w:val="22"/>
        </w:rPr>
        <w:t>v souladu s </w:t>
      </w:r>
      <w:proofErr w:type="spellStart"/>
      <w:r w:rsidR="000421B7" w:rsidRPr="00C931E0">
        <w:rPr>
          <w:rFonts w:ascii="Calibri" w:hAnsi="Calibri" w:cs="Calibri"/>
          <w:szCs w:val="22"/>
        </w:rPr>
        <w:t>ust</w:t>
      </w:r>
      <w:proofErr w:type="spellEnd"/>
      <w:r w:rsidR="000421B7" w:rsidRPr="00C931E0">
        <w:rPr>
          <w:rFonts w:ascii="Calibri" w:hAnsi="Calibri" w:cs="Calibri"/>
          <w:szCs w:val="22"/>
        </w:rPr>
        <w:t xml:space="preserve">. </w:t>
      </w:r>
      <w:r w:rsidR="00845678">
        <w:t xml:space="preserve">§ 2079 a násl. </w:t>
      </w:r>
      <w:r w:rsidR="000421B7" w:rsidRPr="00C931E0">
        <w:rPr>
          <w:rFonts w:ascii="Calibri" w:hAnsi="Calibri" w:cs="Calibri"/>
          <w:szCs w:val="22"/>
        </w:rPr>
        <w:t>zákona č. 89/2012 Sb. v </w:t>
      </w:r>
      <w:proofErr w:type="spellStart"/>
      <w:r w:rsidR="000421B7" w:rsidRPr="00C931E0">
        <w:rPr>
          <w:rFonts w:ascii="Calibri" w:hAnsi="Calibri" w:cs="Calibri"/>
          <w:szCs w:val="22"/>
        </w:rPr>
        <w:t>pl</w:t>
      </w:r>
      <w:proofErr w:type="spellEnd"/>
      <w:r w:rsidR="000421B7" w:rsidRPr="00C931E0">
        <w:rPr>
          <w:rFonts w:ascii="Calibri" w:hAnsi="Calibri" w:cs="Calibri"/>
          <w:szCs w:val="22"/>
        </w:rPr>
        <w:t>. znění, Občanský zákoník</w:t>
      </w:r>
      <w:r w:rsidR="000421B7">
        <w:rPr>
          <w:rFonts w:ascii="Calibri" w:hAnsi="Calibri" w:cs="Calibri"/>
          <w:szCs w:val="22"/>
        </w:rPr>
        <w:t>, (dále jen „Dodatek“) mezi smluvními stranami</w:t>
      </w:r>
    </w:p>
    <w:p w14:paraId="612743C0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3A5EFC49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690146B2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7102141F" w14:textId="1B748FE8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  <w:b/>
        </w:rPr>
      </w:pPr>
      <w:r w:rsidRPr="00C931E0">
        <w:rPr>
          <w:rFonts w:ascii="Calibri" w:eastAsia="ヒラギノ角ゴ Pro W3" w:hAnsi="Calibri" w:cs="Calibri"/>
          <w:b/>
        </w:rPr>
        <w:t>Městská knihovna v</w:t>
      </w:r>
      <w:r>
        <w:rPr>
          <w:rFonts w:ascii="Calibri" w:eastAsia="ヒラギノ角ゴ Pro W3" w:hAnsi="Calibri" w:cs="Calibri"/>
          <w:b/>
        </w:rPr>
        <w:t> </w:t>
      </w:r>
      <w:r w:rsidRPr="00C931E0">
        <w:rPr>
          <w:rFonts w:ascii="Calibri" w:eastAsia="ヒラギノ角ゴ Pro W3" w:hAnsi="Calibri" w:cs="Calibri"/>
          <w:b/>
        </w:rPr>
        <w:t>Praze</w:t>
      </w:r>
    </w:p>
    <w:p w14:paraId="77CAD3F5" w14:textId="77777777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C931E0">
        <w:rPr>
          <w:rFonts w:ascii="Calibri" w:eastAsia="ヒラギノ角ゴ Pro W3" w:hAnsi="Calibri" w:cs="Calibri"/>
        </w:rPr>
        <w:t xml:space="preserve">se sídlem Mariánské náměstí 1, Praha 1, 115 72 </w:t>
      </w:r>
    </w:p>
    <w:p w14:paraId="3B325105" w14:textId="77777777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C931E0">
        <w:rPr>
          <w:rFonts w:ascii="Calibri" w:eastAsia="ヒラギノ角ゴ Pro W3" w:hAnsi="Calibri" w:cs="Calibri"/>
        </w:rPr>
        <w:t>IČ: 00064467</w:t>
      </w:r>
    </w:p>
    <w:p w14:paraId="0212B89B" w14:textId="4E158951" w:rsidR="000421B7" w:rsidRDefault="00635920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 w:cs="Calibri"/>
          <w:szCs w:val="22"/>
        </w:rPr>
      </w:pPr>
      <w:r w:rsidRPr="00E25A37">
        <w:rPr>
          <w:rFonts w:ascii="Calibri" w:eastAsia="ヒラギノ角ゴ Pro W3" w:hAnsi="Calibri" w:cs="Calibri"/>
        </w:rPr>
        <w:t>DIČ: CZ CZ00064467</w:t>
      </w:r>
    </w:p>
    <w:p w14:paraId="2340C0D7" w14:textId="77777777" w:rsidR="000421B7" w:rsidRPr="00C931E0" w:rsidRDefault="00E87223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>
        <w:rPr>
          <w:rFonts w:ascii="Calibri" w:hAnsi="Calibri" w:cs="Calibri"/>
          <w:szCs w:val="22"/>
        </w:rPr>
        <w:t>zastoupená</w:t>
      </w:r>
      <w:r w:rsidR="000421B7">
        <w:rPr>
          <w:rFonts w:ascii="Calibri" w:hAnsi="Calibri" w:cs="Calibri"/>
          <w:szCs w:val="22"/>
        </w:rPr>
        <w:t>: RNDr. Tomáš</w:t>
      </w:r>
      <w:r>
        <w:rPr>
          <w:rFonts w:ascii="Calibri" w:hAnsi="Calibri" w:cs="Calibri"/>
          <w:szCs w:val="22"/>
        </w:rPr>
        <w:t>em</w:t>
      </w:r>
      <w:r w:rsidR="000421B7">
        <w:rPr>
          <w:rFonts w:ascii="Calibri" w:hAnsi="Calibri" w:cs="Calibri"/>
          <w:szCs w:val="22"/>
        </w:rPr>
        <w:t xml:space="preserve"> Řehák</w:t>
      </w:r>
      <w:r>
        <w:rPr>
          <w:rFonts w:ascii="Calibri" w:hAnsi="Calibri" w:cs="Calibri"/>
          <w:szCs w:val="22"/>
        </w:rPr>
        <w:t xml:space="preserve">em, </w:t>
      </w:r>
      <w:r w:rsidR="000421B7">
        <w:rPr>
          <w:rFonts w:ascii="Calibri" w:hAnsi="Calibri" w:cs="Calibri"/>
          <w:szCs w:val="22"/>
        </w:rPr>
        <w:t>ředitel</w:t>
      </w:r>
      <w:r>
        <w:rPr>
          <w:rFonts w:ascii="Calibri" w:hAnsi="Calibri" w:cs="Calibri"/>
          <w:szCs w:val="22"/>
        </w:rPr>
        <w:t>em</w:t>
      </w:r>
    </w:p>
    <w:p w14:paraId="76631CDF" w14:textId="672DEE9B" w:rsidR="000421B7" w:rsidRPr="00C931E0" w:rsidRDefault="00F25F86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 w:rsidDel="00F25F86">
        <w:rPr>
          <w:rFonts w:ascii="Calibri" w:eastAsia="ヒラギノ角ゴ Pro W3" w:hAnsi="Calibri" w:cs="Calibri"/>
        </w:rPr>
        <w:t xml:space="preserve"> </w:t>
      </w:r>
      <w:r w:rsidR="000421B7" w:rsidRPr="00823ED9">
        <w:rPr>
          <w:rFonts w:ascii="Calibri" w:hAnsi="Calibri" w:cs="Calibri"/>
          <w:szCs w:val="22"/>
        </w:rPr>
        <w:t>(dále jen „</w:t>
      </w:r>
      <w:r w:rsidR="00845678">
        <w:rPr>
          <w:rFonts w:ascii="Calibri" w:hAnsi="Calibri" w:cs="Calibri"/>
          <w:szCs w:val="22"/>
        </w:rPr>
        <w:t>kupující</w:t>
      </w:r>
      <w:r w:rsidR="000421B7" w:rsidRPr="00823ED9">
        <w:rPr>
          <w:rFonts w:ascii="Calibri" w:hAnsi="Calibri" w:cs="Calibri"/>
          <w:szCs w:val="22"/>
        </w:rPr>
        <w:t>“)</w:t>
      </w:r>
    </w:p>
    <w:p w14:paraId="62CF6509" w14:textId="77777777" w:rsidR="000421B7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</w:p>
    <w:p w14:paraId="4963F51E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 w:rsidRPr="00C931E0">
        <w:rPr>
          <w:rFonts w:ascii="Calibri" w:hAnsi="Calibri" w:cs="Calibri"/>
          <w:szCs w:val="22"/>
        </w:rPr>
        <w:t>a</w:t>
      </w:r>
    </w:p>
    <w:p w14:paraId="39FF380A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</w:p>
    <w:p w14:paraId="68FA5742" w14:textId="77777777" w:rsidR="00845678" w:rsidRPr="0007743B" w:rsidRDefault="00845678" w:rsidP="00845678">
      <w:pPr>
        <w:tabs>
          <w:tab w:val="left" w:pos="6316"/>
        </w:tabs>
        <w:spacing w:line="360" w:lineRule="auto"/>
        <w:rPr>
          <w:b/>
          <w:bCs/>
          <w:kern w:val="22"/>
        </w:rPr>
      </w:pPr>
      <w:r w:rsidRPr="0007743B">
        <w:rPr>
          <w:b/>
          <w:bCs/>
          <w:kern w:val="22"/>
        </w:rPr>
        <w:t>Cosmotron Bohemia, s.r.o.</w:t>
      </w:r>
    </w:p>
    <w:p w14:paraId="66F25B49" w14:textId="41F8885F" w:rsidR="00845678" w:rsidRPr="00845678" w:rsidRDefault="00845678" w:rsidP="00845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845678">
        <w:rPr>
          <w:rFonts w:ascii="Calibri" w:eastAsia="ヒラギノ角ゴ Pro W3" w:hAnsi="Calibri" w:cs="Calibri"/>
        </w:rPr>
        <w:t>sídlo:</w:t>
      </w:r>
      <w:r w:rsidR="00F20603">
        <w:rPr>
          <w:rFonts w:ascii="Calibri" w:eastAsia="ヒラギノ角ゴ Pro W3" w:hAnsi="Calibri" w:cs="Calibri"/>
        </w:rPr>
        <w:t xml:space="preserve"> </w:t>
      </w:r>
      <w:r w:rsidRPr="00845678">
        <w:rPr>
          <w:rFonts w:ascii="Calibri" w:eastAsia="ヒラギノ角ゴ Pro W3" w:hAnsi="Calibri" w:cs="Calibri"/>
        </w:rPr>
        <w:t>Pančava 415/11, 695 01 Hodonín</w:t>
      </w:r>
      <w:r w:rsidRPr="00845678">
        <w:rPr>
          <w:rFonts w:ascii="Calibri" w:eastAsia="ヒラギノ角ゴ Pro W3" w:hAnsi="Calibri" w:cs="Calibri"/>
        </w:rPr>
        <w:tab/>
      </w:r>
    </w:p>
    <w:p w14:paraId="7AA4F754" w14:textId="2CDCC82C" w:rsidR="00845678" w:rsidRPr="00845678" w:rsidRDefault="00845678" w:rsidP="00845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845678">
        <w:rPr>
          <w:rFonts w:ascii="Calibri" w:eastAsia="ヒラギノ角ゴ Pro W3" w:hAnsi="Calibri" w:cs="Calibri"/>
        </w:rPr>
        <w:t>IČ:</w:t>
      </w:r>
      <w:r w:rsidR="00F20603">
        <w:rPr>
          <w:rFonts w:ascii="Calibri" w:eastAsia="ヒラギノ角ゴ Pro W3" w:hAnsi="Calibri" w:cs="Calibri"/>
        </w:rPr>
        <w:t xml:space="preserve"> </w:t>
      </w:r>
      <w:r w:rsidRPr="00845678">
        <w:rPr>
          <w:rFonts w:ascii="Calibri" w:eastAsia="ヒラギノ角ゴ Pro W3" w:hAnsi="Calibri" w:cs="Calibri"/>
        </w:rPr>
        <w:t>25518453</w:t>
      </w:r>
    </w:p>
    <w:p w14:paraId="25B13C5E" w14:textId="3A52ADC6" w:rsidR="00845678" w:rsidRPr="00845678" w:rsidRDefault="00845678" w:rsidP="00845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845678">
        <w:rPr>
          <w:rFonts w:ascii="Calibri" w:eastAsia="ヒラギノ角ゴ Pro W3" w:hAnsi="Calibri" w:cs="Calibri"/>
        </w:rPr>
        <w:t>DIČ:</w:t>
      </w:r>
      <w:r w:rsidR="00F20603">
        <w:rPr>
          <w:rFonts w:ascii="Calibri" w:eastAsia="ヒラギノ角ゴ Pro W3" w:hAnsi="Calibri" w:cs="Calibri"/>
        </w:rPr>
        <w:t xml:space="preserve"> </w:t>
      </w:r>
      <w:r w:rsidRPr="00845678">
        <w:rPr>
          <w:rFonts w:ascii="Calibri" w:eastAsia="ヒラギノ角ゴ Pro W3" w:hAnsi="Calibri" w:cs="Calibri"/>
        </w:rPr>
        <w:t>CZ25518453</w:t>
      </w:r>
    </w:p>
    <w:p w14:paraId="234C6B3F" w14:textId="2783E2B2" w:rsidR="00845678" w:rsidRDefault="009E6429" w:rsidP="00845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>
        <w:rPr>
          <w:rFonts w:ascii="Calibri" w:eastAsia="ヒラギノ角ゴ Pro W3" w:hAnsi="Calibri" w:cs="Calibri"/>
        </w:rPr>
        <w:t>zastoupená</w:t>
      </w:r>
      <w:r w:rsidR="00F20603">
        <w:rPr>
          <w:rFonts w:ascii="Calibri" w:eastAsia="ヒラギノ角ゴ Pro W3" w:hAnsi="Calibri" w:cs="Calibri"/>
        </w:rPr>
        <w:t xml:space="preserve">: </w:t>
      </w:r>
      <w:r w:rsidR="00845678" w:rsidRPr="00845678">
        <w:rPr>
          <w:rFonts w:ascii="Calibri" w:eastAsia="ヒラギノ角ゴ Pro W3" w:hAnsi="Calibri" w:cs="Calibri"/>
        </w:rPr>
        <w:t xml:space="preserve">Ing. </w:t>
      </w:r>
      <w:proofErr w:type="spellStart"/>
      <w:r w:rsidRPr="00845678">
        <w:rPr>
          <w:rFonts w:ascii="Calibri" w:eastAsia="ヒラギノ角ゴ Pro W3" w:hAnsi="Calibri" w:cs="Calibri"/>
        </w:rPr>
        <w:t>Nadežd</w:t>
      </w:r>
      <w:r>
        <w:rPr>
          <w:rFonts w:ascii="Calibri" w:eastAsia="ヒラギノ角ゴ Pro W3" w:hAnsi="Calibri" w:cs="Calibri"/>
        </w:rPr>
        <w:t>ou</w:t>
      </w:r>
      <w:proofErr w:type="spellEnd"/>
      <w:r w:rsidRPr="00845678" w:rsidDel="009E6429">
        <w:rPr>
          <w:rFonts w:ascii="Calibri" w:eastAsia="ヒラギノ角ゴ Pro W3" w:hAnsi="Calibri" w:cs="Calibri"/>
        </w:rPr>
        <w:t xml:space="preserve"> </w:t>
      </w:r>
      <w:proofErr w:type="spellStart"/>
      <w:r w:rsidRPr="00845678">
        <w:rPr>
          <w:rFonts w:ascii="Calibri" w:eastAsia="ヒラギノ角ゴ Pro W3" w:hAnsi="Calibri" w:cs="Calibri"/>
        </w:rPr>
        <w:t>Andrejčíkov</w:t>
      </w:r>
      <w:r>
        <w:rPr>
          <w:rFonts w:ascii="Calibri" w:eastAsia="ヒラギノ角ゴ Pro W3" w:hAnsi="Calibri" w:cs="Calibri"/>
        </w:rPr>
        <w:t>ou</w:t>
      </w:r>
      <w:proofErr w:type="spellEnd"/>
      <w:r w:rsidR="00845678" w:rsidRPr="00845678">
        <w:rPr>
          <w:rFonts w:ascii="Calibri" w:eastAsia="ヒラギノ角ゴ Pro W3" w:hAnsi="Calibri" w:cs="Calibri"/>
        </w:rPr>
        <w:t>, PhD.</w:t>
      </w:r>
      <w:r>
        <w:rPr>
          <w:rFonts w:ascii="Calibri" w:eastAsia="ヒラギノ角ゴ Pro W3" w:hAnsi="Calibri" w:cs="Calibri"/>
        </w:rPr>
        <w:t>, jednatelkou</w:t>
      </w:r>
    </w:p>
    <w:p w14:paraId="099C9232" w14:textId="6E714B67" w:rsidR="00303F05" w:rsidRPr="00845678" w:rsidRDefault="00303F05" w:rsidP="00845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proofErr w:type="gramStart"/>
      <w:r>
        <w:t>zapsán v  OR</w:t>
      </w:r>
      <w:proofErr w:type="gramEnd"/>
      <w:r>
        <w:t xml:space="preserve"> vedeném Krajským soudem v Brně, oddíl C, vložka 28794</w:t>
      </w:r>
    </w:p>
    <w:p w14:paraId="45BB1E30" w14:textId="465143A1" w:rsidR="00845678" w:rsidRDefault="00845678" w:rsidP="00845678">
      <w:pPr>
        <w:tabs>
          <w:tab w:val="left" w:pos="6316"/>
        </w:tabs>
        <w:rPr>
          <w:rFonts w:eastAsia="Arial" w:cs="Arial"/>
          <w:kern w:val="22"/>
        </w:rPr>
      </w:pPr>
      <w:r w:rsidRPr="00107090">
        <w:rPr>
          <w:kern w:val="22"/>
        </w:rPr>
        <w:t xml:space="preserve">(dále jen </w:t>
      </w:r>
      <w:r w:rsidRPr="00845678">
        <w:rPr>
          <w:rFonts w:eastAsia="Arial" w:cs="Arial"/>
          <w:kern w:val="22"/>
        </w:rPr>
        <w:t>„</w:t>
      </w:r>
      <w:r w:rsidRPr="00845678">
        <w:rPr>
          <w:bCs/>
          <w:kern w:val="22"/>
        </w:rPr>
        <w:t>prodávající</w:t>
      </w:r>
      <w:r w:rsidRPr="00845678">
        <w:rPr>
          <w:rFonts w:eastAsia="Arial" w:cs="Arial"/>
          <w:kern w:val="22"/>
        </w:rPr>
        <w:t>“)</w:t>
      </w:r>
    </w:p>
    <w:p w14:paraId="369C5C0B" w14:textId="77777777" w:rsidR="00303F05" w:rsidRPr="005D5F24" w:rsidRDefault="00303F05" w:rsidP="00845678">
      <w:pPr>
        <w:tabs>
          <w:tab w:val="left" w:pos="6316"/>
        </w:tabs>
        <w:rPr>
          <w:rFonts w:eastAsia="Arial" w:cs="Arial"/>
          <w:kern w:val="22"/>
        </w:rPr>
      </w:pPr>
    </w:p>
    <w:p w14:paraId="76BE1B65" w14:textId="6E3906FE" w:rsidR="00F25F86" w:rsidRDefault="00F25F86" w:rsidP="00F25F86"/>
    <w:p w14:paraId="1CCE2D18" w14:textId="31C4C97A" w:rsidR="006214E2" w:rsidRDefault="006214E2" w:rsidP="00F25F86">
      <w:r>
        <w:t>Kupující a prodávající jsou dále uvedeny jako „smluvní strany“</w:t>
      </w:r>
    </w:p>
    <w:p w14:paraId="75E28735" w14:textId="102B27CD" w:rsidR="00B548B4" w:rsidRDefault="00B548B4" w:rsidP="00897F50"/>
    <w:p w14:paraId="4DEC5281" w14:textId="77777777" w:rsidR="009E6BE5" w:rsidRDefault="009E6BE5" w:rsidP="00897F50"/>
    <w:p w14:paraId="1C3392F1" w14:textId="77777777" w:rsidR="00827570" w:rsidRDefault="00827570" w:rsidP="00897F50"/>
    <w:p w14:paraId="4B730BC7" w14:textId="77777777" w:rsidR="001773CB" w:rsidRPr="00897F50" w:rsidRDefault="001773CB" w:rsidP="00897F50"/>
    <w:p w14:paraId="0E69E71B" w14:textId="77777777" w:rsidR="00C6030C" w:rsidRPr="00897F50" w:rsidRDefault="00C6030C" w:rsidP="00897F50"/>
    <w:p w14:paraId="0FD3AB30" w14:textId="77777777" w:rsidR="00C6030C" w:rsidRDefault="000421B7" w:rsidP="00897F50">
      <w:pPr>
        <w:pStyle w:val="Nadpis2"/>
      </w:pPr>
      <w:r>
        <w:t>Preambule</w:t>
      </w:r>
    </w:p>
    <w:p w14:paraId="465B02A4" w14:textId="54BCD3BB" w:rsidR="000421B7" w:rsidRDefault="00B72836" w:rsidP="000421B7">
      <w:pPr>
        <w:pStyle w:val="Bezmezer"/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="000421B7" w:rsidRPr="00385FEC">
        <w:rPr>
          <w:rFonts w:ascii="Calibri" w:hAnsi="Calibri" w:cs="Calibri"/>
          <w:szCs w:val="22"/>
        </w:rPr>
        <w:t>mluvní strany uzavírají Dodatek</w:t>
      </w:r>
      <w:r w:rsidR="00684367" w:rsidRPr="00385FEC">
        <w:rPr>
          <w:rFonts w:ascii="Calibri" w:hAnsi="Calibri" w:cs="Calibri"/>
          <w:szCs w:val="22"/>
        </w:rPr>
        <w:t xml:space="preserve"> </w:t>
      </w:r>
      <w:r w:rsidR="000421B7" w:rsidRPr="00385FEC">
        <w:rPr>
          <w:rFonts w:ascii="Calibri" w:hAnsi="Calibri" w:cs="Calibri"/>
          <w:szCs w:val="22"/>
        </w:rPr>
        <w:t>k</w:t>
      </w:r>
      <w:r w:rsidR="00845678">
        <w:rPr>
          <w:rFonts w:ascii="Calibri" w:hAnsi="Calibri" w:cs="Calibri"/>
          <w:szCs w:val="22"/>
        </w:rPr>
        <w:t>e Kupní smlouvě uzavřené</w:t>
      </w:r>
      <w:r w:rsidR="000421B7" w:rsidRPr="00385FEC">
        <w:rPr>
          <w:rFonts w:ascii="Calibri" w:hAnsi="Calibri" w:cs="Calibri"/>
          <w:szCs w:val="22"/>
        </w:rPr>
        <w:t xml:space="preserve"> dne </w:t>
      </w:r>
      <w:r w:rsidR="000421B7">
        <w:rPr>
          <w:rFonts w:ascii="Calibri" w:hAnsi="Calibri" w:cs="Calibri"/>
          <w:szCs w:val="22"/>
        </w:rPr>
        <w:t>2</w:t>
      </w:r>
      <w:r w:rsidR="00845678">
        <w:rPr>
          <w:rFonts w:ascii="Calibri" w:hAnsi="Calibri" w:cs="Calibri"/>
          <w:szCs w:val="22"/>
        </w:rPr>
        <w:t>1</w:t>
      </w:r>
      <w:r w:rsidR="000421B7">
        <w:rPr>
          <w:rFonts w:ascii="Calibri" w:hAnsi="Calibri" w:cs="Calibri"/>
          <w:szCs w:val="22"/>
        </w:rPr>
        <w:t>. 1</w:t>
      </w:r>
      <w:r w:rsidR="00635920">
        <w:rPr>
          <w:rFonts w:ascii="Calibri" w:hAnsi="Calibri" w:cs="Calibri"/>
          <w:szCs w:val="22"/>
        </w:rPr>
        <w:t>1</w:t>
      </w:r>
      <w:r w:rsidR="000421B7">
        <w:rPr>
          <w:rFonts w:ascii="Calibri" w:hAnsi="Calibri" w:cs="Calibri"/>
          <w:szCs w:val="22"/>
        </w:rPr>
        <w:t>. </w:t>
      </w:r>
      <w:r w:rsidR="00845678">
        <w:rPr>
          <w:rFonts w:ascii="Calibri" w:hAnsi="Calibri" w:cs="Calibri"/>
          <w:szCs w:val="22"/>
        </w:rPr>
        <w:t>2018</w:t>
      </w:r>
      <w:r w:rsidR="00D16BE2">
        <w:rPr>
          <w:rFonts w:ascii="Calibri" w:hAnsi="Calibri" w:cs="Calibri"/>
          <w:szCs w:val="22"/>
        </w:rPr>
        <w:t xml:space="preserve"> a doplněné </w:t>
      </w:r>
      <w:r w:rsidR="00542F09">
        <w:rPr>
          <w:rFonts w:ascii="Calibri" w:hAnsi="Calibri" w:cs="Calibri"/>
          <w:szCs w:val="22"/>
        </w:rPr>
        <w:t>Dodatkem č.</w:t>
      </w:r>
      <w:r w:rsidR="00867C6B">
        <w:rPr>
          <w:rFonts w:ascii="Calibri" w:hAnsi="Calibri" w:cs="Calibri"/>
          <w:szCs w:val="22"/>
        </w:rPr>
        <w:t xml:space="preserve"> </w:t>
      </w:r>
      <w:r w:rsidR="00542F09">
        <w:rPr>
          <w:rFonts w:ascii="Calibri" w:hAnsi="Calibri" w:cs="Calibri"/>
          <w:szCs w:val="22"/>
        </w:rPr>
        <w:t>1 z</w:t>
      </w:r>
      <w:r w:rsidR="007D2C5C">
        <w:rPr>
          <w:rFonts w:ascii="Calibri" w:hAnsi="Calibri" w:cs="Calibri"/>
          <w:szCs w:val="22"/>
        </w:rPr>
        <w:t xml:space="preserve">e dne </w:t>
      </w:r>
      <w:r w:rsidR="00542F09">
        <w:rPr>
          <w:rFonts w:ascii="Calibri" w:hAnsi="Calibri" w:cs="Calibri"/>
          <w:szCs w:val="22"/>
        </w:rPr>
        <w:t> 9.</w:t>
      </w:r>
      <w:r w:rsidR="007D2C5C">
        <w:rPr>
          <w:rFonts w:ascii="Calibri" w:hAnsi="Calibri" w:cs="Calibri"/>
          <w:szCs w:val="22"/>
        </w:rPr>
        <w:t xml:space="preserve"> 7. 2019 a </w:t>
      </w:r>
      <w:r w:rsidR="00D16BE2">
        <w:rPr>
          <w:rFonts w:ascii="Calibri" w:hAnsi="Calibri" w:cs="Calibri"/>
          <w:szCs w:val="22"/>
        </w:rPr>
        <w:t xml:space="preserve">Dodatkem č. </w:t>
      </w:r>
      <w:r w:rsidR="00542F09">
        <w:rPr>
          <w:rFonts w:ascii="Calibri" w:hAnsi="Calibri" w:cs="Calibri"/>
          <w:szCs w:val="22"/>
        </w:rPr>
        <w:t xml:space="preserve">2 </w:t>
      </w:r>
      <w:r w:rsidR="00D16BE2">
        <w:rPr>
          <w:rFonts w:ascii="Calibri" w:hAnsi="Calibri" w:cs="Calibri"/>
          <w:szCs w:val="22"/>
        </w:rPr>
        <w:t xml:space="preserve">ze dne 16. 1. 2020 </w:t>
      </w:r>
      <w:r w:rsidR="00635920">
        <w:rPr>
          <w:rFonts w:ascii="Calibri" w:hAnsi="Calibri" w:cs="Calibri"/>
          <w:szCs w:val="22"/>
        </w:rPr>
        <w:t>(dále jen „Smlouva“)</w:t>
      </w:r>
      <w:r w:rsidR="000421B7" w:rsidRPr="00385FEC">
        <w:rPr>
          <w:rFonts w:ascii="Calibri" w:hAnsi="Calibri" w:cs="Calibri"/>
          <w:szCs w:val="22"/>
        </w:rPr>
        <w:t>.</w:t>
      </w:r>
    </w:p>
    <w:p w14:paraId="52B424FF" w14:textId="1C1A3667" w:rsidR="000B2B46" w:rsidRDefault="00D2036C" w:rsidP="000421B7">
      <w:pPr>
        <w:pStyle w:val="Bezmezer"/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 w:rsidRPr="002677CD">
        <w:rPr>
          <w:rFonts w:ascii="Calibri" w:hAnsi="Calibri" w:cs="Calibri"/>
          <w:szCs w:val="22"/>
        </w:rPr>
        <w:t xml:space="preserve">Důvodem uzavření tohoto dodatku je </w:t>
      </w:r>
      <w:r w:rsidR="00802DDB" w:rsidRPr="002677CD">
        <w:rPr>
          <w:rFonts w:ascii="Calibri" w:hAnsi="Calibri" w:cs="Calibri"/>
          <w:szCs w:val="22"/>
        </w:rPr>
        <w:t xml:space="preserve">masivnější nasazení samoobslužných RFID zařízení v síti Městské knihovny v Praze. </w:t>
      </w:r>
    </w:p>
    <w:p w14:paraId="6E7FA7B2" w14:textId="099B946E" w:rsidR="0061404D" w:rsidRPr="00D16BE2" w:rsidRDefault="00350ED9" w:rsidP="00D16BE2">
      <w:pPr>
        <w:pStyle w:val="Bezmezer"/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</w:t>
      </w:r>
      <w:r w:rsidR="0061404D">
        <w:rPr>
          <w:rFonts w:ascii="Calibri" w:hAnsi="Calibri" w:cs="Calibri"/>
          <w:szCs w:val="22"/>
        </w:rPr>
        <w:t xml:space="preserve">trany se dohodly na </w:t>
      </w:r>
      <w:r w:rsidR="00303F05">
        <w:rPr>
          <w:rFonts w:ascii="Calibri" w:hAnsi="Calibri" w:cs="Calibri"/>
          <w:szCs w:val="22"/>
        </w:rPr>
        <w:t xml:space="preserve">rozšíření dodávky zboží nad rámec Smlouvy a na </w:t>
      </w:r>
      <w:r w:rsidR="0061404D">
        <w:rPr>
          <w:rFonts w:ascii="Calibri" w:hAnsi="Calibri" w:cs="Calibri"/>
          <w:szCs w:val="22"/>
        </w:rPr>
        <w:t xml:space="preserve">úpravě ceny </w:t>
      </w:r>
      <w:r w:rsidR="00303F05">
        <w:rPr>
          <w:rFonts w:ascii="Calibri" w:hAnsi="Calibri" w:cs="Calibri"/>
          <w:szCs w:val="22"/>
        </w:rPr>
        <w:t xml:space="preserve">tohoto </w:t>
      </w:r>
      <w:r w:rsidR="0061404D" w:rsidRPr="00303F05">
        <w:rPr>
          <w:rFonts w:ascii="Calibri" w:hAnsi="Calibri" w:cs="Calibri"/>
          <w:szCs w:val="22"/>
        </w:rPr>
        <w:t>zboží v korunách</w:t>
      </w:r>
      <w:r w:rsidR="0061404D">
        <w:rPr>
          <w:rFonts w:ascii="Calibri" w:hAnsi="Calibri" w:cs="Calibri"/>
          <w:szCs w:val="22"/>
        </w:rPr>
        <w:t xml:space="preserve"> tak, aby kompenzoval</w:t>
      </w:r>
      <w:r w:rsidR="00827570">
        <w:rPr>
          <w:rFonts w:ascii="Calibri" w:hAnsi="Calibri" w:cs="Calibri"/>
          <w:szCs w:val="22"/>
        </w:rPr>
        <w:t>y</w:t>
      </w:r>
      <w:r w:rsidR="0061404D">
        <w:rPr>
          <w:rFonts w:ascii="Calibri" w:hAnsi="Calibri" w:cs="Calibri"/>
          <w:szCs w:val="22"/>
        </w:rPr>
        <w:t xml:space="preserve"> prodávajícímu jeho ztrátu, která vznikla posunem kurzu české koruny vůči euru</w:t>
      </w:r>
      <w:r w:rsidR="00E438C1">
        <w:rPr>
          <w:rFonts w:ascii="Calibri" w:hAnsi="Calibri" w:cs="Calibri"/>
          <w:szCs w:val="22"/>
        </w:rPr>
        <w:t>, za která dodavatel prodávané zboží pořizuje,</w:t>
      </w:r>
      <w:r w:rsidR="0061404D">
        <w:rPr>
          <w:rFonts w:ascii="Calibri" w:hAnsi="Calibri" w:cs="Calibri"/>
          <w:szCs w:val="22"/>
        </w:rPr>
        <w:t xml:space="preserve"> v období mezi </w:t>
      </w:r>
      <w:r w:rsidR="00827570">
        <w:rPr>
          <w:rFonts w:ascii="Calibri" w:hAnsi="Calibri" w:cs="Calibri"/>
          <w:szCs w:val="22"/>
        </w:rPr>
        <w:t>zadávacím řízením</w:t>
      </w:r>
      <w:r w:rsidR="00E438C1">
        <w:rPr>
          <w:rFonts w:ascii="Calibri" w:hAnsi="Calibri" w:cs="Calibri"/>
          <w:szCs w:val="22"/>
        </w:rPr>
        <w:t xml:space="preserve"> a dodávkou na základě tohoto dodatku.</w:t>
      </w:r>
    </w:p>
    <w:p w14:paraId="16992984" w14:textId="72725356" w:rsidR="00827570" w:rsidRPr="00A20F9A" w:rsidRDefault="00635920" w:rsidP="00A20F9A">
      <w:pPr>
        <w:pStyle w:val="Bezmezer"/>
        <w:tabs>
          <w:tab w:val="clear" w:pos="705"/>
          <w:tab w:val="num" w:pos="567"/>
        </w:tabs>
        <w:ind w:left="567" w:hanging="567"/>
        <w:rPr>
          <w:color w:val="548DD4" w:themeColor="text2" w:themeTint="99"/>
        </w:rPr>
      </w:pPr>
      <w:r>
        <w:rPr>
          <w:rFonts w:ascii="Calibri" w:hAnsi="Calibri" w:cs="Calibri"/>
          <w:szCs w:val="22"/>
        </w:rPr>
        <w:lastRenderedPageBreak/>
        <w:t xml:space="preserve">Tento </w:t>
      </w:r>
      <w:r w:rsidR="004B0E60"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zCs w:val="22"/>
        </w:rPr>
        <w:t>odatek je</w:t>
      </w:r>
      <w:r w:rsidR="0082757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uzavírán v souladu s ustanovením § 222, odst. 4 zákona č.</w:t>
      </w:r>
      <w:r w:rsidR="00637337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134/2016 Sb. o zadávání veřejných zakázek v platném znění a </w:t>
      </w:r>
      <w:r w:rsidR="002C78EF">
        <w:rPr>
          <w:rFonts w:ascii="Calibri" w:hAnsi="Calibri" w:cs="Calibri"/>
          <w:szCs w:val="22"/>
        </w:rPr>
        <w:t xml:space="preserve">není považován za </w:t>
      </w:r>
      <w:r>
        <w:rPr>
          <w:rFonts w:ascii="Calibri" w:hAnsi="Calibri" w:cs="Calibri"/>
          <w:szCs w:val="22"/>
        </w:rPr>
        <w:t>podstatnou změnu závazku.</w:t>
      </w:r>
    </w:p>
    <w:p w14:paraId="0CDA6E38" w14:textId="77777777" w:rsidR="00827570" w:rsidRDefault="00827570" w:rsidP="00D33B52">
      <w:pPr>
        <w:pStyle w:val="Bezmezer"/>
        <w:numPr>
          <w:ilvl w:val="0"/>
          <w:numId w:val="0"/>
        </w:numPr>
        <w:tabs>
          <w:tab w:val="num" w:pos="567"/>
        </w:tabs>
        <w:rPr>
          <w:rFonts w:ascii="Calibri" w:hAnsi="Calibri" w:cs="Calibri"/>
          <w:bCs/>
          <w:color w:val="000000"/>
        </w:rPr>
      </w:pPr>
    </w:p>
    <w:p w14:paraId="7B56DD67" w14:textId="545C27EB" w:rsidR="00827570" w:rsidRDefault="00827570" w:rsidP="00827570">
      <w:pPr>
        <w:pStyle w:val="Nadpis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Změna ceny </w:t>
      </w:r>
    </w:p>
    <w:p w14:paraId="06BFEF6A" w14:textId="003AA5EE" w:rsidR="00827570" w:rsidRDefault="00827570" w:rsidP="00827570">
      <w:pPr>
        <w:pStyle w:val="Bezmezer"/>
        <w:numPr>
          <w:ilvl w:val="0"/>
          <w:numId w:val="0"/>
        </w:numPr>
        <w:ind w:left="567"/>
      </w:pPr>
      <w:r>
        <w:t xml:space="preserve">Z důvodu uvedených v preambuli dodatku (čl. I. odst. 3) smluvní strany stanovují jednotkovou cenu zboží </w:t>
      </w:r>
      <w:r w:rsidR="007D2C5C">
        <w:t xml:space="preserve">uvedeného v čl. </w:t>
      </w:r>
      <w:r w:rsidR="00B07920">
        <w:t>III. tohoto</w:t>
      </w:r>
      <w:r w:rsidR="007D2C5C">
        <w:t xml:space="preserve"> dodatku </w:t>
      </w:r>
      <w:r>
        <w:t xml:space="preserve">tak, že přepočtou jednotkovou cenu uvedenou ve </w:t>
      </w:r>
      <w:r w:rsidR="00350ED9">
        <w:t>S</w:t>
      </w:r>
      <w:r>
        <w:t xml:space="preserve">mlouvě na cenu v eurech na základě středového kurzu české koruny k euru dle ČNB platnému ke dni konci lhůty pro podání nabídek ve veřejné zakázce, tedy k </w:t>
      </w:r>
      <w:r>
        <w:rPr>
          <w:rFonts w:ascii="Calibri" w:hAnsi="Calibri" w:cs="Calibri"/>
          <w:szCs w:val="22"/>
        </w:rPr>
        <w:t>1. 10. 2018</w:t>
      </w:r>
      <w:r>
        <w:t xml:space="preserve"> (25,765 Kč za 1 EUR)</w:t>
      </w:r>
      <w:r>
        <w:rPr>
          <w:rFonts w:ascii="Calibri" w:hAnsi="Calibri" w:cs="Calibri"/>
          <w:szCs w:val="22"/>
        </w:rPr>
        <w:t xml:space="preserve">, a následně tuto cenu v eurech přepočtou na české koruny </w:t>
      </w:r>
      <w:r>
        <w:t>na základě středovéh</w:t>
      </w:r>
      <w:bookmarkStart w:id="0" w:name="_GoBack"/>
      <w:bookmarkEnd w:id="0"/>
      <w:r>
        <w:t>o kurzu české koruny k euru dle ČNB platnému ke dni</w:t>
      </w:r>
      <w:r w:rsidR="002A5776">
        <w:t xml:space="preserve"> 11. 11. 2020 </w:t>
      </w:r>
      <w:r w:rsidRPr="002A5776">
        <w:t>(</w:t>
      </w:r>
      <w:r w:rsidR="002A5776" w:rsidRPr="00DE5A11">
        <w:t>26,445</w:t>
      </w:r>
      <w:r w:rsidR="00107BEB" w:rsidRPr="002A5776">
        <w:t> </w:t>
      </w:r>
      <w:r w:rsidRPr="002A5776">
        <w:t>Kč za 1 EUR).</w:t>
      </w:r>
      <w:r w:rsidR="00350ED9">
        <w:t xml:space="preserve"> </w:t>
      </w:r>
    </w:p>
    <w:p w14:paraId="0C5065EA" w14:textId="77777777" w:rsidR="00827570" w:rsidRDefault="00827570" w:rsidP="00D33B52">
      <w:pPr>
        <w:pStyle w:val="Bezmezer"/>
        <w:numPr>
          <w:ilvl w:val="0"/>
          <w:numId w:val="0"/>
        </w:numPr>
        <w:tabs>
          <w:tab w:val="num" w:pos="567"/>
        </w:tabs>
      </w:pPr>
    </w:p>
    <w:p w14:paraId="0198F867" w14:textId="77777777" w:rsidR="00827570" w:rsidRDefault="00827570" w:rsidP="00D33B52">
      <w:pPr>
        <w:pStyle w:val="Bezmezer"/>
        <w:numPr>
          <w:ilvl w:val="0"/>
          <w:numId w:val="0"/>
        </w:numPr>
        <w:tabs>
          <w:tab w:val="num" w:pos="567"/>
        </w:tabs>
        <w:rPr>
          <w:rFonts w:ascii="Calibri" w:hAnsi="Calibri" w:cs="Calibri"/>
          <w:bCs/>
          <w:color w:val="000000"/>
        </w:rPr>
      </w:pPr>
    </w:p>
    <w:p w14:paraId="04DAB713" w14:textId="1A2D7787" w:rsidR="00D33B52" w:rsidRDefault="00592A66" w:rsidP="00D33B52">
      <w:pPr>
        <w:pStyle w:val="Nadpis2"/>
        <w:rPr>
          <w:lang w:eastAsia="ar-SA"/>
        </w:rPr>
      </w:pPr>
      <w:r>
        <w:rPr>
          <w:lang w:eastAsia="ar-SA"/>
        </w:rPr>
        <w:t>Nákup</w:t>
      </w:r>
      <w:r w:rsidR="00D33B52">
        <w:rPr>
          <w:lang w:eastAsia="ar-SA"/>
        </w:rPr>
        <w:t xml:space="preserve"> </w:t>
      </w:r>
      <w:r w:rsidR="00D33B52" w:rsidRPr="00031532">
        <w:rPr>
          <w:rFonts w:ascii="Calibri" w:hAnsi="Calibri" w:cs="Calibri"/>
          <w:szCs w:val="22"/>
        </w:rPr>
        <w:t>selfcheck</w:t>
      </w:r>
      <w:r w:rsidR="00D33B52">
        <w:rPr>
          <w:rFonts w:ascii="Calibri" w:hAnsi="Calibri" w:cs="Calibri"/>
          <w:szCs w:val="22"/>
        </w:rPr>
        <w:t>ů</w:t>
      </w:r>
      <w:r w:rsidR="00D33B52" w:rsidRPr="00031532">
        <w:rPr>
          <w:rFonts w:ascii="Calibri" w:hAnsi="Calibri" w:cs="Calibri"/>
          <w:szCs w:val="22"/>
        </w:rPr>
        <w:t xml:space="preserve"> na samoobslužné půjčování </w:t>
      </w:r>
    </w:p>
    <w:p w14:paraId="2447B68E" w14:textId="40C21E73" w:rsidR="00EA7D3A" w:rsidRDefault="00183D2D" w:rsidP="00DF37DC">
      <w:pPr>
        <w:pStyle w:val="Bezmezer"/>
        <w:numPr>
          <w:ilvl w:val="0"/>
          <w:numId w:val="42"/>
        </w:numPr>
        <w:tabs>
          <w:tab w:val="clear" w:pos="705"/>
          <w:tab w:val="num" w:pos="567"/>
        </w:tabs>
        <w:ind w:left="567"/>
      </w:pPr>
      <w:r>
        <w:t xml:space="preserve">Prodávající </w:t>
      </w:r>
      <w:r w:rsidR="00E438C1">
        <w:t xml:space="preserve">dodá </w:t>
      </w:r>
      <w:r w:rsidR="0077780B">
        <w:t>kupujícímu za</w:t>
      </w:r>
      <w:r>
        <w:t xml:space="preserve"> podmínek</w:t>
      </w:r>
      <w:r w:rsidR="001773CB">
        <w:t xml:space="preserve"> uvedených ve Smlouvě</w:t>
      </w:r>
      <w:r w:rsidR="00EA7D3A">
        <w:t>:</w:t>
      </w:r>
      <w:r w:rsidR="001773CB">
        <w:t xml:space="preserve"> </w:t>
      </w:r>
      <w:r w:rsidR="00EA7D3A">
        <w:t>následující zboží:</w:t>
      </w:r>
    </w:p>
    <w:p w14:paraId="3013FB1C" w14:textId="77FC4749" w:rsidR="00EA7D3A" w:rsidRDefault="00183D2D" w:rsidP="002F3078">
      <w:pPr>
        <w:pStyle w:val="Bezmezer"/>
        <w:numPr>
          <w:ilvl w:val="0"/>
          <w:numId w:val="78"/>
        </w:numPr>
      </w:pPr>
      <w:r>
        <w:t>1</w:t>
      </w:r>
      <w:r w:rsidR="00B81498">
        <w:t>0</w:t>
      </w:r>
      <w:r>
        <w:t xml:space="preserve"> kusů </w:t>
      </w:r>
      <w:r w:rsidRPr="00DF37DC">
        <w:t>selfchecků na samoobslužné půjčování samostatně stojících</w:t>
      </w:r>
      <w:r w:rsidR="00EA7D3A">
        <w:t xml:space="preserve"> </w:t>
      </w:r>
    </w:p>
    <w:p w14:paraId="4D817CE9" w14:textId="4103A41F" w:rsidR="00EA7D3A" w:rsidRPr="002F3078" w:rsidRDefault="00B07920" w:rsidP="00EA7D3A">
      <w:pPr>
        <w:pStyle w:val="Bezmezer"/>
        <w:numPr>
          <w:ilvl w:val="0"/>
          <w:numId w:val="78"/>
        </w:numPr>
      </w:pPr>
      <w:r>
        <w:t>10</w:t>
      </w:r>
      <w:r w:rsidR="00107BEB">
        <w:t xml:space="preserve"> </w:t>
      </w:r>
      <w:r w:rsidR="00EA7D3A">
        <w:t xml:space="preserve">kusů </w:t>
      </w:r>
      <w:r w:rsidR="00EA7D3A" w:rsidRPr="00DF37DC">
        <w:t xml:space="preserve">selfchecků </w:t>
      </w:r>
      <w:r w:rsidR="00EA7D3A">
        <w:t xml:space="preserve">na </w:t>
      </w:r>
      <w:r w:rsidR="00EA7D3A" w:rsidRPr="00183D2D">
        <w:rPr>
          <w:rFonts w:ascii="Calibri" w:hAnsi="Calibri" w:cs="Calibri"/>
          <w:szCs w:val="22"/>
        </w:rPr>
        <w:t>samoobslužné půjčování určený</w:t>
      </w:r>
      <w:r w:rsidR="00EA7D3A">
        <w:rPr>
          <w:rFonts w:ascii="Calibri" w:hAnsi="Calibri" w:cs="Calibri"/>
          <w:szCs w:val="22"/>
        </w:rPr>
        <w:t>ch</w:t>
      </w:r>
      <w:r w:rsidR="00EA7D3A" w:rsidRPr="00183D2D">
        <w:rPr>
          <w:rFonts w:ascii="Calibri" w:hAnsi="Calibri" w:cs="Calibri"/>
          <w:szCs w:val="22"/>
        </w:rPr>
        <w:t xml:space="preserve"> k položení na stávající pult</w:t>
      </w:r>
      <w:r w:rsidR="00EA7D3A">
        <w:rPr>
          <w:rFonts w:ascii="Calibri" w:hAnsi="Calibri" w:cs="Calibri"/>
          <w:szCs w:val="22"/>
        </w:rPr>
        <w:t>.</w:t>
      </w:r>
    </w:p>
    <w:p w14:paraId="07ACCB04" w14:textId="0B97816A" w:rsidR="00EA7D3A" w:rsidRPr="002A5776" w:rsidRDefault="00EA7D3A" w:rsidP="00BC1043">
      <w:pPr>
        <w:pStyle w:val="Bezmezer"/>
        <w:numPr>
          <w:ilvl w:val="0"/>
          <w:numId w:val="42"/>
        </w:numPr>
        <w:tabs>
          <w:tab w:val="clear" w:pos="705"/>
          <w:tab w:val="num" w:pos="567"/>
        </w:tabs>
      </w:pPr>
      <w:r w:rsidRPr="002A5776">
        <w:t xml:space="preserve">Celková cena zboží </w:t>
      </w:r>
      <w:r w:rsidR="00CF2618" w:rsidRPr="002A5776">
        <w:t xml:space="preserve">je </w:t>
      </w:r>
      <w:r w:rsidR="002A5776" w:rsidRPr="00DE5A11">
        <w:t>1 960 409,50</w:t>
      </w:r>
      <w:r w:rsidR="002A5776" w:rsidRPr="002A5776">
        <w:t xml:space="preserve"> Kč</w:t>
      </w:r>
      <w:r w:rsidR="00CF2618" w:rsidRPr="002A5776">
        <w:t xml:space="preserve"> </w:t>
      </w:r>
      <w:r w:rsidRPr="002A5776">
        <w:t xml:space="preserve">bez DPH, což </w:t>
      </w:r>
      <w:r w:rsidR="00CF2618" w:rsidRPr="00DE5A11">
        <w:t xml:space="preserve">činí </w:t>
      </w:r>
      <w:r w:rsidR="00BC1043" w:rsidRPr="00DE5A11">
        <w:t>2 372 095,50</w:t>
      </w:r>
      <w:r w:rsidR="00BC1043">
        <w:t xml:space="preserve"> </w:t>
      </w:r>
      <w:r w:rsidRPr="002A5776">
        <w:t>Kč s</w:t>
      </w:r>
      <w:r w:rsidR="008E3548" w:rsidRPr="002A5776">
        <w:t xml:space="preserve"> 21 </w:t>
      </w:r>
      <w:r w:rsidR="008E3548" w:rsidRPr="00BC1043">
        <w:rPr>
          <w:lang w:val="en-US"/>
        </w:rPr>
        <w:t xml:space="preserve">% </w:t>
      </w:r>
      <w:r w:rsidRPr="002A5776">
        <w:t>DPH.</w:t>
      </w:r>
    </w:p>
    <w:p w14:paraId="01299521" w14:textId="77777777" w:rsidR="00827570" w:rsidRDefault="00827570" w:rsidP="00897F50"/>
    <w:p w14:paraId="5997D583" w14:textId="77777777" w:rsidR="00827570" w:rsidRDefault="00827570" w:rsidP="00897F50"/>
    <w:p w14:paraId="756E4DCB" w14:textId="77777777" w:rsidR="00285EC2" w:rsidRPr="00897F50" w:rsidRDefault="00285EC2" w:rsidP="00897F50"/>
    <w:p w14:paraId="45A929E4" w14:textId="1AB4947B" w:rsidR="00B81498" w:rsidRDefault="00C6030C" w:rsidP="00DF37DC">
      <w:pPr>
        <w:pStyle w:val="Nadpis2"/>
      </w:pPr>
      <w:r w:rsidRPr="00897F50">
        <w:rPr>
          <w:lang w:eastAsia="ar-SA"/>
        </w:rPr>
        <w:t>Společná a závěrečná ustanovení</w:t>
      </w:r>
    </w:p>
    <w:p w14:paraId="10EB53FD" w14:textId="7A2299F1" w:rsidR="00B81498" w:rsidRDefault="00B81498" w:rsidP="007D2C5C">
      <w:pPr>
        <w:pStyle w:val="Bezmezer"/>
        <w:numPr>
          <w:ilvl w:val="0"/>
          <w:numId w:val="73"/>
        </w:numPr>
        <w:tabs>
          <w:tab w:val="clear" w:pos="705"/>
          <w:tab w:val="num" w:pos="567"/>
        </w:tabs>
      </w:pPr>
      <w:r>
        <w:t xml:space="preserve">Předpoklad dodání zboží dle tohoto dodatku je </w:t>
      </w:r>
      <w:r w:rsidR="00415095">
        <w:t>v první čtvrtině roku 2021</w:t>
      </w:r>
      <w:r>
        <w:t>.</w:t>
      </w:r>
    </w:p>
    <w:p w14:paraId="3F3B0253" w14:textId="223D595E" w:rsidR="009273E2" w:rsidRDefault="009273E2" w:rsidP="007D2C5C">
      <w:pPr>
        <w:pStyle w:val="Bezmezer"/>
        <w:tabs>
          <w:tab w:val="clear" w:pos="705"/>
          <w:tab w:val="num" w:pos="567"/>
        </w:tabs>
        <w:ind w:left="567" w:hanging="567"/>
      </w:pPr>
      <w:r>
        <w:t>Kupující</w:t>
      </w:r>
      <w:r w:rsidRPr="00FB4F97">
        <w:t xml:space="preserve"> neodpovídá za prodlení </w:t>
      </w:r>
      <w:r w:rsidR="000C1257">
        <w:t>při</w:t>
      </w:r>
      <w:r w:rsidRPr="00FB4F97">
        <w:t xml:space="preserve"> dodání zboží podle </w:t>
      </w:r>
      <w:r w:rsidR="000C1257">
        <w:t>tohoto dodatku</w:t>
      </w:r>
      <w:r w:rsidRPr="00FB4F97">
        <w:t xml:space="preserve"> z důvodu vyšší moci. Vyšší mocí se rozumí nepředvídatelná nebo výjimečná situace nebo událost, kterou nemohou </w:t>
      </w:r>
      <w:r>
        <w:t>s</w:t>
      </w:r>
      <w:r w:rsidRPr="00FB4F97">
        <w:t xml:space="preserve">mluvní strany </w:t>
      </w:r>
      <w:r>
        <w:t xml:space="preserve">ani jejich dodavatelé </w:t>
      </w:r>
      <w:r w:rsidRPr="00FB4F97">
        <w:t>ovlivnit a která brání v plnění jejich smluvních povinností, která není způsobená chybou nebo nedbalostí na jejich straně nebo na straně jejich dodavatelů a je i přes veškeré úsilí nepřekonatelná. Za vyšší moc se kromě jiného považuj</w:t>
      </w:r>
      <w:r>
        <w:t>e</w:t>
      </w:r>
      <w:r w:rsidRPr="00FB4F97">
        <w:t xml:space="preserve"> také nouzov</w:t>
      </w:r>
      <w:r>
        <w:t>ý</w:t>
      </w:r>
      <w:r w:rsidRPr="00FB4F97">
        <w:t xml:space="preserve"> stav nebo vládní opatření</w:t>
      </w:r>
      <w:r>
        <w:t xml:space="preserve"> a nařízení, která v konečném důsledku brání řádnému plnění podle tohoto dodatku.</w:t>
      </w:r>
      <w:r w:rsidRPr="00FB4F97">
        <w:t xml:space="preserve"> </w:t>
      </w:r>
      <w:r>
        <w:t>V případě, že nastane situace zapříčiněná vyšší mocí, která ovlivní plnění podle tohoto dodatku, je prodávající povinen kupujícího o této skutečnosti informovat a smluvní strany jsou povinny dohodnout se na přijatelné alternativě řešení.</w:t>
      </w:r>
    </w:p>
    <w:p w14:paraId="1C741A60" w14:textId="55D50317" w:rsidR="00C6030C" w:rsidRDefault="000421B7" w:rsidP="007D2C5C">
      <w:pPr>
        <w:pStyle w:val="Bezmezer"/>
        <w:tabs>
          <w:tab w:val="clear" w:pos="705"/>
          <w:tab w:val="num" w:pos="567"/>
        </w:tabs>
        <w:ind w:left="567" w:hanging="567"/>
      </w:pPr>
      <w:r w:rsidRPr="007D2C5C">
        <w:t xml:space="preserve">Tento </w:t>
      </w:r>
      <w:r w:rsidR="003C3D28" w:rsidRPr="007D2C5C">
        <w:t>d</w:t>
      </w:r>
      <w:r w:rsidRPr="007D2C5C">
        <w:t xml:space="preserve">odatek je vyhotoven ve </w:t>
      </w:r>
      <w:r w:rsidR="00490246" w:rsidRPr="007D2C5C">
        <w:t>dvou</w:t>
      </w:r>
      <w:r w:rsidRPr="007D2C5C">
        <w:t xml:space="preserve"> stejnopisech, z nichž </w:t>
      </w:r>
      <w:r w:rsidR="00490246" w:rsidRPr="007D2C5C">
        <w:t>kupující</w:t>
      </w:r>
      <w:r w:rsidRPr="007D2C5C">
        <w:t xml:space="preserve"> a </w:t>
      </w:r>
      <w:r w:rsidR="00490246" w:rsidRPr="007D2C5C">
        <w:t>prodávající</w:t>
      </w:r>
      <w:r w:rsidR="00F25F86" w:rsidRPr="007D2C5C">
        <w:t xml:space="preserve"> obdrží každý jeden stejnopis</w:t>
      </w:r>
      <w:r w:rsidRPr="007D2C5C">
        <w:t>.</w:t>
      </w:r>
    </w:p>
    <w:p w14:paraId="707B3EC1" w14:textId="13305A66" w:rsidR="008A23DB" w:rsidRDefault="008A23DB" w:rsidP="007D2C5C">
      <w:pPr>
        <w:pStyle w:val="Bezmezer"/>
        <w:tabs>
          <w:tab w:val="clear" w:pos="705"/>
          <w:tab w:val="num" w:pos="567"/>
        </w:tabs>
        <w:ind w:left="567" w:hanging="567"/>
      </w:pPr>
      <w:r w:rsidRPr="007D2C5C">
        <w:t>Tento Dodatek bude uveřejněn v registru smluv dle zákona č. 340/2015 Sb.; uveřejnění zajistí kupující.</w:t>
      </w:r>
    </w:p>
    <w:p w14:paraId="6FBA7D68" w14:textId="0AAAB1DE" w:rsidR="000421B7" w:rsidRPr="00897F50" w:rsidRDefault="000421B7" w:rsidP="007D2C5C">
      <w:pPr>
        <w:pStyle w:val="Bezmezer"/>
        <w:tabs>
          <w:tab w:val="clear" w:pos="705"/>
          <w:tab w:val="num" w:pos="567"/>
        </w:tabs>
        <w:ind w:left="567" w:hanging="567"/>
      </w:pPr>
      <w:r>
        <w:t xml:space="preserve">Ostatní </w:t>
      </w:r>
      <w:r w:rsidRPr="000421B7">
        <w:t xml:space="preserve">ujednání </w:t>
      </w:r>
      <w:r w:rsidR="004B0E60">
        <w:t>S</w:t>
      </w:r>
      <w:r w:rsidR="004B0E60" w:rsidRPr="000421B7">
        <w:t xml:space="preserve">mlouvy </w:t>
      </w:r>
      <w:r w:rsidRPr="000421B7">
        <w:t>zůstávají v platnosti beze změn.</w:t>
      </w:r>
    </w:p>
    <w:p w14:paraId="6069E26F" w14:textId="77777777" w:rsidR="00C6030C" w:rsidRPr="00897F50" w:rsidRDefault="00C6030C" w:rsidP="007D2C5C"/>
    <w:p w14:paraId="5920ACA4" w14:textId="77777777" w:rsidR="00B548B4" w:rsidRPr="00897F50" w:rsidRDefault="00B548B4" w:rsidP="00897F50"/>
    <w:p w14:paraId="558BF422" w14:textId="4CE7C116" w:rsidR="00B548B4" w:rsidRDefault="00B548B4" w:rsidP="00897F50"/>
    <w:p w14:paraId="71E74839" w14:textId="77777777" w:rsidR="001773CB" w:rsidRPr="00897F50" w:rsidRDefault="001773CB" w:rsidP="00897F50"/>
    <w:p w14:paraId="75218D0C" w14:textId="78B55B7C" w:rsidR="00C6030C" w:rsidRPr="00897F50" w:rsidRDefault="00C6030C" w:rsidP="00422CED">
      <w:pPr>
        <w:tabs>
          <w:tab w:val="left" w:pos="5103"/>
        </w:tabs>
      </w:pPr>
      <w:r w:rsidRPr="00897F50">
        <w:t>V Praze dne</w:t>
      </w:r>
      <w:r w:rsidR="00274B5A">
        <w:t>:</w:t>
      </w:r>
      <w:r w:rsidR="008B4789">
        <w:t xml:space="preserve"> 11. 11. 2020</w:t>
      </w:r>
      <w:r w:rsidR="00B548B4" w:rsidRPr="00897F50">
        <w:tab/>
      </w:r>
      <w:r w:rsidR="00422CED">
        <w:tab/>
      </w:r>
      <w:r w:rsidR="00B548B4" w:rsidRPr="00897F50">
        <w:t>V </w:t>
      </w:r>
      <w:r w:rsidR="00684367">
        <w:t>Hodoníně</w:t>
      </w:r>
      <w:r w:rsidR="00684367" w:rsidRPr="00897F50">
        <w:t xml:space="preserve"> </w:t>
      </w:r>
      <w:r w:rsidR="00B548B4" w:rsidRPr="00897F50">
        <w:t>dne</w:t>
      </w:r>
      <w:r w:rsidR="00274B5A">
        <w:t>:</w:t>
      </w:r>
      <w:r w:rsidRPr="00897F50">
        <w:tab/>
      </w:r>
    </w:p>
    <w:p w14:paraId="232CF741" w14:textId="77777777" w:rsidR="00C6030C" w:rsidRDefault="00C6030C" w:rsidP="00897F50"/>
    <w:p w14:paraId="613039D1" w14:textId="77777777" w:rsidR="00C6030C" w:rsidRDefault="00C6030C" w:rsidP="00897F50"/>
    <w:p w14:paraId="122700B0" w14:textId="50CAADBD" w:rsidR="00114523" w:rsidRDefault="00114523" w:rsidP="00897F50"/>
    <w:p w14:paraId="673C7D20" w14:textId="77777777" w:rsidR="00827570" w:rsidRDefault="00827570" w:rsidP="00897F50"/>
    <w:p w14:paraId="0A780F65" w14:textId="3AF3401A" w:rsidR="001773CB" w:rsidRDefault="001773CB" w:rsidP="00897F50"/>
    <w:p w14:paraId="20EEF7F2" w14:textId="77777777" w:rsidR="001773CB" w:rsidRDefault="001773CB" w:rsidP="00897F50"/>
    <w:p w14:paraId="7D5219C7" w14:textId="77777777" w:rsidR="00114523" w:rsidRPr="00897F50" w:rsidRDefault="00114523" w:rsidP="00897F50"/>
    <w:p w14:paraId="13FF5DA6" w14:textId="46B872F6" w:rsidR="00F25F86" w:rsidRPr="00897F50" w:rsidRDefault="00B548B4" w:rsidP="00422CED">
      <w:pPr>
        <w:tabs>
          <w:tab w:val="left" w:pos="5103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14:paraId="0EEBFB72" w14:textId="0E1A071B" w:rsidR="00635920" w:rsidRPr="00897F50" w:rsidRDefault="00C6030C" w:rsidP="00422CED">
      <w:pPr>
        <w:tabs>
          <w:tab w:val="left" w:pos="5103"/>
        </w:tabs>
      </w:pPr>
      <w:r w:rsidRPr="00897F50">
        <w:tab/>
      </w:r>
      <w:r w:rsidR="00422CED">
        <w:tab/>
      </w:r>
    </w:p>
    <w:p w14:paraId="72D93987" w14:textId="714AB698" w:rsidR="00635920" w:rsidRDefault="00B72836" w:rsidP="00415604">
      <w:pPr>
        <w:tabs>
          <w:tab w:val="left" w:pos="5103"/>
        </w:tabs>
      </w:pPr>
      <w:r>
        <w:t>RNDr. Tomáš Řehák,</w:t>
      </w:r>
      <w:r w:rsidR="00635920">
        <w:tab/>
      </w:r>
      <w:r w:rsidR="00635920">
        <w:tab/>
      </w:r>
      <w:r w:rsidR="00F20603" w:rsidRPr="00845678">
        <w:rPr>
          <w:rFonts w:ascii="Calibri" w:eastAsia="ヒラギノ角ゴ Pro W3" w:hAnsi="Calibri" w:cs="Calibri"/>
        </w:rPr>
        <w:t xml:space="preserve">Ing. </w:t>
      </w:r>
      <w:proofErr w:type="spellStart"/>
      <w:r w:rsidR="00274B5A" w:rsidRPr="00845678">
        <w:rPr>
          <w:rFonts w:ascii="Calibri" w:eastAsia="ヒラギノ角ゴ Pro W3" w:hAnsi="Calibri" w:cs="Calibri"/>
        </w:rPr>
        <w:t>Nadežda</w:t>
      </w:r>
      <w:proofErr w:type="spellEnd"/>
      <w:r w:rsidR="00274B5A" w:rsidRPr="00845678">
        <w:rPr>
          <w:rFonts w:ascii="Calibri" w:eastAsia="ヒラギノ角ゴ Pro W3" w:hAnsi="Calibri" w:cs="Calibri"/>
        </w:rPr>
        <w:t xml:space="preserve"> </w:t>
      </w:r>
      <w:proofErr w:type="spellStart"/>
      <w:r w:rsidR="00F20603" w:rsidRPr="00845678">
        <w:rPr>
          <w:rFonts w:ascii="Calibri" w:eastAsia="ヒラギノ角ゴ Pro W3" w:hAnsi="Calibri" w:cs="Calibri"/>
        </w:rPr>
        <w:t>Andrejčíková</w:t>
      </w:r>
      <w:proofErr w:type="spellEnd"/>
      <w:r w:rsidR="00F20603" w:rsidRPr="00845678">
        <w:rPr>
          <w:rFonts w:ascii="Calibri" w:eastAsia="ヒラギノ角ゴ Pro W3" w:hAnsi="Calibri" w:cs="Calibri"/>
        </w:rPr>
        <w:t xml:space="preserve"> PhD.</w:t>
      </w:r>
      <w:r w:rsidR="00274B5A">
        <w:rPr>
          <w:rFonts w:ascii="Calibri" w:eastAsia="ヒラギノ角ゴ Pro W3" w:hAnsi="Calibri" w:cs="Calibri"/>
        </w:rPr>
        <w:t>,</w:t>
      </w:r>
    </w:p>
    <w:p w14:paraId="36822D03" w14:textId="626AF0C1" w:rsidR="00F20603" w:rsidRPr="00F20603" w:rsidRDefault="00635920" w:rsidP="00F20603">
      <w:pPr>
        <w:tabs>
          <w:tab w:val="left" w:pos="5103"/>
        </w:tabs>
        <w:spacing w:line="360" w:lineRule="auto"/>
        <w:rPr>
          <w:rFonts w:ascii="Calibri" w:eastAsia="ヒラギノ角ゴ Pro W3" w:hAnsi="Calibri" w:cs="Calibri"/>
        </w:rPr>
      </w:pPr>
      <w:r>
        <w:t>Městská knihovna v Praze</w:t>
      </w:r>
      <w:r w:rsidR="00B72836">
        <w:tab/>
      </w:r>
      <w:r w:rsidR="00F20603">
        <w:tab/>
      </w:r>
      <w:r w:rsidR="00F20603" w:rsidRPr="00F20603">
        <w:rPr>
          <w:rFonts w:ascii="Calibri" w:eastAsia="ヒラギノ角ゴ Pro W3" w:hAnsi="Calibri" w:cs="Calibri"/>
        </w:rPr>
        <w:t>Cosmotron Bohemia, s.r.o.</w:t>
      </w:r>
    </w:p>
    <w:p w14:paraId="470B78F4" w14:textId="67D61234" w:rsidR="00635920" w:rsidRPr="00F25F86" w:rsidRDefault="00635920" w:rsidP="00E25A37">
      <w:pPr>
        <w:tabs>
          <w:tab w:val="left" w:pos="5103"/>
        </w:tabs>
        <w:rPr>
          <w:rFonts w:ascii="Calibri" w:eastAsia="ヒラギノ角ゴ Pro W3" w:hAnsi="Calibri" w:cs="Calibri"/>
          <w:b/>
        </w:rPr>
      </w:pPr>
    </w:p>
    <w:p w14:paraId="7906366B" w14:textId="77777777" w:rsidR="008E3548" w:rsidRPr="00897F50" w:rsidRDefault="008E3548" w:rsidP="00415604">
      <w:pPr>
        <w:tabs>
          <w:tab w:val="left" w:pos="5103"/>
        </w:tabs>
      </w:pPr>
    </w:p>
    <w:sectPr w:rsidR="008E3548" w:rsidRPr="00897F50" w:rsidSect="00827570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3213" w16cex:dateUtc="2020-10-26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29A9C4" w16cid:durableId="234132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A84"/>
    <w:multiLevelType w:val="hybridMultilevel"/>
    <w:tmpl w:val="92184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03EB"/>
    <w:multiLevelType w:val="multilevel"/>
    <w:tmpl w:val="32809F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0C57"/>
    <w:multiLevelType w:val="hybridMultilevel"/>
    <w:tmpl w:val="2668CFC6"/>
    <w:lvl w:ilvl="0" w:tplc="E4426B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89B"/>
    <w:multiLevelType w:val="multilevel"/>
    <w:tmpl w:val="01C08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B35D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144AC3"/>
    <w:multiLevelType w:val="multilevel"/>
    <w:tmpl w:val="296A12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1116F1"/>
    <w:multiLevelType w:val="hybridMultilevel"/>
    <w:tmpl w:val="C2D6FE8A"/>
    <w:lvl w:ilvl="0" w:tplc="6D1AE0B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A1A2A"/>
    <w:multiLevelType w:val="hybridMultilevel"/>
    <w:tmpl w:val="E356D834"/>
    <w:lvl w:ilvl="0" w:tplc="12BE498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2C1C91"/>
    <w:multiLevelType w:val="multilevel"/>
    <w:tmpl w:val="273ECA7E"/>
    <w:numStyleLink w:val="Styl1"/>
  </w:abstractNum>
  <w:abstractNum w:abstractNumId="14" w15:restartNumberingAfterBreak="0">
    <w:nsid w:val="6C931E74"/>
    <w:multiLevelType w:val="hybridMultilevel"/>
    <w:tmpl w:val="C84EFDB4"/>
    <w:lvl w:ilvl="0" w:tplc="A5C01F88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4"/>
  </w:num>
  <w:num w:numId="8">
    <w:abstractNumId w:val="0"/>
  </w:num>
  <w:num w:numId="9">
    <w:abstractNumId w:val="14"/>
  </w:num>
  <w:num w:numId="10">
    <w:abstractNumId w:val="12"/>
  </w:num>
  <w:num w:numId="11">
    <w:abstractNumId w:val="14"/>
  </w:num>
  <w:num w:numId="12">
    <w:abstractNumId w:val="14"/>
  </w:num>
  <w:num w:numId="13">
    <w:abstractNumId w:val="3"/>
  </w:num>
  <w:num w:numId="14">
    <w:abstractNumId w:val="3"/>
  </w:num>
  <w:num w:numId="15">
    <w:abstractNumId w:val="8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</w:num>
  <w:num w:numId="19">
    <w:abstractNumId w:val="14"/>
  </w:num>
  <w:num w:numId="20">
    <w:abstractNumId w:val="3"/>
  </w:num>
  <w:num w:numId="21">
    <w:abstractNumId w:val="2"/>
  </w:num>
  <w:num w:numId="22">
    <w:abstractNumId w:val="14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3"/>
  </w:num>
  <w:num w:numId="26">
    <w:abstractNumId w:val="14"/>
  </w:num>
  <w:num w:numId="27">
    <w:abstractNumId w:val="7"/>
  </w:num>
  <w:num w:numId="28">
    <w:abstractNumId w:val="13"/>
  </w:num>
  <w:num w:numId="29">
    <w:abstractNumId w:val="11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  <w:lvlOverride w:ilvl="0">
      <w:startOverride w:val="1"/>
    </w:lvlOverride>
  </w:num>
  <w:num w:numId="39">
    <w:abstractNumId w:val="14"/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  <w:num w:numId="49">
    <w:abstractNumId w:val="14"/>
  </w:num>
  <w:num w:numId="50">
    <w:abstractNumId w:val="14"/>
  </w:num>
  <w:num w:numId="51">
    <w:abstractNumId w:val="14"/>
  </w:num>
  <w:num w:numId="52">
    <w:abstractNumId w:val="14"/>
  </w:num>
  <w:num w:numId="53">
    <w:abstractNumId w:val="3"/>
  </w:num>
  <w:num w:numId="54">
    <w:abstractNumId w:val="14"/>
  </w:num>
  <w:num w:numId="55">
    <w:abstractNumId w:val="14"/>
  </w:num>
  <w:num w:numId="56">
    <w:abstractNumId w:val="14"/>
  </w:num>
  <w:num w:numId="57">
    <w:abstractNumId w:val="14"/>
  </w:num>
  <w:num w:numId="58">
    <w:abstractNumId w:val="10"/>
  </w:num>
  <w:num w:numId="59">
    <w:abstractNumId w:val="9"/>
  </w:num>
  <w:num w:numId="60">
    <w:abstractNumId w:val="14"/>
  </w:num>
  <w:num w:numId="61">
    <w:abstractNumId w:val="14"/>
  </w:num>
  <w:num w:numId="62">
    <w:abstractNumId w:val="14"/>
  </w:num>
  <w:num w:numId="63">
    <w:abstractNumId w:val="14"/>
  </w:num>
  <w:num w:numId="64">
    <w:abstractNumId w:val="14"/>
  </w:num>
  <w:num w:numId="65">
    <w:abstractNumId w:val="14"/>
  </w:num>
  <w:num w:numId="66">
    <w:abstractNumId w:val="14"/>
  </w:num>
  <w:num w:numId="67">
    <w:abstractNumId w:val="14"/>
  </w:num>
  <w:num w:numId="68">
    <w:abstractNumId w:val="14"/>
  </w:num>
  <w:num w:numId="69">
    <w:abstractNumId w:val="14"/>
  </w:num>
  <w:num w:numId="70">
    <w:abstractNumId w:val="14"/>
  </w:num>
  <w:num w:numId="71">
    <w:abstractNumId w:val="14"/>
  </w:num>
  <w:num w:numId="72">
    <w:abstractNumId w:val="14"/>
  </w:num>
  <w:num w:numId="73">
    <w:abstractNumId w:val="14"/>
    <w:lvlOverride w:ilvl="0">
      <w:startOverride w:val="1"/>
    </w:lvlOverride>
  </w:num>
  <w:num w:numId="74">
    <w:abstractNumId w:val="14"/>
  </w:num>
  <w:num w:numId="75">
    <w:abstractNumId w:val="14"/>
  </w:num>
  <w:num w:numId="76">
    <w:abstractNumId w:val="14"/>
  </w:num>
  <w:num w:numId="77">
    <w:abstractNumId w:val="14"/>
  </w:num>
  <w:num w:numId="78">
    <w:abstractNumId w:val="4"/>
  </w:num>
  <w:num w:numId="79">
    <w:abstractNumId w:val="14"/>
  </w:num>
  <w:num w:numId="80">
    <w:abstractNumId w:val="1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B7"/>
    <w:rsid w:val="0001606A"/>
    <w:rsid w:val="00031532"/>
    <w:rsid w:val="000421B7"/>
    <w:rsid w:val="00054557"/>
    <w:rsid w:val="000B07FF"/>
    <w:rsid w:val="000B2B46"/>
    <w:rsid w:val="000C1257"/>
    <w:rsid w:val="000F6C90"/>
    <w:rsid w:val="00107BEB"/>
    <w:rsid w:val="00114523"/>
    <w:rsid w:val="00154304"/>
    <w:rsid w:val="001773CB"/>
    <w:rsid w:val="00183D2D"/>
    <w:rsid w:val="001B3024"/>
    <w:rsid w:val="001C1E41"/>
    <w:rsid w:val="001D1DB4"/>
    <w:rsid w:val="001D29F0"/>
    <w:rsid w:val="001F358F"/>
    <w:rsid w:val="00204468"/>
    <w:rsid w:val="00215E78"/>
    <w:rsid w:val="0024122C"/>
    <w:rsid w:val="0025034C"/>
    <w:rsid w:val="002677CD"/>
    <w:rsid w:val="00274B5A"/>
    <w:rsid w:val="00285EC2"/>
    <w:rsid w:val="002A5776"/>
    <w:rsid w:val="002C78EF"/>
    <w:rsid w:val="002E098C"/>
    <w:rsid w:val="002F23B2"/>
    <w:rsid w:val="002F3078"/>
    <w:rsid w:val="00302945"/>
    <w:rsid w:val="00303F05"/>
    <w:rsid w:val="00342797"/>
    <w:rsid w:val="00350ED9"/>
    <w:rsid w:val="0036152D"/>
    <w:rsid w:val="00364829"/>
    <w:rsid w:val="00384A48"/>
    <w:rsid w:val="003909F8"/>
    <w:rsid w:val="003C2AE0"/>
    <w:rsid w:val="003C3D28"/>
    <w:rsid w:val="003E513F"/>
    <w:rsid w:val="003F5345"/>
    <w:rsid w:val="004064A8"/>
    <w:rsid w:val="00410315"/>
    <w:rsid w:val="00415095"/>
    <w:rsid w:val="00415604"/>
    <w:rsid w:val="00421003"/>
    <w:rsid w:val="00422CED"/>
    <w:rsid w:val="00463C29"/>
    <w:rsid w:val="00490246"/>
    <w:rsid w:val="004A0399"/>
    <w:rsid w:val="004B0E60"/>
    <w:rsid w:val="004C48C1"/>
    <w:rsid w:val="004D05D2"/>
    <w:rsid w:val="004F3B3B"/>
    <w:rsid w:val="0050121C"/>
    <w:rsid w:val="00517D09"/>
    <w:rsid w:val="00542F09"/>
    <w:rsid w:val="00575D1B"/>
    <w:rsid w:val="00582D2F"/>
    <w:rsid w:val="00592A66"/>
    <w:rsid w:val="005A5D36"/>
    <w:rsid w:val="005B6FF9"/>
    <w:rsid w:val="005D06BD"/>
    <w:rsid w:val="005D36F6"/>
    <w:rsid w:val="0061404D"/>
    <w:rsid w:val="006214E2"/>
    <w:rsid w:val="00635920"/>
    <w:rsid w:val="00637337"/>
    <w:rsid w:val="0066165E"/>
    <w:rsid w:val="00684367"/>
    <w:rsid w:val="006A2EEA"/>
    <w:rsid w:val="006B5C6B"/>
    <w:rsid w:val="006C05BB"/>
    <w:rsid w:val="006E1165"/>
    <w:rsid w:val="00762898"/>
    <w:rsid w:val="0077780B"/>
    <w:rsid w:val="007A4B84"/>
    <w:rsid w:val="007D2C5C"/>
    <w:rsid w:val="007E1D33"/>
    <w:rsid w:val="007E350B"/>
    <w:rsid w:val="00802DDB"/>
    <w:rsid w:val="00827570"/>
    <w:rsid w:val="00845678"/>
    <w:rsid w:val="00867C6B"/>
    <w:rsid w:val="00873435"/>
    <w:rsid w:val="00883583"/>
    <w:rsid w:val="00897F50"/>
    <w:rsid w:val="008A23DB"/>
    <w:rsid w:val="008A3F44"/>
    <w:rsid w:val="008B212A"/>
    <w:rsid w:val="008B4789"/>
    <w:rsid w:val="008C74E5"/>
    <w:rsid w:val="008E19AC"/>
    <w:rsid w:val="008E3548"/>
    <w:rsid w:val="00922C05"/>
    <w:rsid w:val="009273E2"/>
    <w:rsid w:val="00962CA2"/>
    <w:rsid w:val="00972390"/>
    <w:rsid w:val="0098797D"/>
    <w:rsid w:val="009D6295"/>
    <w:rsid w:val="009E6429"/>
    <w:rsid w:val="009E6BE5"/>
    <w:rsid w:val="00A075A6"/>
    <w:rsid w:val="00A20D32"/>
    <w:rsid w:val="00A20F9A"/>
    <w:rsid w:val="00A41F34"/>
    <w:rsid w:val="00A47F5C"/>
    <w:rsid w:val="00A51675"/>
    <w:rsid w:val="00B0620D"/>
    <w:rsid w:val="00B07920"/>
    <w:rsid w:val="00B3658A"/>
    <w:rsid w:val="00B51392"/>
    <w:rsid w:val="00B548B4"/>
    <w:rsid w:val="00B602E4"/>
    <w:rsid w:val="00B72836"/>
    <w:rsid w:val="00B81498"/>
    <w:rsid w:val="00B92CC4"/>
    <w:rsid w:val="00BA1667"/>
    <w:rsid w:val="00BA2BC3"/>
    <w:rsid w:val="00BC1043"/>
    <w:rsid w:val="00BC6B7C"/>
    <w:rsid w:val="00C126BB"/>
    <w:rsid w:val="00C16EC6"/>
    <w:rsid w:val="00C53277"/>
    <w:rsid w:val="00C6030C"/>
    <w:rsid w:val="00C96BCC"/>
    <w:rsid w:val="00CB0C3A"/>
    <w:rsid w:val="00CF2618"/>
    <w:rsid w:val="00CF283E"/>
    <w:rsid w:val="00D07F91"/>
    <w:rsid w:val="00D16BE2"/>
    <w:rsid w:val="00D2036C"/>
    <w:rsid w:val="00D33B52"/>
    <w:rsid w:val="00D518ED"/>
    <w:rsid w:val="00D52FE2"/>
    <w:rsid w:val="00D73511"/>
    <w:rsid w:val="00DA6F08"/>
    <w:rsid w:val="00DB2B6C"/>
    <w:rsid w:val="00DE5A11"/>
    <w:rsid w:val="00DF37DC"/>
    <w:rsid w:val="00DF5677"/>
    <w:rsid w:val="00E05C58"/>
    <w:rsid w:val="00E25A37"/>
    <w:rsid w:val="00E277BE"/>
    <w:rsid w:val="00E338F1"/>
    <w:rsid w:val="00E438C1"/>
    <w:rsid w:val="00E56EEA"/>
    <w:rsid w:val="00E71DA4"/>
    <w:rsid w:val="00E73713"/>
    <w:rsid w:val="00E801EE"/>
    <w:rsid w:val="00E87223"/>
    <w:rsid w:val="00E977D8"/>
    <w:rsid w:val="00EA7D3A"/>
    <w:rsid w:val="00EC695C"/>
    <w:rsid w:val="00F20603"/>
    <w:rsid w:val="00F21D37"/>
    <w:rsid w:val="00F221A8"/>
    <w:rsid w:val="00F25F86"/>
    <w:rsid w:val="00F80EA2"/>
    <w:rsid w:val="00F80F50"/>
    <w:rsid w:val="00FA6D82"/>
    <w:rsid w:val="00FB4F97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5D9"/>
  <w15:docId w15:val="{D77B2F56-AFF3-4125-9F6E-ADB91E2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19"/>
      </w:numPr>
      <w:spacing w:before="120"/>
    </w:pPr>
  </w:style>
  <w:style w:type="paragraph" w:customStyle="1" w:styleId="para">
    <w:name w:val="para"/>
    <w:basedOn w:val="Normln"/>
    <w:rsid w:val="000421B7"/>
    <w:pPr>
      <w:tabs>
        <w:tab w:val="clear" w:pos="2880"/>
        <w:tab w:val="left" w:pos="709"/>
      </w:tabs>
      <w:jc w:val="center"/>
    </w:pPr>
    <w:rPr>
      <w:rFonts w:ascii="Times New Roman" w:hAnsi="Times New Roman"/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0421B7"/>
    <w:pPr>
      <w:tabs>
        <w:tab w:val="clear" w:pos="2880"/>
        <w:tab w:val="center" w:pos="4536"/>
        <w:tab w:val="right" w:pos="9072"/>
      </w:tabs>
    </w:pPr>
    <w:rPr>
      <w:rFonts w:ascii="Times New Roman" w:hAnsi="Times New Roman"/>
      <w:lang w:val="en-GB" w:eastAsia="en-GB"/>
    </w:rPr>
  </w:style>
  <w:style w:type="character" w:customStyle="1" w:styleId="ZhlavChar">
    <w:name w:val="Záhlaví Char"/>
    <w:basedOn w:val="Standardnpsmoodstavce"/>
    <w:link w:val="Zhlav"/>
    <w:uiPriority w:val="99"/>
    <w:rsid w:val="000421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B6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6F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FF9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FF9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F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FF9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Styl1">
    <w:name w:val="Styl1"/>
    <w:uiPriority w:val="99"/>
    <w:rsid w:val="00F25F86"/>
    <w:pPr>
      <w:numPr>
        <w:numId w:val="27"/>
      </w:numPr>
    </w:pPr>
  </w:style>
  <w:style w:type="paragraph" w:customStyle="1" w:styleId="Styl2">
    <w:name w:val="Styl2"/>
    <w:basedOn w:val="Normln"/>
    <w:qFormat/>
    <w:rsid w:val="00F25F86"/>
    <w:pPr>
      <w:numPr>
        <w:numId w:val="28"/>
      </w:numPr>
      <w:tabs>
        <w:tab w:val="clear" w:pos="2880"/>
      </w:tabs>
      <w:jc w:val="both"/>
    </w:pPr>
    <w:rPr>
      <w:rFonts w:ascii="Times New Roman" w:hAnsi="Times New Roman"/>
    </w:rPr>
  </w:style>
  <w:style w:type="character" w:customStyle="1" w:styleId="rate">
    <w:name w:val="rate"/>
    <w:basedOn w:val="Standardnpsmoodstavce"/>
    <w:rsid w:val="00421003"/>
  </w:style>
  <w:style w:type="paragraph" w:styleId="Revize">
    <w:name w:val="Revision"/>
    <w:hidden/>
    <w:uiPriority w:val="99"/>
    <w:semiHidden/>
    <w:rsid w:val="003C3D28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1487-6263-469D-9513-E02B69E0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Lachnit</dc:creator>
  <cp:lastModifiedBy>Jan Stejskal</cp:lastModifiedBy>
  <cp:revision>8</cp:revision>
  <dcterms:created xsi:type="dcterms:W3CDTF">2020-11-11T13:03:00Z</dcterms:created>
  <dcterms:modified xsi:type="dcterms:W3CDTF">2020-11-11T14:09:00Z</dcterms:modified>
</cp:coreProperties>
</file>