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0F577" w14:textId="77777777" w:rsidR="00473FD7" w:rsidRPr="005D59AE" w:rsidRDefault="00473FD7" w:rsidP="007C72EE">
      <w:pPr>
        <w:pStyle w:val="Nzev"/>
      </w:pPr>
    </w:p>
    <w:p w14:paraId="0FB5C8CD" w14:textId="18365335" w:rsidR="00473FD7" w:rsidRDefault="0024100A" w:rsidP="00A75EF1">
      <w:pPr>
        <w:jc w:val="right"/>
      </w:pPr>
      <w:r w:rsidRPr="00BA32DA">
        <w:tab/>
        <w:t xml:space="preserve">Č. smlouvy </w:t>
      </w:r>
      <w:r w:rsidR="00A75EF1">
        <w:t>Dodavatele</w:t>
      </w:r>
      <w:r w:rsidR="00D57B0F">
        <w:t>:</w:t>
      </w:r>
      <w:r w:rsidR="00591CEA">
        <w:t xml:space="preserve"> </w:t>
      </w:r>
      <w:r w:rsidR="00405F18">
        <w:t>20</w:t>
      </w:r>
      <w:r w:rsidR="0002490E">
        <w:t>SMP00</w:t>
      </w:r>
      <w:r w:rsidR="00405F18">
        <w:t>3</w:t>
      </w:r>
    </w:p>
    <w:p w14:paraId="1A3C6F0F" w14:textId="7CF272AF" w:rsidR="00622296" w:rsidRPr="00BA32DA" w:rsidRDefault="00622296" w:rsidP="00E2277B">
      <w:pPr>
        <w:ind w:left="4963" w:firstLine="424"/>
        <w:jc w:val="right"/>
      </w:pPr>
      <w:r w:rsidRPr="00BA32DA">
        <w:t>Č. smlouv</w:t>
      </w:r>
      <w:r>
        <w:t xml:space="preserve">y </w:t>
      </w:r>
      <w:proofErr w:type="gramStart"/>
      <w:r>
        <w:t xml:space="preserve">Objednatele: </w:t>
      </w:r>
      <w:r w:rsidR="00E2277B">
        <w:t xml:space="preserve"> 2020014</w:t>
      </w:r>
      <w:proofErr w:type="gramEnd"/>
      <w:r w:rsidR="00E2277B">
        <w:t xml:space="preserve">      </w:t>
      </w:r>
    </w:p>
    <w:p w14:paraId="33E2AE10" w14:textId="77777777" w:rsidR="00622296" w:rsidRPr="00BA32DA" w:rsidRDefault="00622296" w:rsidP="00A75EF1">
      <w:pPr>
        <w:jc w:val="right"/>
      </w:pPr>
    </w:p>
    <w:p w14:paraId="4BE50988" w14:textId="77777777" w:rsidR="00473FD7" w:rsidRPr="00BA32DA" w:rsidRDefault="00473FD7" w:rsidP="007C72EE">
      <w:pPr>
        <w:pStyle w:val="Zkladntext"/>
      </w:pPr>
    </w:p>
    <w:p w14:paraId="2CAB94ED" w14:textId="77777777" w:rsidR="00392198" w:rsidRPr="00BC621F" w:rsidRDefault="00392198" w:rsidP="007C72EE">
      <w:pPr>
        <w:pStyle w:val="Zkladntext"/>
      </w:pPr>
      <w:r w:rsidRPr="00BC621F">
        <w:t>Smlouva o dílo</w:t>
      </w:r>
    </w:p>
    <w:p w14:paraId="4D7D1EDD" w14:textId="77777777" w:rsidR="00DF3005" w:rsidRDefault="0002490E" w:rsidP="00A75EF1">
      <w:pPr>
        <w:pStyle w:val="Zkladntext"/>
        <w:rPr>
          <w:rFonts w:ascii="Calibri" w:hAnsi="Calibri"/>
        </w:rPr>
      </w:pPr>
      <w:r>
        <w:t xml:space="preserve">Zavedení </w:t>
      </w:r>
      <w:r w:rsidR="00A75EF1" w:rsidRPr="00A75EF1">
        <w:t>Energetického managementu</w:t>
      </w:r>
      <w:r>
        <w:br/>
        <w:t>dle ČSN EN ISO 50001</w:t>
      </w:r>
    </w:p>
    <w:p w14:paraId="5415EB29" w14:textId="77777777" w:rsidR="00A75EF1" w:rsidRDefault="00A75EF1" w:rsidP="00A75EF1">
      <w:pPr>
        <w:jc w:val="center"/>
      </w:pPr>
    </w:p>
    <w:p w14:paraId="67EB6CCB" w14:textId="77777777" w:rsidR="00473FD7" w:rsidRPr="00BA32DA" w:rsidRDefault="00473FD7" w:rsidP="00A75EF1">
      <w:pPr>
        <w:jc w:val="center"/>
      </w:pPr>
      <w:r w:rsidRPr="00BA32DA">
        <w:t xml:space="preserve">uzavřená dle § </w:t>
      </w:r>
      <w:r w:rsidR="00247A5C">
        <w:t>2586</w:t>
      </w:r>
      <w:r w:rsidRPr="00BA32DA">
        <w:t xml:space="preserve"> a násl. zák. č. </w:t>
      </w:r>
      <w:r w:rsidR="00247A5C">
        <w:t>89/2012</w:t>
      </w:r>
      <w:r w:rsidRPr="00BA32DA">
        <w:t xml:space="preserve"> Sb., </w:t>
      </w:r>
      <w:r w:rsidR="00247A5C">
        <w:t>občanského zákoníku</w:t>
      </w:r>
    </w:p>
    <w:p w14:paraId="4DB98CF9" w14:textId="77777777" w:rsidR="00473FD7" w:rsidRDefault="00473FD7" w:rsidP="00A75EF1">
      <w:pPr>
        <w:jc w:val="center"/>
      </w:pPr>
      <w:r w:rsidRPr="00BA32DA">
        <w:t>v platném znění</w:t>
      </w:r>
    </w:p>
    <w:p w14:paraId="62621581" w14:textId="0C250596" w:rsidR="00B4108D" w:rsidRDefault="00B4108D" w:rsidP="00A75EF1">
      <w:pPr>
        <w:jc w:val="center"/>
        <w:rPr>
          <w:i/>
        </w:rPr>
      </w:pPr>
    </w:p>
    <w:p w14:paraId="513364DE" w14:textId="13C52C03" w:rsidR="009439A8" w:rsidRPr="00362E7A" w:rsidRDefault="0039345B" w:rsidP="009B7629">
      <w:pPr>
        <w:ind w:left="1560" w:right="706"/>
        <w:jc w:val="both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F9E3EBD" wp14:editId="4AEB8B66">
            <wp:simplePos x="0" y="0"/>
            <wp:positionH relativeFrom="column">
              <wp:posOffset>-39414</wp:posOffset>
            </wp:positionH>
            <wp:positionV relativeFrom="paragraph">
              <wp:posOffset>95866</wp:posOffset>
            </wp:positionV>
            <wp:extent cx="912495" cy="421005"/>
            <wp:effectExtent l="0" t="0" r="1905" b="0"/>
            <wp:wrapNone/>
            <wp:docPr id="30" name="Obrázek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ázek 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6B998D16" wp14:editId="4C757EEC">
            <wp:simplePos x="0" y="0"/>
            <wp:positionH relativeFrom="column">
              <wp:posOffset>5409213</wp:posOffset>
            </wp:positionH>
            <wp:positionV relativeFrom="paragraph">
              <wp:posOffset>22898</wp:posOffset>
            </wp:positionV>
            <wp:extent cx="869950" cy="464185"/>
            <wp:effectExtent l="0" t="0" r="6350" b="0"/>
            <wp:wrapNone/>
            <wp:docPr id="29" name="Obrázek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55984203"/>
      <w:r w:rsidR="00C0703E">
        <w:rPr>
          <w:i/>
        </w:rPr>
        <w:t>P</w:t>
      </w:r>
      <w:r w:rsidR="00B4108D" w:rsidRPr="009439A8">
        <w:rPr>
          <w:i/>
        </w:rPr>
        <w:t xml:space="preserve">rojekt je spolufinancován z Programu </w:t>
      </w:r>
      <w:proofErr w:type="gramStart"/>
      <w:r w:rsidR="00B4108D" w:rsidRPr="009439A8">
        <w:rPr>
          <w:i/>
        </w:rPr>
        <w:t>2D</w:t>
      </w:r>
      <w:proofErr w:type="gramEnd"/>
      <w:r w:rsidR="00B4108D" w:rsidRPr="009439A8">
        <w:rPr>
          <w:i/>
        </w:rPr>
        <w:t xml:space="preserve"> – Zavedení systému hospodaření s energií v podobě energetického managementu – Ministerstvo průmyslu a obchodu/Program EFEKT</w:t>
      </w:r>
      <w:r w:rsidR="005F5660">
        <w:rPr>
          <w:i/>
        </w:rPr>
        <w:t>2</w:t>
      </w:r>
      <w:r w:rsidR="00B4108D" w:rsidRPr="009439A8">
        <w:rPr>
          <w:i/>
        </w:rPr>
        <w:t xml:space="preserve"> 20</w:t>
      </w:r>
      <w:r w:rsidR="00405F18" w:rsidRPr="009439A8">
        <w:rPr>
          <w:i/>
        </w:rPr>
        <w:t>20</w:t>
      </w:r>
      <w:r w:rsidR="00B4108D" w:rsidRPr="009439A8">
        <w:rPr>
          <w:i/>
        </w:rPr>
        <w:t xml:space="preserve">, dotace č. </w:t>
      </w:r>
      <w:r w:rsidR="00C0703E">
        <w:rPr>
          <w:i/>
        </w:rPr>
        <w:t xml:space="preserve">122D22200 </w:t>
      </w:r>
      <w:r w:rsidR="00C0703E" w:rsidRPr="00C0703E">
        <w:rPr>
          <w:b/>
          <w:bCs/>
          <w:i/>
        </w:rPr>
        <w:t>0310</w:t>
      </w:r>
      <w:r w:rsidR="009B7629">
        <w:rPr>
          <w:b/>
          <w:bCs/>
          <w:i/>
        </w:rPr>
        <w:t xml:space="preserve">- </w:t>
      </w:r>
      <w:r w:rsidR="005F5660">
        <w:rPr>
          <w:b/>
          <w:bCs/>
          <w:i/>
        </w:rPr>
        <w:t>„</w:t>
      </w:r>
      <w:r w:rsidR="009B7629">
        <w:rPr>
          <w:b/>
          <w:bCs/>
          <w:i/>
        </w:rPr>
        <w:t>Zavedení energetického managementu ve společnosti Tepelné hospodářství Kadaň</w:t>
      </w:r>
      <w:r w:rsidR="009439A8" w:rsidRPr="009439A8">
        <w:rPr>
          <w:i/>
        </w:rPr>
        <w:t>“</w:t>
      </w:r>
      <w:r w:rsidR="009439A8">
        <w:t xml:space="preserve"> </w:t>
      </w:r>
      <w:bookmarkEnd w:id="0"/>
      <w:r w:rsidR="009439A8">
        <w:t xml:space="preserve"> </w:t>
      </w:r>
    </w:p>
    <w:p w14:paraId="3BB183B9" w14:textId="36535F99" w:rsidR="009439A8" w:rsidRDefault="009439A8" w:rsidP="009439A8">
      <w:pPr>
        <w:ind w:left="567"/>
        <w:jc w:val="both"/>
      </w:pPr>
      <w:r>
        <w:t xml:space="preserve">  </w:t>
      </w:r>
    </w:p>
    <w:p w14:paraId="67DFE907" w14:textId="66035CD6" w:rsidR="00DF3005" w:rsidRDefault="00DF3005" w:rsidP="00A75EF1">
      <w:pPr>
        <w:jc w:val="center"/>
        <w:rPr>
          <w:i/>
        </w:rPr>
      </w:pPr>
    </w:p>
    <w:p w14:paraId="352A543F" w14:textId="711F040E" w:rsidR="00473FD7" w:rsidRPr="00BE7560" w:rsidRDefault="00473FD7" w:rsidP="007C72EE">
      <w:pPr>
        <w:pStyle w:val="Nadpis2"/>
      </w:pPr>
      <w:r w:rsidRPr="00BE7560">
        <w:t>Smluvní strany</w:t>
      </w:r>
    </w:p>
    <w:p w14:paraId="33EECEA7" w14:textId="77777777" w:rsidR="00591CEA" w:rsidRDefault="00591CEA" w:rsidP="007C72EE">
      <w:pPr>
        <w:pStyle w:val="Nadpis3"/>
        <w:rPr>
          <w:u w:val="none"/>
        </w:rPr>
      </w:pPr>
      <w:r w:rsidRPr="00BC621F">
        <w:t>Objednatel:</w:t>
      </w:r>
      <w:r w:rsidRPr="00855F30">
        <w:t xml:space="preserve"> </w:t>
      </w:r>
      <w:r w:rsidRPr="00855F30">
        <w:rPr>
          <w:u w:val="none"/>
        </w:rPr>
        <w:tab/>
      </w:r>
    </w:p>
    <w:p w14:paraId="6B7AA75F" w14:textId="1D44AAC4" w:rsidR="00176291" w:rsidRPr="007C72EE" w:rsidRDefault="007C72EE" w:rsidP="007C72EE">
      <w:pPr>
        <w:pStyle w:val="Nadpis3"/>
        <w:tabs>
          <w:tab w:val="clear" w:pos="2268"/>
          <w:tab w:val="left" w:pos="1418"/>
        </w:tabs>
        <w:rPr>
          <w:u w:val="none"/>
        </w:rPr>
      </w:pPr>
      <w:r>
        <w:rPr>
          <w:u w:val="none"/>
        </w:rPr>
        <w:tab/>
      </w:r>
      <w:r w:rsidR="00405F18" w:rsidRPr="00405F18">
        <w:rPr>
          <w:u w:val="none"/>
        </w:rPr>
        <w:t>Tepelné hospodářství Kadaň, s.r.o.</w:t>
      </w:r>
    </w:p>
    <w:p w14:paraId="5B73C505" w14:textId="77777777" w:rsidR="00176291" w:rsidRPr="00176291" w:rsidRDefault="00176291" w:rsidP="007C72EE"/>
    <w:p w14:paraId="3917132E" w14:textId="45075788" w:rsidR="00176291" w:rsidRDefault="00405F18" w:rsidP="007C72EE">
      <w:pPr>
        <w:ind w:left="1418"/>
      </w:pPr>
      <w:r w:rsidRPr="00405F18">
        <w:t>Chomutovská 1254</w:t>
      </w:r>
      <w:r>
        <w:t xml:space="preserve">, </w:t>
      </w:r>
      <w:r w:rsidRPr="00405F18">
        <w:t>432 01 Kadaň</w:t>
      </w:r>
    </w:p>
    <w:p w14:paraId="4547AC4B" w14:textId="4A79C4C2" w:rsidR="00176291" w:rsidRPr="00BA32DA" w:rsidRDefault="00176291" w:rsidP="007C72EE">
      <w:pPr>
        <w:ind w:left="1418"/>
      </w:pPr>
      <w:r>
        <w:t>zastupuje:</w:t>
      </w:r>
      <w:r w:rsidRPr="00BA32DA">
        <w:t xml:space="preserve"> </w:t>
      </w:r>
      <w:r w:rsidR="00405F18">
        <w:t>Dušan Kučera, jednatel</w:t>
      </w:r>
    </w:p>
    <w:p w14:paraId="69A99841" w14:textId="77777777" w:rsidR="00176291" w:rsidRPr="00BA32DA" w:rsidRDefault="00176291" w:rsidP="007C72EE">
      <w:pPr>
        <w:ind w:left="1418"/>
      </w:pPr>
      <w:r w:rsidRPr="00BA32DA">
        <w:tab/>
      </w:r>
    </w:p>
    <w:p w14:paraId="2A42DBBE" w14:textId="77777777" w:rsidR="00176291" w:rsidRPr="00BA32DA" w:rsidRDefault="00176291" w:rsidP="007C72EE">
      <w:pPr>
        <w:ind w:left="1418"/>
      </w:pPr>
      <w:r w:rsidRPr="00BA32DA">
        <w:t>osoby oprávněné k podpisu smlouvy:</w:t>
      </w:r>
    </w:p>
    <w:p w14:paraId="61F4D19A" w14:textId="4753138D" w:rsidR="00176291" w:rsidRPr="00BA32DA" w:rsidRDefault="00405F18" w:rsidP="007C72EE">
      <w:pPr>
        <w:ind w:left="1418"/>
      </w:pPr>
      <w:r>
        <w:t>Dušan Kučera</w:t>
      </w:r>
      <w:r w:rsidR="00176291">
        <w:t>,</w:t>
      </w:r>
      <w:r w:rsidR="0028227F">
        <w:t xml:space="preserve"> </w:t>
      </w:r>
      <w:r>
        <w:t>jednatel</w:t>
      </w:r>
    </w:p>
    <w:p w14:paraId="0819E906" w14:textId="77777777" w:rsidR="00176291" w:rsidRPr="00BA32DA" w:rsidRDefault="00176291" w:rsidP="007C72EE">
      <w:pPr>
        <w:ind w:left="1418"/>
      </w:pPr>
      <w:r w:rsidRPr="00BA32DA">
        <w:tab/>
      </w:r>
      <w:r w:rsidRPr="00BA32DA">
        <w:tab/>
      </w:r>
      <w:r w:rsidRPr="00BA32DA">
        <w:tab/>
      </w:r>
      <w:r w:rsidRPr="00BA32DA">
        <w:tab/>
      </w:r>
    </w:p>
    <w:p w14:paraId="65850D08" w14:textId="1C3E93A6" w:rsidR="00284589" w:rsidRDefault="00284589" w:rsidP="00284589">
      <w:pPr>
        <w:ind w:left="1418"/>
      </w:pPr>
      <w:r w:rsidRPr="00BA32DA">
        <w:t xml:space="preserve">bankovní spojení: </w:t>
      </w:r>
      <w:r>
        <w:t>Komerční banka Kadaň</w:t>
      </w:r>
    </w:p>
    <w:p w14:paraId="023F392B" w14:textId="73B10C4F" w:rsidR="00284589" w:rsidRDefault="00284589" w:rsidP="00284589">
      <w:pPr>
        <w:ind w:left="1418"/>
      </w:pPr>
      <w:r w:rsidRPr="00BA32DA">
        <w:t xml:space="preserve">č. účtu: </w:t>
      </w:r>
      <w:r w:rsidRPr="005C7E37">
        <w:rPr>
          <w:highlight w:val="black"/>
        </w:rPr>
        <w:t>276249100207/0100</w:t>
      </w:r>
    </w:p>
    <w:p w14:paraId="63EA100D" w14:textId="2B915A3A" w:rsidR="00176291" w:rsidRPr="00BA32DA" w:rsidRDefault="00176291" w:rsidP="00284589">
      <w:pPr>
        <w:ind w:left="1418"/>
      </w:pPr>
      <w:r w:rsidRPr="00BA32DA">
        <w:t xml:space="preserve">IČ: </w:t>
      </w:r>
      <w:r w:rsidR="00405F18" w:rsidRPr="00405F18">
        <w:t>25439774</w:t>
      </w:r>
    </w:p>
    <w:p w14:paraId="2576A3E8" w14:textId="4E80CEC8" w:rsidR="00176291" w:rsidRDefault="00176291" w:rsidP="007C72EE">
      <w:pPr>
        <w:ind w:left="1418"/>
      </w:pPr>
      <w:r w:rsidRPr="00BA32DA">
        <w:t xml:space="preserve">DIČ: </w:t>
      </w:r>
      <w:r w:rsidR="00957679" w:rsidRPr="00957679">
        <w:t>CZ</w:t>
      </w:r>
      <w:r w:rsidR="00405F18" w:rsidRPr="00405F18">
        <w:t>25439774</w:t>
      </w:r>
    </w:p>
    <w:p w14:paraId="3E89B649" w14:textId="77777777" w:rsidR="00284589" w:rsidRPr="00BA32DA" w:rsidRDefault="00284589" w:rsidP="007C72EE">
      <w:pPr>
        <w:ind w:left="1418"/>
      </w:pPr>
    </w:p>
    <w:p w14:paraId="537AC54F" w14:textId="6D1DE3E6" w:rsidR="00176291" w:rsidRPr="007C72EE" w:rsidRDefault="00176291" w:rsidP="007C72EE">
      <w:pPr>
        <w:ind w:left="709" w:firstLine="709"/>
        <w:rPr>
          <w:i/>
        </w:rPr>
      </w:pPr>
      <w:r w:rsidRPr="007C72EE">
        <w:rPr>
          <w:i/>
        </w:rPr>
        <w:t>Zápis v obchodním rejstříku Krajského soud</w:t>
      </w:r>
      <w:r w:rsidR="0028227F" w:rsidRPr="007C72EE">
        <w:rPr>
          <w:i/>
        </w:rPr>
        <w:t>u v </w:t>
      </w:r>
      <w:r w:rsidR="00405F18" w:rsidRPr="00405F18">
        <w:rPr>
          <w:i/>
        </w:rPr>
        <w:t>Ústí nad Labem</w:t>
      </w:r>
      <w:r w:rsidR="0028227F" w:rsidRPr="007C72EE">
        <w:rPr>
          <w:i/>
        </w:rPr>
        <w:t xml:space="preserve">, </w:t>
      </w:r>
      <w:r w:rsidR="00E44EF9" w:rsidRPr="007C72EE">
        <w:rPr>
          <w:i/>
        </w:rPr>
        <w:t xml:space="preserve">oddíl </w:t>
      </w:r>
      <w:r w:rsidR="00405F18">
        <w:rPr>
          <w:i/>
        </w:rPr>
        <w:t>C</w:t>
      </w:r>
      <w:r w:rsidR="00E44EF9" w:rsidRPr="007C72EE">
        <w:rPr>
          <w:i/>
        </w:rPr>
        <w:t xml:space="preserve">, vložka </w:t>
      </w:r>
      <w:r w:rsidR="00405F18" w:rsidRPr="00405F18">
        <w:rPr>
          <w:i/>
        </w:rPr>
        <w:t>18379</w:t>
      </w:r>
    </w:p>
    <w:p w14:paraId="27F05339" w14:textId="77777777" w:rsidR="00176291" w:rsidRPr="00176291" w:rsidRDefault="00176291" w:rsidP="007C72EE"/>
    <w:p w14:paraId="582A4326" w14:textId="631B92DC" w:rsidR="0001629F" w:rsidRPr="00D87372" w:rsidRDefault="00591CEA" w:rsidP="009439A8">
      <w:r w:rsidRPr="00BA32DA">
        <w:tab/>
      </w:r>
      <w:r>
        <w:rPr>
          <w:noProof/>
          <w:lang w:eastAsia="cs-CZ"/>
        </w:rPr>
        <w:drawing>
          <wp:anchor distT="0" distB="0" distL="114300" distR="114300" simplePos="0" relativeHeight="251679744" behindDoc="1" locked="0" layoutInCell="1" allowOverlap="1" wp14:anchorId="2F2CF627" wp14:editId="6AEC145A">
            <wp:simplePos x="0" y="0"/>
            <wp:positionH relativeFrom="column">
              <wp:posOffset>4515789</wp:posOffset>
            </wp:positionH>
            <wp:positionV relativeFrom="paragraph">
              <wp:posOffset>128270</wp:posOffset>
            </wp:positionV>
            <wp:extent cx="1599565" cy="755015"/>
            <wp:effectExtent l="0" t="0" r="635" b="698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xEnergia_logo_orel_barevn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EE171" w14:textId="77777777" w:rsidR="00BC621F" w:rsidRDefault="00434D8C" w:rsidP="007C72EE">
      <w:pPr>
        <w:pStyle w:val="Nadpis3"/>
        <w:rPr>
          <w:sz w:val="24"/>
        </w:rPr>
      </w:pPr>
      <w:r>
        <w:t>Dodavatel</w:t>
      </w:r>
      <w:r w:rsidR="00591CEA">
        <w:t>:</w:t>
      </w:r>
    </w:p>
    <w:p w14:paraId="1AFBA7AF" w14:textId="77777777" w:rsidR="00E10199" w:rsidRPr="00BC621F" w:rsidRDefault="007C72EE" w:rsidP="007C72EE">
      <w:pPr>
        <w:pStyle w:val="Nadpis4"/>
        <w:tabs>
          <w:tab w:val="clear" w:pos="2268"/>
          <w:tab w:val="left" w:pos="1418"/>
        </w:tabs>
      </w:pPr>
      <w:r>
        <w:tab/>
      </w:r>
      <w:r w:rsidR="00E10199" w:rsidRPr="00BC621F">
        <w:t>GrexEnergia s. r. o.</w:t>
      </w:r>
      <w:r w:rsidR="00591CEA" w:rsidRPr="00591CEA">
        <w:rPr>
          <w:noProof/>
        </w:rPr>
        <w:t xml:space="preserve"> </w:t>
      </w:r>
    </w:p>
    <w:p w14:paraId="435CB32D" w14:textId="77777777" w:rsidR="00E10199" w:rsidRPr="00BA32DA" w:rsidRDefault="00E10199" w:rsidP="007C72EE">
      <w:pPr>
        <w:ind w:left="709"/>
      </w:pPr>
      <w:r w:rsidRPr="00BA32DA">
        <w:rPr>
          <w:b/>
        </w:rPr>
        <w:tab/>
      </w:r>
      <w:r>
        <w:t>Lidická</w:t>
      </w:r>
      <w:r w:rsidRPr="00BA32DA">
        <w:t xml:space="preserve"> </w:t>
      </w:r>
      <w:r>
        <w:t>700/19</w:t>
      </w:r>
    </w:p>
    <w:p w14:paraId="56528D94" w14:textId="77777777" w:rsidR="00E10199" w:rsidRPr="00BA32DA" w:rsidRDefault="00E10199" w:rsidP="007C72EE">
      <w:pPr>
        <w:ind w:left="709"/>
      </w:pPr>
      <w:r w:rsidRPr="00BA32DA">
        <w:tab/>
        <w:t>6</w:t>
      </w:r>
      <w:r>
        <w:t>02</w:t>
      </w:r>
      <w:r w:rsidRPr="00BA32DA">
        <w:t xml:space="preserve"> </w:t>
      </w:r>
      <w:proofErr w:type="gramStart"/>
      <w:r w:rsidRPr="00BA32DA">
        <w:t>00  Brno</w:t>
      </w:r>
      <w:proofErr w:type="gramEnd"/>
      <w:r w:rsidRPr="00BA32DA">
        <w:t xml:space="preserve"> - </w:t>
      </w:r>
      <w:r>
        <w:t>Veveří</w:t>
      </w:r>
    </w:p>
    <w:p w14:paraId="380E4480" w14:textId="77777777" w:rsidR="00E10199" w:rsidRPr="00BA32DA" w:rsidRDefault="00E10199" w:rsidP="007C72EE">
      <w:pPr>
        <w:ind w:left="1418"/>
      </w:pPr>
      <w:r>
        <w:t>zastupuje:</w:t>
      </w:r>
      <w:r w:rsidRPr="00BA32DA">
        <w:t xml:space="preserve"> Ing. </w:t>
      </w:r>
      <w:r>
        <w:t>Stanislav</w:t>
      </w:r>
      <w:r w:rsidRPr="00BA32DA">
        <w:t xml:space="preserve"> </w:t>
      </w:r>
      <w:r>
        <w:t>Koukol, jednatel společnosti</w:t>
      </w:r>
    </w:p>
    <w:p w14:paraId="1666C542" w14:textId="77777777" w:rsidR="00E10199" w:rsidRPr="00BA32DA" w:rsidRDefault="00E10199" w:rsidP="007C72EE">
      <w:pPr>
        <w:ind w:left="709"/>
      </w:pPr>
      <w:r w:rsidRPr="00BA32DA">
        <w:tab/>
      </w:r>
    </w:p>
    <w:p w14:paraId="7FAA37E2" w14:textId="77777777" w:rsidR="00E10199" w:rsidRPr="00BA32DA" w:rsidRDefault="00E10199" w:rsidP="007C72EE">
      <w:pPr>
        <w:ind w:left="709"/>
      </w:pPr>
      <w:r w:rsidRPr="00BA32DA">
        <w:rPr>
          <w:b/>
        </w:rPr>
        <w:tab/>
      </w:r>
      <w:r w:rsidRPr="00BA32DA">
        <w:t>osoby oprávněné k podpisu smlouvy:</w:t>
      </w:r>
    </w:p>
    <w:p w14:paraId="402EE12C" w14:textId="77777777" w:rsidR="00E10199" w:rsidRPr="00BA32DA" w:rsidRDefault="00E10199" w:rsidP="007C72EE">
      <w:pPr>
        <w:ind w:left="709"/>
      </w:pPr>
      <w:r>
        <w:tab/>
      </w:r>
      <w:r w:rsidR="00F5794C">
        <w:t>Ing. Stanislav Koukol,</w:t>
      </w:r>
      <w:r w:rsidRPr="00BA32DA">
        <w:t xml:space="preserve"> jednatel</w:t>
      </w:r>
    </w:p>
    <w:p w14:paraId="6181296D" w14:textId="77777777" w:rsidR="00E10199" w:rsidRPr="00BA32DA" w:rsidRDefault="00E10199" w:rsidP="007C72EE">
      <w:pPr>
        <w:ind w:left="709"/>
      </w:pPr>
      <w:r w:rsidRPr="00BA32DA">
        <w:tab/>
      </w:r>
      <w:r w:rsidRPr="00BA32DA">
        <w:tab/>
      </w:r>
      <w:r w:rsidRPr="00BA32DA">
        <w:tab/>
      </w:r>
      <w:r w:rsidRPr="00BA32DA">
        <w:tab/>
      </w:r>
    </w:p>
    <w:p w14:paraId="331F2FA3" w14:textId="77777777" w:rsidR="00E10199" w:rsidRPr="00BA32DA" w:rsidRDefault="00E10199" w:rsidP="007C72EE">
      <w:pPr>
        <w:ind w:left="709"/>
      </w:pPr>
      <w:r w:rsidRPr="00BA32DA">
        <w:tab/>
        <w:t xml:space="preserve">bankovní spojení: </w:t>
      </w:r>
      <w:r>
        <w:t>Fio banka Brno</w:t>
      </w:r>
    </w:p>
    <w:p w14:paraId="4E734F6A" w14:textId="77777777" w:rsidR="00E10199" w:rsidRPr="00BA32DA" w:rsidRDefault="00E10199" w:rsidP="007C72EE">
      <w:pPr>
        <w:ind w:left="709"/>
      </w:pPr>
      <w:r w:rsidRPr="00BA32DA">
        <w:tab/>
        <w:t xml:space="preserve">č. účtu: </w:t>
      </w:r>
      <w:r w:rsidRPr="005C7E37">
        <w:rPr>
          <w:highlight w:val="black"/>
        </w:rPr>
        <w:t>0370246403/2010</w:t>
      </w:r>
    </w:p>
    <w:p w14:paraId="38BA6F1F" w14:textId="77777777" w:rsidR="00E10199" w:rsidRPr="00BA32DA" w:rsidRDefault="00E10199" w:rsidP="007C72EE">
      <w:pPr>
        <w:ind w:left="709"/>
      </w:pPr>
      <w:r w:rsidRPr="00BA32DA">
        <w:tab/>
        <w:t xml:space="preserve">IČ: </w:t>
      </w:r>
      <w:r>
        <w:t>03702464</w:t>
      </w:r>
    </w:p>
    <w:p w14:paraId="6345DB64" w14:textId="77777777" w:rsidR="00E10199" w:rsidRPr="00BA32DA" w:rsidRDefault="00E10199" w:rsidP="007C72EE">
      <w:pPr>
        <w:ind w:left="709"/>
      </w:pPr>
      <w:r w:rsidRPr="00BA32DA">
        <w:tab/>
        <w:t xml:space="preserve">DIČ: </w:t>
      </w:r>
      <w:r w:rsidR="00591CEA">
        <w:t>CZ03702464</w:t>
      </w:r>
    </w:p>
    <w:p w14:paraId="09FE7116" w14:textId="77777777" w:rsidR="00E10199" w:rsidRPr="007C72EE" w:rsidRDefault="00E10199" w:rsidP="007C72EE">
      <w:pPr>
        <w:ind w:left="709" w:firstLine="709"/>
        <w:rPr>
          <w:i/>
        </w:rPr>
      </w:pPr>
      <w:r w:rsidRPr="007C72EE">
        <w:rPr>
          <w:i/>
        </w:rPr>
        <w:t>Zápis v obchodním rejstříku Krajského soudu v Brně, oddíl C, vložka 86326.</w:t>
      </w:r>
    </w:p>
    <w:p w14:paraId="0144FFBC" w14:textId="77777777" w:rsidR="0001629F" w:rsidRPr="00DF3005" w:rsidRDefault="0001629F" w:rsidP="007C72EE"/>
    <w:p w14:paraId="17A08C27" w14:textId="376F44CB" w:rsidR="00473FD7" w:rsidRPr="00BE7560" w:rsidRDefault="00473FD7" w:rsidP="007C72EE">
      <w:pPr>
        <w:pStyle w:val="Nadpis2"/>
      </w:pPr>
      <w:r w:rsidRPr="00BE7560">
        <w:lastRenderedPageBreak/>
        <w:t>Předmět plnění</w:t>
      </w:r>
    </w:p>
    <w:p w14:paraId="052D7B47" w14:textId="709CF793" w:rsidR="00957679" w:rsidRDefault="00C83B4B" w:rsidP="00094A2F">
      <w:pPr>
        <w:jc w:val="both"/>
      </w:pPr>
      <w:r>
        <w:t xml:space="preserve">Předmětem plnění </w:t>
      </w:r>
      <w:bookmarkStart w:id="1" w:name="_Hlk485728181"/>
      <w:r w:rsidR="005819C4">
        <w:t xml:space="preserve">Dodavatele </w:t>
      </w:r>
      <w:r w:rsidR="00094A2F">
        <w:t>jsou níže uvedené činnosti vedoucí k z</w:t>
      </w:r>
      <w:r w:rsidR="00957679">
        <w:t>avedení</w:t>
      </w:r>
      <w:r w:rsidR="00094A2F">
        <w:t xml:space="preserve"> a následné certifikaci</w:t>
      </w:r>
      <w:r w:rsidR="00670E51" w:rsidRPr="00670E51">
        <w:t xml:space="preserve"> Energetického managementu </w:t>
      </w:r>
      <w:bookmarkEnd w:id="1"/>
      <w:r w:rsidR="00094A2F">
        <w:t xml:space="preserve">pro </w:t>
      </w:r>
      <w:r w:rsidR="00B2614A">
        <w:t>Tepelné hospodářství Kadaň, s.r.o.</w:t>
      </w:r>
      <w:r w:rsidR="00094A2F">
        <w:t xml:space="preserve"> </w:t>
      </w:r>
      <w:r w:rsidR="005819C4">
        <w:t>(Objednatel)</w:t>
      </w:r>
      <w:r w:rsidR="00094A2F">
        <w:t xml:space="preserve"> </w:t>
      </w:r>
      <w:proofErr w:type="gramStart"/>
      <w:r w:rsidR="00094A2F">
        <w:t>–  dle</w:t>
      </w:r>
      <w:proofErr w:type="gramEnd"/>
      <w:r w:rsidR="00094A2F">
        <w:t xml:space="preserve"> </w:t>
      </w:r>
      <w:r w:rsidR="00670E51" w:rsidRPr="00670E51">
        <w:t xml:space="preserve">ČSN EN </w:t>
      </w:r>
      <w:r w:rsidR="003F5D1C" w:rsidRPr="00670E51">
        <w:t xml:space="preserve">ISO </w:t>
      </w:r>
      <w:r w:rsidR="00670E51" w:rsidRPr="00670E51">
        <w:t>50001</w:t>
      </w:r>
      <w:r w:rsidR="00E10014">
        <w:t xml:space="preserve"> a</w:t>
      </w:r>
      <w:r w:rsidR="00670E51" w:rsidRPr="00670E51">
        <w:t xml:space="preserve"> zákona č</w:t>
      </w:r>
      <w:r w:rsidR="007C72EE">
        <w:t>. 406/2000 Sb. v platném znění</w:t>
      </w:r>
      <w:r w:rsidR="00094A2F">
        <w:t>.</w:t>
      </w:r>
    </w:p>
    <w:p w14:paraId="3CDF14BB" w14:textId="77777777" w:rsidR="00957679" w:rsidRDefault="00957679" w:rsidP="007C72EE">
      <w:pPr>
        <w:jc w:val="both"/>
      </w:pPr>
    </w:p>
    <w:p w14:paraId="552B1DC7" w14:textId="77777777" w:rsidR="00957679" w:rsidRDefault="00A77E4D" w:rsidP="00E10014">
      <w:pPr>
        <w:jc w:val="both"/>
      </w:pPr>
      <w:r>
        <w:t xml:space="preserve">Zavedení </w:t>
      </w:r>
      <w:r w:rsidR="00C83B4B">
        <w:t>E</w:t>
      </w:r>
      <w:r w:rsidR="00957679">
        <w:t xml:space="preserve">nergetického managementu (dále jen EnMS) bude </w:t>
      </w:r>
      <w:r w:rsidR="00C83B4B">
        <w:t>členěno</w:t>
      </w:r>
      <w:r w:rsidR="00957679">
        <w:t xml:space="preserve"> </w:t>
      </w:r>
      <w:r w:rsidR="00C83B4B">
        <w:t>takto</w:t>
      </w:r>
      <w:r w:rsidR="00957679">
        <w:t>:</w:t>
      </w:r>
    </w:p>
    <w:p w14:paraId="55F4AB1B" w14:textId="77777777" w:rsidR="00405F18" w:rsidRDefault="00405F18" w:rsidP="00405F18">
      <w:pPr>
        <w:pStyle w:val="Odstavecseseznamem"/>
        <w:numPr>
          <w:ilvl w:val="0"/>
          <w:numId w:val="8"/>
        </w:numPr>
        <w:spacing w:before="200" w:after="200" w:line="276" w:lineRule="auto"/>
        <w:contextualSpacing/>
        <w:jc w:val="both"/>
      </w:pPr>
      <w:r>
        <w:t>Stanovení hranice EnMS</w:t>
      </w:r>
    </w:p>
    <w:p w14:paraId="2654FEF5" w14:textId="77777777" w:rsidR="00405F18" w:rsidRDefault="00405F18" w:rsidP="00405F18">
      <w:pPr>
        <w:pStyle w:val="Odstavecseseznamem"/>
        <w:numPr>
          <w:ilvl w:val="0"/>
          <w:numId w:val="8"/>
        </w:numPr>
        <w:spacing w:before="200" w:after="200" w:line="276" w:lineRule="auto"/>
        <w:contextualSpacing/>
        <w:jc w:val="both"/>
      </w:pPr>
      <w:r>
        <w:t>Definice procesů, odpovědností a toků informací</w:t>
      </w:r>
    </w:p>
    <w:p w14:paraId="25C5BB45" w14:textId="77777777" w:rsidR="00405F18" w:rsidRPr="0086653A" w:rsidRDefault="00405F18" w:rsidP="00405F18">
      <w:pPr>
        <w:pStyle w:val="Odstavecseseznamem"/>
        <w:numPr>
          <w:ilvl w:val="0"/>
          <w:numId w:val="8"/>
        </w:numPr>
        <w:spacing w:before="200" w:after="200" w:line="276" w:lineRule="auto"/>
        <w:contextualSpacing/>
        <w:jc w:val="both"/>
      </w:pPr>
      <w:r w:rsidRPr="0086653A">
        <w:t>Tvorba dokumentů v souladu s normou</w:t>
      </w:r>
    </w:p>
    <w:p w14:paraId="2DAE1DBC" w14:textId="77777777" w:rsidR="00405F18" w:rsidRDefault="00405F18" w:rsidP="00405F18">
      <w:pPr>
        <w:pStyle w:val="Odstavecseseznamem"/>
        <w:numPr>
          <w:ilvl w:val="0"/>
          <w:numId w:val="8"/>
        </w:numPr>
        <w:spacing w:before="200" w:after="200" w:line="276" w:lineRule="auto"/>
        <w:contextualSpacing/>
        <w:jc w:val="both"/>
      </w:pPr>
      <w:r>
        <w:t xml:space="preserve">Sběr a import dat – Stanovení výchozí hodnoty energie </w:t>
      </w:r>
    </w:p>
    <w:p w14:paraId="0BB77CB5" w14:textId="77777777" w:rsidR="00405F18" w:rsidRDefault="00405F18" w:rsidP="00405F18">
      <w:pPr>
        <w:pStyle w:val="Odstavecseseznamem"/>
        <w:numPr>
          <w:ilvl w:val="0"/>
          <w:numId w:val="8"/>
        </w:numPr>
        <w:spacing w:before="200" w:after="200" w:line="276" w:lineRule="auto"/>
        <w:contextualSpacing/>
        <w:jc w:val="both"/>
      </w:pPr>
      <w:r>
        <w:t>Příprava monitorování, měření a vyhodnocení EnMS</w:t>
      </w:r>
    </w:p>
    <w:p w14:paraId="513F042B" w14:textId="1937E334" w:rsidR="00957679" w:rsidRDefault="00405F18" w:rsidP="00405F18">
      <w:pPr>
        <w:pStyle w:val="Odstavecseseznamem"/>
        <w:numPr>
          <w:ilvl w:val="0"/>
          <w:numId w:val="8"/>
        </w:numPr>
        <w:jc w:val="both"/>
      </w:pPr>
      <w:r>
        <w:t>Příprava systému na certifikaci</w:t>
      </w:r>
    </w:p>
    <w:p w14:paraId="798FC71A" w14:textId="113849AE" w:rsidR="00B54131" w:rsidRDefault="00B54131" w:rsidP="00B54131">
      <w:pPr>
        <w:pStyle w:val="Nadpis2"/>
      </w:pPr>
      <w:r>
        <w:t>Termíny</w:t>
      </w:r>
    </w:p>
    <w:tbl>
      <w:tblPr>
        <w:tblStyle w:val="Mkatabulky"/>
        <w:tblW w:w="8472" w:type="dxa"/>
        <w:tblInd w:w="595" w:type="dxa"/>
        <w:tblLook w:val="04A0" w:firstRow="1" w:lastRow="0" w:firstColumn="1" w:lastColumn="0" w:noHBand="0" w:noVBand="1"/>
      </w:tblPr>
      <w:tblGrid>
        <w:gridCol w:w="6204"/>
        <w:gridCol w:w="2268"/>
      </w:tblGrid>
      <w:tr w:rsidR="00405F18" w:rsidRPr="009B3F23" w14:paraId="0E6EC804" w14:textId="77777777" w:rsidTr="00C1057F">
        <w:tc>
          <w:tcPr>
            <w:tcW w:w="6204" w:type="dxa"/>
          </w:tcPr>
          <w:p w14:paraId="343E8C03" w14:textId="77777777" w:rsidR="00405F18" w:rsidRPr="009B3F23" w:rsidRDefault="00405F18" w:rsidP="00903378">
            <w:pPr>
              <w:pStyle w:val="Bezmezer"/>
              <w:jc w:val="left"/>
              <w:rPr>
                <w:b/>
              </w:rPr>
            </w:pPr>
            <w:r>
              <w:rPr>
                <w:b/>
              </w:rPr>
              <w:t>Práce na zavedení EnMS</w:t>
            </w:r>
          </w:p>
        </w:tc>
        <w:tc>
          <w:tcPr>
            <w:tcW w:w="2268" w:type="dxa"/>
          </w:tcPr>
          <w:p w14:paraId="5E8E26AE" w14:textId="77777777" w:rsidR="00405F18" w:rsidRPr="009B3F23" w:rsidRDefault="00405F18" w:rsidP="00903378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Termín</w:t>
            </w:r>
          </w:p>
        </w:tc>
      </w:tr>
      <w:tr w:rsidR="00405F18" w:rsidRPr="009B3F23" w14:paraId="22C23DEF" w14:textId="77777777" w:rsidTr="00C1057F">
        <w:tc>
          <w:tcPr>
            <w:tcW w:w="6204" w:type="dxa"/>
          </w:tcPr>
          <w:p w14:paraId="4AFBFD05" w14:textId="77777777" w:rsidR="00405F18" w:rsidRPr="009B3F23" w:rsidRDefault="00405F18" w:rsidP="00405F18">
            <w:pPr>
              <w:pStyle w:val="Odstavecseseznamem"/>
              <w:numPr>
                <w:ilvl w:val="0"/>
                <w:numId w:val="9"/>
              </w:numPr>
              <w:spacing w:line="276" w:lineRule="auto"/>
              <w:contextualSpacing/>
              <w:jc w:val="both"/>
            </w:pPr>
            <w:r>
              <w:t>Stanovení hranice EnMS</w:t>
            </w:r>
          </w:p>
        </w:tc>
        <w:tc>
          <w:tcPr>
            <w:tcW w:w="2268" w:type="dxa"/>
          </w:tcPr>
          <w:p w14:paraId="4026922A" w14:textId="0C68789E" w:rsidR="00405F18" w:rsidRPr="000B75FB" w:rsidRDefault="00FC7CBF" w:rsidP="00903378">
            <w:pPr>
              <w:pStyle w:val="Bezmezer"/>
              <w:jc w:val="right"/>
            </w:pPr>
            <w:r>
              <w:t>2</w:t>
            </w:r>
            <w:r w:rsidR="00405F18">
              <w:t>.1</w:t>
            </w:r>
            <w:r w:rsidR="00C0703E">
              <w:t>1</w:t>
            </w:r>
            <w:r w:rsidR="00405F18">
              <w:t>.-</w:t>
            </w:r>
            <w:r w:rsidR="009B7629">
              <w:t>27</w:t>
            </w:r>
            <w:r w:rsidR="009439A8">
              <w:t>.11.</w:t>
            </w:r>
            <w:r w:rsidR="00405F18">
              <w:t>2020</w:t>
            </w:r>
          </w:p>
        </w:tc>
      </w:tr>
      <w:tr w:rsidR="00405F18" w:rsidRPr="009B3F23" w14:paraId="4364B73C" w14:textId="77777777" w:rsidTr="00C1057F">
        <w:tc>
          <w:tcPr>
            <w:tcW w:w="6204" w:type="dxa"/>
          </w:tcPr>
          <w:p w14:paraId="10CECA27" w14:textId="77777777" w:rsidR="00405F18" w:rsidRPr="009B3F23" w:rsidRDefault="00405F18" w:rsidP="00405F18">
            <w:pPr>
              <w:pStyle w:val="Odstavecseseznamem"/>
              <w:numPr>
                <w:ilvl w:val="0"/>
                <w:numId w:val="9"/>
              </w:numPr>
              <w:spacing w:line="276" w:lineRule="auto"/>
              <w:contextualSpacing/>
              <w:jc w:val="both"/>
            </w:pPr>
            <w:r>
              <w:t>Definice procesů, odpovědností a toků informací</w:t>
            </w:r>
          </w:p>
        </w:tc>
        <w:tc>
          <w:tcPr>
            <w:tcW w:w="2268" w:type="dxa"/>
          </w:tcPr>
          <w:p w14:paraId="682DE2DA" w14:textId="116C9F40" w:rsidR="00405F18" w:rsidRPr="000B75FB" w:rsidRDefault="00FC7CBF" w:rsidP="00903378">
            <w:pPr>
              <w:pStyle w:val="Bezmezer"/>
              <w:jc w:val="right"/>
            </w:pPr>
            <w:r>
              <w:t>2</w:t>
            </w:r>
            <w:r w:rsidR="009439A8">
              <w:t>.1</w:t>
            </w:r>
            <w:r w:rsidR="00C0703E">
              <w:t>1</w:t>
            </w:r>
            <w:r w:rsidR="009439A8">
              <w:t>.-</w:t>
            </w:r>
            <w:r w:rsidR="009B7629">
              <w:t>27</w:t>
            </w:r>
            <w:r w:rsidR="009439A8">
              <w:t>.11.2020</w:t>
            </w:r>
          </w:p>
        </w:tc>
      </w:tr>
      <w:tr w:rsidR="00405F18" w:rsidRPr="009B3F23" w14:paraId="6D179044" w14:textId="77777777" w:rsidTr="00C1057F">
        <w:tc>
          <w:tcPr>
            <w:tcW w:w="6204" w:type="dxa"/>
          </w:tcPr>
          <w:p w14:paraId="09D6642C" w14:textId="77777777" w:rsidR="00405F18" w:rsidRPr="009B3F23" w:rsidRDefault="00405F18" w:rsidP="00405F18">
            <w:pPr>
              <w:pStyle w:val="Odstavecseseznamem"/>
              <w:numPr>
                <w:ilvl w:val="0"/>
                <w:numId w:val="9"/>
              </w:numPr>
              <w:spacing w:line="276" w:lineRule="auto"/>
              <w:contextualSpacing/>
              <w:jc w:val="both"/>
            </w:pPr>
            <w:r>
              <w:t>Tvorba dokumentů v souladu s normou</w:t>
            </w:r>
          </w:p>
        </w:tc>
        <w:tc>
          <w:tcPr>
            <w:tcW w:w="2268" w:type="dxa"/>
          </w:tcPr>
          <w:p w14:paraId="00CDAAA1" w14:textId="44B45074" w:rsidR="00405F18" w:rsidRPr="000B75FB" w:rsidRDefault="00C0703E" w:rsidP="00903378">
            <w:pPr>
              <w:pStyle w:val="Bezmezer"/>
              <w:jc w:val="right"/>
            </w:pPr>
            <w:r>
              <w:t>1</w:t>
            </w:r>
            <w:r w:rsidR="009439A8">
              <w:t>.</w:t>
            </w:r>
            <w:r w:rsidR="00405F18">
              <w:t>1</w:t>
            </w:r>
            <w:r>
              <w:t>2</w:t>
            </w:r>
            <w:r w:rsidR="009439A8">
              <w:t>.</w:t>
            </w:r>
            <w:r w:rsidR="00405F18">
              <w:t>-</w:t>
            </w:r>
            <w:r w:rsidR="009439A8">
              <w:t>31.</w:t>
            </w:r>
            <w:r w:rsidR="00405F18">
              <w:t>12</w:t>
            </w:r>
            <w:r w:rsidR="009439A8">
              <w:t>.</w:t>
            </w:r>
            <w:r w:rsidR="00405F18">
              <w:t>2020</w:t>
            </w:r>
          </w:p>
        </w:tc>
      </w:tr>
      <w:tr w:rsidR="00405F18" w:rsidRPr="009B3F23" w14:paraId="1A73FE1A" w14:textId="77777777" w:rsidTr="00C1057F">
        <w:tc>
          <w:tcPr>
            <w:tcW w:w="6204" w:type="dxa"/>
          </w:tcPr>
          <w:p w14:paraId="3C06803C" w14:textId="77777777" w:rsidR="00405F18" w:rsidRPr="009B3F23" w:rsidRDefault="00405F18" w:rsidP="00405F18">
            <w:pPr>
              <w:pStyle w:val="Odstavecseseznamem"/>
              <w:numPr>
                <w:ilvl w:val="0"/>
                <w:numId w:val="9"/>
              </w:numPr>
              <w:spacing w:line="276" w:lineRule="auto"/>
              <w:contextualSpacing/>
              <w:jc w:val="both"/>
            </w:pPr>
            <w:r>
              <w:t>Sběr a import dat – Stanovení výchozí hodnoty energie (migrace dat do SW)</w:t>
            </w:r>
          </w:p>
        </w:tc>
        <w:tc>
          <w:tcPr>
            <w:tcW w:w="2268" w:type="dxa"/>
          </w:tcPr>
          <w:p w14:paraId="607242A8" w14:textId="1BD0AF63" w:rsidR="00405F18" w:rsidRPr="000B75FB" w:rsidRDefault="00C0703E" w:rsidP="00903378">
            <w:pPr>
              <w:pStyle w:val="Bezmezer"/>
              <w:jc w:val="right"/>
            </w:pPr>
            <w:r>
              <w:t>1</w:t>
            </w:r>
            <w:r w:rsidR="009439A8">
              <w:t>.1</w:t>
            </w:r>
            <w:r>
              <w:t>2</w:t>
            </w:r>
            <w:r w:rsidR="009439A8">
              <w:t>.-31.12.2020</w:t>
            </w:r>
          </w:p>
        </w:tc>
      </w:tr>
      <w:tr w:rsidR="00405F18" w:rsidRPr="009B3F23" w14:paraId="2CE4E074" w14:textId="77777777" w:rsidTr="00C1057F">
        <w:tc>
          <w:tcPr>
            <w:tcW w:w="6204" w:type="dxa"/>
          </w:tcPr>
          <w:p w14:paraId="6EE7E177" w14:textId="77777777" w:rsidR="00405F18" w:rsidRPr="009B3F23" w:rsidRDefault="00405F18" w:rsidP="00405F18">
            <w:pPr>
              <w:pStyle w:val="Odstavecseseznamem"/>
              <w:numPr>
                <w:ilvl w:val="0"/>
                <w:numId w:val="9"/>
              </w:numPr>
              <w:spacing w:line="276" w:lineRule="auto"/>
              <w:contextualSpacing/>
              <w:jc w:val="both"/>
            </w:pPr>
            <w:r>
              <w:t>Příprava monitorování, měření a vyhodnocení EnMS (implementace a SW parametrizace, testování)</w:t>
            </w:r>
          </w:p>
        </w:tc>
        <w:tc>
          <w:tcPr>
            <w:tcW w:w="2268" w:type="dxa"/>
          </w:tcPr>
          <w:p w14:paraId="50C19102" w14:textId="0DAE3A3A" w:rsidR="00405F18" w:rsidRDefault="00C0703E" w:rsidP="00903378">
            <w:pPr>
              <w:pStyle w:val="Bezmezer"/>
              <w:jc w:val="right"/>
            </w:pPr>
            <w:r>
              <w:t>1.12</w:t>
            </w:r>
            <w:r w:rsidR="009439A8">
              <w:t>.</w:t>
            </w:r>
            <w:r w:rsidR="009B7629">
              <w:t>2020</w:t>
            </w:r>
            <w:r w:rsidR="00405F18">
              <w:t>-</w:t>
            </w:r>
            <w:r w:rsidR="009439A8">
              <w:t>30.4.</w:t>
            </w:r>
            <w:r w:rsidR="00405F18">
              <w:t>2021</w:t>
            </w:r>
          </w:p>
        </w:tc>
      </w:tr>
      <w:tr w:rsidR="00405F18" w:rsidRPr="009B3F23" w14:paraId="5FB7884E" w14:textId="77777777" w:rsidTr="00C1057F">
        <w:tc>
          <w:tcPr>
            <w:tcW w:w="6204" w:type="dxa"/>
          </w:tcPr>
          <w:p w14:paraId="63839D1A" w14:textId="10BDD48B" w:rsidR="00405F18" w:rsidRDefault="00405F18" w:rsidP="00405F18">
            <w:pPr>
              <w:pStyle w:val="Odstavecseseznamem"/>
              <w:numPr>
                <w:ilvl w:val="0"/>
                <w:numId w:val="9"/>
              </w:numPr>
              <w:spacing w:line="276" w:lineRule="auto"/>
              <w:contextualSpacing/>
              <w:jc w:val="both"/>
            </w:pPr>
            <w:r>
              <w:t>Příprava systému na certifikaci</w:t>
            </w:r>
            <w:r w:rsidR="001627AF">
              <w:t>*</w:t>
            </w:r>
          </w:p>
        </w:tc>
        <w:tc>
          <w:tcPr>
            <w:tcW w:w="2268" w:type="dxa"/>
          </w:tcPr>
          <w:p w14:paraId="4B2EDBEA" w14:textId="08175961" w:rsidR="00405F18" w:rsidRDefault="009439A8" w:rsidP="00903378">
            <w:pPr>
              <w:pStyle w:val="Bezmezer"/>
              <w:jc w:val="right"/>
            </w:pPr>
            <w:r>
              <w:t>1.</w:t>
            </w:r>
            <w:r w:rsidR="00C0703E">
              <w:t>3</w:t>
            </w:r>
            <w:r>
              <w:t>.</w:t>
            </w:r>
            <w:r w:rsidR="00405F18">
              <w:t>-</w:t>
            </w:r>
            <w:r>
              <w:t>31.5.</w:t>
            </w:r>
            <w:r w:rsidR="00405F18">
              <w:t>2021</w:t>
            </w:r>
          </w:p>
        </w:tc>
      </w:tr>
    </w:tbl>
    <w:p w14:paraId="21F40852" w14:textId="77777777" w:rsidR="007B15AA" w:rsidRPr="00616314" w:rsidRDefault="007B15AA" w:rsidP="00EF1BB9">
      <w:pPr>
        <w:spacing w:before="200" w:after="110" w:line="259" w:lineRule="auto"/>
        <w:ind w:firstLine="578"/>
        <w:contextualSpacing/>
        <w:rPr>
          <w:sz w:val="16"/>
          <w:szCs w:val="16"/>
        </w:rPr>
      </w:pPr>
      <w:r w:rsidRPr="00616314">
        <w:rPr>
          <w:sz w:val="16"/>
          <w:szCs w:val="16"/>
          <w:vertAlign w:val="superscript"/>
        </w:rPr>
        <w:t>*)</w:t>
      </w:r>
      <w:r w:rsidRPr="00616314">
        <w:rPr>
          <w:sz w:val="16"/>
          <w:szCs w:val="16"/>
        </w:rPr>
        <w:t xml:space="preserve"> Závisí na termínu certifikace Energetického managementu (ČSN EN ISO 50001) dle zákona č. 406/2000 Sb.</w:t>
      </w:r>
    </w:p>
    <w:p w14:paraId="29EFFC32" w14:textId="19FCC5AD" w:rsidR="003C2EDD" w:rsidRPr="00BA32DA" w:rsidRDefault="003C2EDD" w:rsidP="007C72EE">
      <w:pPr>
        <w:pStyle w:val="Nadpis2"/>
      </w:pPr>
      <w:r w:rsidRPr="00BA32DA">
        <w:t>Cen</w:t>
      </w:r>
      <w:r w:rsidR="00715E89">
        <w:t>y</w:t>
      </w:r>
    </w:p>
    <w:p w14:paraId="76AACBCC" w14:textId="77777777" w:rsidR="00EF1BB9" w:rsidRDefault="00EF1BB9" w:rsidP="00114EF0">
      <w:pPr>
        <w:pStyle w:val="Odstavecseseznamem"/>
        <w:numPr>
          <w:ilvl w:val="1"/>
          <w:numId w:val="3"/>
        </w:numPr>
      </w:pPr>
      <w:r>
        <w:t>Ceny jednotlivých činností plnění bodu 1. Předmětu plnění</w:t>
      </w:r>
    </w:p>
    <w:p w14:paraId="115955D0" w14:textId="77777777" w:rsidR="007B15AA" w:rsidRDefault="007B15AA" w:rsidP="007B15AA"/>
    <w:tbl>
      <w:tblPr>
        <w:tblStyle w:val="Mkatabulky"/>
        <w:tblW w:w="8472" w:type="dxa"/>
        <w:tblInd w:w="595" w:type="dxa"/>
        <w:tblLook w:val="04A0" w:firstRow="1" w:lastRow="0" w:firstColumn="1" w:lastColumn="0" w:noHBand="0" w:noVBand="1"/>
      </w:tblPr>
      <w:tblGrid>
        <w:gridCol w:w="6630"/>
        <w:gridCol w:w="1842"/>
      </w:tblGrid>
      <w:tr w:rsidR="00405F18" w:rsidRPr="009B3F23" w14:paraId="5CC5B6D3" w14:textId="77777777" w:rsidTr="00405F18">
        <w:tc>
          <w:tcPr>
            <w:tcW w:w="6630" w:type="dxa"/>
          </w:tcPr>
          <w:p w14:paraId="20D5B199" w14:textId="77777777" w:rsidR="00405F18" w:rsidRPr="00E02148" w:rsidRDefault="00405F18" w:rsidP="00903378">
            <w:pPr>
              <w:pStyle w:val="Bezmezer"/>
              <w:jc w:val="left"/>
              <w:rPr>
                <w:b/>
              </w:rPr>
            </w:pPr>
            <w:bookmarkStart w:id="2" w:name="_Hlk50017390"/>
            <w:r w:rsidRPr="00E02148">
              <w:rPr>
                <w:b/>
              </w:rPr>
              <w:t>Práce na zavedení EnMS</w:t>
            </w:r>
          </w:p>
        </w:tc>
        <w:tc>
          <w:tcPr>
            <w:tcW w:w="1842" w:type="dxa"/>
          </w:tcPr>
          <w:p w14:paraId="410AF780" w14:textId="77777777" w:rsidR="00405F18" w:rsidRPr="009B3F23" w:rsidRDefault="00405F18" w:rsidP="00903378">
            <w:pPr>
              <w:pStyle w:val="Bezmezer"/>
              <w:jc w:val="center"/>
              <w:rPr>
                <w:b/>
              </w:rPr>
            </w:pPr>
            <w:r w:rsidRPr="00E02148">
              <w:rPr>
                <w:b/>
              </w:rPr>
              <w:t>Cena</w:t>
            </w:r>
          </w:p>
        </w:tc>
      </w:tr>
      <w:tr w:rsidR="00405F18" w:rsidRPr="009B3F23" w14:paraId="1492B271" w14:textId="77777777" w:rsidTr="00405F18">
        <w:tc>
          <w:tcPr>
            <w:tcW w:w="6630" w:type="dxa"/>
          </w:tcPr>
          <w:p w14:paraId="2803A7E0" w14:textId="77777777" w:rsidR="00405F18" w:rsidRPr="009B3F23" w:rsidRDefault="00405F18" w:rsidP="00405F18">
            <w:pPr>
              <w:pStyle w:val="Odstavecseseznamem"/>
              <w:numPr>
                <w:ilvl w:val="0"/>
                <w:numId w:val="10"/>
              </w:numPr>
              <w:spacing w:line="276" w:lineRule="auto"/>
              <w:contextualSpacing/>
              <w:jc w:val="both"/>
            </w:pPr>
            <w:r>
              <w:t>Stanovení hranice EnMS</w:t>
            </w:r>
          </w:p>
        </w:tc>
        <w:tc>
          <w:tcPr>
            <w:tcW w:w="1842" w:type="dxa"/>
          </w:tcPr>
          <w:p w14:paraId="2F4C1371" w14:textId="77777777" w:rsidR="00405F18" w:rsidRPr="000B75FB" w:rsidRDefault="00405F18" w:rsidP="00903378">
            <w:pPr>
              <w:pStyle w:val="Bezmezer"/>
              <w:jc w:val="right"/>
            </w:pPr>
            <w:proofErr w:type="gramStart"/>
            <w:r>
              <w:t>80.000</w:t>
            </w:r>
            <w:r w:rsidRPr="000B75FB">
              <w:t>,-</w:t>
            </w:r>
            <w:proofErr w:type="gramEnd"/>
            <w:r w:rsidRPr="000B75FB">
              <w:t xml:space="preserve"> Kč</w:t>
            </w:r>
          </w:p>
        </w:tc>
      </w:tr>
      <w:tr w:rsidR="00405F18" w:rsidRPr="009B3F23" w14:paraId="6F8371F2" w14:textId="77777777" w:rsidTr="00405F18">
        <w:tc>
          <w:tcPr>
            <w:tcW w:w="6630" w:type="dxa"/>
          </w:tcPr>
          <w:p w14:paraId="5AD44B1A" w14:textId="77777777" w:rsidR="00405F18" w:rsidRDefault="00405F18" w:rsidP="00405F18">
            <w:pPr>
              <w:pStyle w:val="Odstavecseseznamem"/>
              <w:numPr>
                <w:ilvl w:val="0"/>
                <w:numId w:val="10"/>
              </w:numPr>
              <w:spacing w:line="276" w:lineRule="auto"/>
              <w:contextualSpacing/>
              <w:jc w:val="both"/>
            </w:pPr>
            <w:r>
              <w:t>Definice procesů, odpovědností a toků informací</w:t>
            </w:r>
          </w:p>
        </w:tc>
        <w:tc>
          <w:tcPr>
            <w:tcW w:w="1842" w:type="dxa"/>
          </w:tcPr>
          <w:p w14:paraId="1D520B2D" w14:textId="34EBAA2C" w:rsidR="00405F18" w:rsidRDefault="00405F18" w:rsidP="00903378">
            <w:pPr>
              <w:pStyle w:val="Bezmezer"/>
              <w:jc w:val="right"/>
            </w:pPr>
            <w:proofErr w:type="gramStart"/>
            <w:r>
              <w:t>1</w:t>
            </w:r>
            <w:r w:rsidR="009B7629">
              <w:t>3</w:t>
            </w:r>
            <w:r>
              <w:t>0.000,-</w:t>
            </w:r>
            <w:proofErr w:type="gramEnd"/>
            <w:r>
              <w:t xml:space="preserve"> Kč</w:t>
            </w:r>
          </w:p>
        </w:tc>
      </w:tr>
      <w:tr w:rsidR="00405F18" w:rsidRPr="009B3F23" w14:paraId="4747DAA2" w14:textId="77777777" w:rsidTr="00405F18">
        <w:tc>
          <w:tcPr>
            <w:tcW w:w="6630" w:type="dxa"/>
          </w:tcPr>
          <w:p w14:paraId="20B73E63" w14:textId="77777777" w:rsidR="00405F18" w:rsidRPr="009B3F23" w:rsidRDefault="00405F18" w:rsidP="00405F18">
            <w:pPr>
              <w:pStyle w:val="Odstavecseseznamem"/>
              <w:numPr>
                <w:ilvl w:val="0"/>
                <w:numId w:val="10"/>
              </w:numPr>
              <w:spacing w:line="276" w:lineRule="auto"/>
              <w:contextualSpacing/>
              <w:jc w:val="both"/>
            </w:pPr>
            <w:r>
              <w:t>Tvorba dokumentů v souladu s normou</w:t>
            </w:r>
          </w:p>
        </w:tc>
        <w:tc>
          <w:tcPr>
            <w:tcW w:w="1842" w:type="dxa"/>
          </w:tcPr>
          <w:p w14:paraId="30E11DFA" w14:textId="77777777" w:rsidR="00405F18" w:rsidRPr="000B75FB" w:rsidRDefault="00405F18" w:rsidP="00903378">
            <w:pPr>
              <w:pStyle w:val="Bezmezer"/>
              <w:jc w:val="right"/>
            </w:pPr>
            <w:proofErr w:type="gramStart"/>
            <w:r>
              <w:t>140.000</w:t>
            </w:r>
            <w:r w:rsidRPr="000B75FB">
              <w:t>,-</w:t>
            </w:r>
            <w:proofErr w:type="gramEnd"/>
            <w:r w:rsidRPr="000B75FB">
              <w:t xml:space="preserve"> Kč</w:t>
            </w:r>
          </w:p>
        </w:tc>
      </w:tr>
      <w:tr w:rsidR="00405F18" w:rsidRPr="009B3F23" w14:paraId="59CB9689" w14:textId="77777777" w:rsidTr="00405F18">
        <w:tc>
          <w:tcPr>
            <w:tcW w:w="6630" w:type="dxa"/>
          </w:tcPr>
          <w:p w14:paraId="2A9B5863" w14:textId="77777777" w:rsidR="00405F18" w:rsidRPr="009B3F23" w:rsidRDefault="00405F18" w:rsidP="00405F18">
            <w:pPr>
              <w:pStyle w:val="Odstavecseseznamem"/>
              <w:numPr>
                <w:ilvl w:val="0"/>
                <w:numId w:val="10"/>
              </w:numPr>
              <w:spacing w:line="276" w:lineRule="auto"/>
              <w:contextualSpacing/>
              <w:jc w:val="both"/>
            </w:pPr>
            <w:r>
              <w:t>Sběr a import dat – Stanovení výchozí hodnoty energie</w:t>
            </w:r>
          </w:p>
        </w:tc>
        <w:tc>
          <w:tcPr>
            <w:tcW w:w="1842" w:type="dxa"/>
          </w:tcPr>
          <w:p w14:paraId="249A9825" w14:textId="303FDD59" w:rsidR="00405F18" w:rsidRPr="000B75FB" w:rsidRDefault="00405F18" w:rsidP="00903378">
            <w:pPr>
              <w:pStyle w:val="Bezmezer"/>
              <w:jc w:val="right"/>
            </w:pPr>
            <w:proofErr w:type="gramStart"/>
            <w:r>
              <w:t>1</w:t>
            </w:r>
            <w:r w:rsidR="009B7629">
              <w:t>5</w:t>
            </w:r>
            <w:r>
              <w:t>0.000</w:t>
            </w:r>
            <w:r w:rsidRPr="000B75FB">
              <w:t>,-</w:t>
            </w:r>
            <w:proofErr w:type="gramEnd"/>
            <w:r w:rsidRPr="000B75FB">
              <w:t xml:space="preserve"> Kč</w:t>
            </w:r>
          </w:p>
        </w:tc>
      </w:tr>
      <w:tr w:rsidR="00405F18" w:rsidRPr="009B3F23" w14:paraId="038B5BD6" w14:textId="77777777" w:rsidTr="00405F18">
        <w:tc>
          <w:tcPr>
            <w:tcW w:w="6630" w:type="dxa"/>
          </w:tcPr>
          <w:p w14:paraId="725AF077" w14:textId="77777777" w:rsidR="00405F18" w:rsidRDefault="00405F18" w:rsidP="00405F18">
            <w:pPr>
              <w:pStyle w:val="Odstavecseseznamem"/>
              <w:numPr>
                <w:ilvl w:val="0"/>
                <w:numId w:val="10"/>
              </w:numPr>
              <w:spacing w:line="276" w:lineRule="auto"/>
              <w:contextualSpacing/>
              <w:jc w:val="both"/>
            </w:pPr>
            <w:r>
              <w:t>Příprava monitorování, měření a vyhodnocení EnMS</w:t>
            </w:r>
          </w:p>
        </w:tc>
        <w:tc>
          <w:tcPr>
            <w:tcW w:w="1842" w:type="dxa"/>
          </w:tcPr>
          <w:p w14:paraId="25C7F83F" w14:textId="77777777" w:rsidR="00405F18" w:rsidRDefault="00405F18" w:rsidP="00903378">
            <w:pPr>
              <w:pStyle w:val="Bezmezer"/>
              <w:jc w:val="right"/>
            </w:pPr>
            <w:proofErr w:type="gramStart"/>
            <w:r>
              <w:t>140.000</w:t>
            </w:r>
            <w:r w:rsidRPr="000B75FB">
              <w:t>,-</w:t>
            </w:r>
            <w:proofErr w:type="gramEnd"/>
            <w:r w:rsidRPr="000B75FB">
              <w:t xml:space="preserve"> Kč</w:t>
            </w:r>
          </w:p>
        </w:tc>
      </w:tr>
      <w:tr w:rsidR="00405F18" w:rsidRPr="009B3F23" w14:paraId="34E8A694" w14:textId="77777777" w:rsidTr="00405F18">
        <w:tc>
          <w:tcPr>
            <w:tcW w:w="6630" w:type="dxa"/>
          </w:tcPr>
          <w:p w14:paraId="144ED725" w14:textId="77777777" w:rsidR="00405F18" w:rsidRPr="009B3F23" w:rsidRDefault="00405F18" w:rsidP="00405F18">
            <w:pPr>
              <w:pStyle w:val="Odstavecseseznamem"/>
              <w:numPr>
                <w:ilvl w:val="0"/>
                <w:numId w:val="10"/>
              </w:numPr>
              <w:spacing w:line="276" w:lineRule="auto"/>
              <w:contextualSpacing/>
              <w:jc w:val="both"/>
            </w:pPr>
            <w:r>
              <w:t>Příprava systému na certifikaci</w:t>
            </w:r>
          </w:p>
        </w:tc>
        <w:tc>
          <w:tcPr>
            <w:tcW w:w="1842" w:type="dxa"/>
          </w:tcPr>
          <w:p w14:paraId="2FA054F9" w14:textId="77777777" w:rsidR="00405F18" w:rsidRPr="000B75FB" w:rsidRDefault="00405F18" w:rsidP="00903378">
            <w:pPr>
              <w:pStyle w:val="Bezmezer"/>
              <w:jc w:val="right"/>
            </w:pPr>
            <w:proofErr w:type="gramStart"/>
            <w:r>
              <w:t>60.000</w:t>
            </w:r>
            <w:r w:rsidRPr="000B75FB">
              <w:t>,-</w:t>
            </w:r>
            <w:proofErr w:type="gramEnd"/>
            <w:r w:rsidRPr="000B75FB">
              <w:t xml:space="preserve"> Kč</w:t>
            </w:r>
          </w:p>
        </w:tc>
      </w:tr>
      <w:tr w:rsidR="00405F18" w:rsidRPr="008E3569" w14:paraId="0BD3BE34" w14:textId="77777777" w:rsidTr="00405F18">
        <w:tc>
          <w:tcPr>
            <w:tcW w:w="6630" w:type="dxa"/>
          </w:tcPr>
          <w:p w14:paraId="5C4B589A" w14:textId="77777777" w:rsidR="00405F18" w:rsidRPr="008E3569" w:rsidRDefault="00405F18" w:rsidP="00903378">
            <w:pPr>
              <w:pStyle w:val="Bezmezer"/>
              <w:jc w:val="left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842" w:type="dxa"/>
          </w:tcPr>
          <w:p w14:paraId="5192E7CF" w14:textId="77777777" w:rsidR="00405F18" w:rsidRPr="008E3569" w:rsidRDefault="00405F18" w:rsidP="00903378">
            <w:pPr>
              <w:pStyle w:val="Bezmezer"/>
              <w:jc w:val="right"/>
              <w:rPr>
                <w:b/>
              </w:rPr>
            </w:pPr>
            <w:proofErr w:type="gramStart"/>
            <w:r>
              <w:rPr>
                <w:b/>
              </w:rPr>
              <w:t>700</w:t>
            </w:r>
            <w:r w:rsidRPr="008E3569">
              <w:rPr>
                <w:b/>
              </w:rPr>
              <w:t>.000,-</w:t>
            </w:r>
            <w:proofErr w:type="gramEnd"/>
            <w:r w:rsidRPr="008E3569">
              <w:rPr>
                <w:b/>
              </w:rPr>
              <w:t xml:space="preserve"> Kč</w:t>
            </w:r>
          </w:p>
        </w:tc>
      </w:tr>
    </w:tbl>
    <w:bookmarkEnd w:id="2"/>
    <w:p w14:paraId="308FA60C" w14:textId="77777777" w:rsidR="007B15AA" w:rsidRDefault="007B15AA" w:rsidP="007B15AA">
      <w:pPr>
        <w:ind w:left="567"/>
        <w:rPr>
          <w:sz w:val="16"/>
          <w:szCs w:val="16"/>
        </w:rPr>
      </w:pPr>
      <w:r w:rsidRPr="00616314">
        <w:rPr>
          <w:sz w:val="16"/>
          <w:szCs w:val="16"/>
        </w:rPr>
        <w:t>Ceny jsou uvedeny bez DPH.</w:t>
      </w:r>
    </w:p>
    <w:p w14:paraId="11E1F34D" w14:textId="77777777" w:rsidR="007B7C3D" w:rsidRPr="00616314" w:rsidRDefault="007B7C3D" w:rsidP="007B15AA">
      <w:pPr>
        <w:ind w:left="567"/>
        <w:rPr>
          <w:sz w:val="16"/>
          <w:szCs w:val="16"/>
        </w:rPr>
      </w:pPr>
      <w:r>
        <w:rPr>
          <w:sz w:val="16"/>
          <w:szCs w:val="16"/>
        </w:rPr>
        <w:t>Cena bude navýšena o příslušnou DPH v souladu s platným zákonem o DPH.</w:t>
      </w:r>
    </w:p>
    <w:p w14:paraId="243F9BC1" w14:textId="77777777" w:rsidR="00EF1BB9" w:rsidRDefault="00EF1BB9" w:rsidP="00EF1BB9">
      <w:pPr>
        <w:ind w:firstLine="567"/>
      </w:pPr>
    </w:p>
    <w:p w14:paraId="3746F93B" w14:textId="77777777" w:rsidR="00EF1BB9" w:rsidRDefault="00EF1BB9" w:rsidP="00EF1BB9">
      <w:pPr>
        <w:ind w:firstLine="567"/>
      </w:pPr>
      <w:r>
        <w:t>Platby budou rozděleny do platebních milníků:</w:t>
      </w:r>
    </w:p>
    <w:tbl>
      <w:tblPr>
        <w:tblStyle w:val="Mkatabulky"/>
        <w:tblW w:w="8472" w:type="dxa"/>
        <w:tblInd w:w="595" w:type="dxa"/>
        <w:tblLook w:val="04A0" w:firstRow="1" w:lastRow="0" w:firstColumn="1" w:lastColumn="0" w:noHBand="0" w:noVBand="1"/>
      </w:tblPr>
      <w:tblGrid>
        <w:gridCol w:w="2802"/>
        <w:gridCol w:w="2977"/>
        <w:gridCol w:w="2693"/>
      </w:tblGrid>
      <w:tr w:rsidR="007B15AA" w:rsidRPr="009B3F23" w14:paraId="3ED34F5F" w14:textId="77777777" w:rsidTr="00E02148">
        <w:tc>
          <w:tcPr>
            <w:tcW w:w="2802" w:type="dxa"/>
            <w:shd w:val="clear" w:color="auto" w:fill="FFFFFF" w:themeFill="background1"/>
          </w:tcPr>
          <w:p w14:paraId="38D4162A" w14:textId="77777777" w:rsidR="007B15AA" w:rsidRPr="009B3F23" w:rsidRDefault="007B15AA" w:rsidP="007B15AA">
            <w:pPr>
              <w:pStyle w:val="Bezmezer"/>
              <w:jc w:val="left"/>
              <w:rPr>
                <w:b/>
              </w:rPr>
            </w:pPr>
            <w:r>
              <w:rPr>
                <w:b/>
              </w:rPr>
              <w:t>Platební milníky</w:t>
            </w:r>
          </w:p>
        </w:tc>
        <w:tc>
          <w:tcPr>
            <w:tcW w:w="2977" w:type="dxa"/>
            <w:shd w:val="clear" w:color="auto" w:fill="FFFFFF" w:themeFill="background1"/>
          </w:tcPr>
          <w:p w14:paraId="3B6318E8" w14:textId="77777777" w:rsidR="007B15AA" w:rsidRPr="009B3F23" w:rsidRDefault="007B15AA" w:rsidP="007B15AA">
            <w:pPr>
              <w:pStyle w:val="Bezmezer"/>
              <w:jc w:val="left"/>
              <w:rPr>
                <w:b/>
              </w:rPr>
            </w:pPr>
            <w:r>
              <w:rPr>
                <w:b/>
              </w:rPr>
              <w:t>Cena</w:t>
            </w:r>
          </w:p>
        </w:tc>
        <w:tc>
          <w:tcPr>
            <w:tcW w:w="2693" w:type="dxa"/>
            <w:shd w:val="clear" w:color="auto" w:fill="FFFFFF" w:themeFill="background1"/>
          </w:tcPr>
          <w:p w14:paraId="63BF5957" w14:textId="77777777" w:rsidR="007B15AA" w:rsidRPr="009B3F23" w:rsidRDefault="00EF1BB9" w:rsidP="007B15AA">
            <w:pPr>
              <w:pStyle w:val="Bezmezer"/>
              <w:jc w:val="left"/>
              <w:rPr>
                <w:b/>
              </w:rPr>
            </w:pPr>
            <w:r>
              <w:rPr>
                <w:b/>
              </w:rPr>
              <w:t>Termín</w:t>
            </w:r>
          </w:p>
        </w:tc>
      </w:tr>
      <w:tr w:rsidR="007B15AA" w:rsidRPr="009B3F23" w14:paraId="49FCB0AE" w14:textId="77777777" w:rsidTr="00DB6DD7">
        <w:tc>
          <w:tcPr>
            <w:tcW w:w="2802" w:type="dxa"/>
          </w:tcPr>
          <w:p w14:paraId="4B98D783" w14:textId="72B8FB8A" w:rsidR="007B15AA" w:rsidRPr="009B3F23" w:rsidRDefault="007B15AA" w:rsidP="007B15AA">
            <w:pPr>
              <w:spacing w:line="276" w:lineRule="auto"/>
              <w:ind w:left="360"/>
              <w:contextualSpacing/>
              <w:jc w:val="both"/>
            </w:pPr>
            <w:r>
              <w:t xml:space="preserve">Milník bodů </w:t>
            </w:r>
            <w:r w:rsidR="00B41E06">
              <w:t>1</w:t>
            </w:r>
            <w:r>
              <w:t xml:space="preserve"> + 2</w:t>
            </w:r>
            <w:r w:rsidR="00C0703E">
              <w:t xml:space="preserve"> + 3</w:t>
            </w:r>
          </w:p>
        </w:tc>
        <w:tc>
          <w:tcPr>
            <w:tcW w:w="2977" w:type="dxa"/>
          </w:tcPr>
          <w:p w14:paraId="41909AED" w14:textId="109919BA" w:rsidR="007B15AA" w:rsidRPr="000B75FB" w:rsidRDefault="009B7629" w:rsidP="007B15AA">
            <w:pPr>
              <w:pStyle w:val="Bezmezer"/>
              <w:jc w:val="right"/>
            </w:pPr>
            <w:proofErr w:type="gramStart"/>
            <w:r>
              <w:t>350.</w:t>
            </w:r>
            <w:r w:rsidR="009439A8">
              <w:t>000</w:t>
            </w:r>
            <w:r w:rsidR="007B15AA">
              <w:t>,-</w:t>
            </w:r>
            <w:proofErr w:type="gramEnd"/>
            <w:r w:rsidR="007B15AA">
              <w:t xml:space="preserve"> Kč</w:t>
            </w:r>
          </w:p>
        </w:tc>
        <w:tc>
          <w:tcPr>
            <w:tcW w:w="2693" w:type="dxa"/>
          </w:tcPr>
          <w:p w14:paraId="639443DF" w14:textId="25242CE8" w:rsidR="007B15AA" w:rsidRPr="000B75FB" w:rsidRDefault="009B7629" w:rsidP="007B15AA">
            <w:pPr>
              <w:pStyle w:val="Bezmezer"/>
              <w:jc w:val="right"/>
            </w:pPr>
            <w:r>
              <w:t>27</w:t>
            </w:r>
            <w:r w:rsidR="009439A8">
              <w:t>.11.2020</w:t>
            </w:r>
          </w:p>
        </w:tc>
      </w:tr>
      <w:tr w:rsidR="007B15AA" w:rsidRPr="009B3F23" w14:paraId="35310220" w14:textId="77777777" w:rsidTr="00DB6DD7">
        <w:tc>
          <w:tcPr>
            <w:tcW w:w="2802" w:type="dxa"/>
          </w:tcPr>
          <w:p w14:paraId="7E12E7E9" w14:textId="55E8372D" w:rsidR="007B15AA" w:rsidRPr="009B3F23" w:rsidRDefault="007B15AA" w:rsidP="007B15AA">
            <w:pPr>
              <w:spacing w:line="276" w:lineRule="auto"/>
              <w:ind w:left="360"/>
              <w:contextualSpacing/>
              <w:jc w:val="both"/>
            </w:pPr>
            <w:r>
              <w:t>Milník bodu</w:t>
            </w:r>
            <w:r w:rsidR="00B41E06">
              <w:t xml:space="preserve"> </w:t>
            </w:r>
            <w:r w:rsidR="009439A8">
              <w:t>4</w:t>
            </w:r>
            <w:r w:rsidR="00C0703E">
              <w:t xml:space="preserve"> + 5 + 6</w:t>
            </w:r>
          </w:p>
        </w:tc>
        <w:tc>
          <w:tcPr>
            <w:tcW w:w="2977" w:type="dxa"/>
          </w:tcPr>
          <w:p w14:paraId="3657DAA5" w14:textId="6E74C43C" w:rsidR="007B15AA" w:rsidRPr="000B75FB" w:rsidRDefault="00C0703E" w:rsidP="007B15AA">
            <w:pPr>
              <w:pStyle w:val="Bezmezer"/>
              <w:ind w:left="765"/>
              <w:jc w:val="right"/>
            </w:pPr>
            <w:proofErr w:type="gramStart"/>
            <w:r>
              <w:t>3</w:t>
            </w:r>
            <w:r w:rsidR="009B7629">
              <w:t>5</w:t>
            </w:r>
            <w:r>
              <w:t>0</w:t>
            </w:r>
            <w:r w:rsidR="009439A8">
              <w:t>.000</w:t>
            </w:r>
            <w:r w:rsidR="007B15AA">
              <w:t>,-</w:t>
            </w:r>
            <w:proofErr w:type="gramEnd"/>
            <w:r w:rsidR="007B15AA">
              <w:t xml:space="preserve"> Kč</w:t>
            </w:r>
          </w:p>
        </w:tc>
        <w:tc>
          <w:tcPr>
            <w:tcW w:w="2693" w:type="dxa"/>
          </w:tcPr>
          <w:p w14:paraId="636BAF4D" w14:textId="13849DB1" w:rsidR="007B15AA" w:rsidRPr="000B75FB" w:rsidRDefault="009439A8" w:rsidP="007B15AA">
            <w:pPr>
              <w:pStyle w:val="Bezmezer"/>
              <w:ind w:left="765"/>
              <w:jc w:val="right"/>
            </w:pPr>
            <w:r>
              <w:t>31.12.2020</w:t>
            </w:r>
          </w:p>
        </w:tc>
      </w:tr>
      <w:tr w:rsidR="007B15AA" w:rsidRPr="007B15AA" w14:paraId="76B39987" w14:textId="77777777" w:rsidTr="00DB6DD7">
        <w:tc>
          <w:tcPr>
            <w:tcW w:w="2802" w:type="dxa"/>
          </w:tcPr>
          <w:p w14:paraId="56A2B8D3" w14:textId="77777777" w:rsidR="007B15AA" w:rsidRPr="007B15AA" w:rsidRDefault="007B15AA" w:rsidP="007B15AA">
            <w:pPr>
              <w:pStyle w:val="Bezmezer"/>
              <w:jc w:val="left"/>
              <w:rPr>
                <w:b/>
              </w:rPr>
            </w:pPr>
            <w:r w:rsidRPr="007B15AA">
              <w:rPr>
                <w:b/>
              </w:rPr>
              <w:t>CELKEM</w:t>
            </w:r>
          </w:p>
        </w:tc>
        <w:tc>
          <w:tcPr>
            <w:tcW w:w="2977" w:type="dxa"/>
          </w:tcPr>
          <w:p w14:paraId="3B996120" w14:textId="77777777" w:rsidR="007B15AA" w:rsidRPr="007B15AA" w:rsidRDefault="007B15AA" w:rsidP="007B15AA">
            <w:pPr>
              <w:pStyle w:val="Bezmezer"/>
              <w:jc w:val="right"/>
              <w:rPr>
                <w:b/>
                <w:bCs/>
              </w:rPr>
            </w:pPr>
            <w:proofErr w:type="gramStart"/>
            <w:r w:rsidRPr="007B15AA">
              <w:rPr>
                <w:b/>
                <w:bCs/>
              </w:rPr>
              <w:t>700.000,-</w:t>
            </w:r>
            <w:proofErr w:type="gramEnd"/>
            <w:r w:rsidRPr="007B15AA">
              <w:rPr>
                <w:b/>
                <w:bCs/>
              </w:rPr>
              <w:t xml:space="preserve"> Kč</w:t>
            </w:r>
          </w:p>
        </w:tc>
        <w:tc>
          <w:tcPr>
            <w:tcW w:w="2693" w:type="dxa"/>
          </w:tcPr>
          <w:p w14:paraId="062FE6BD" w14:textId="77777777" w:rsidR="007B15AA" w:rsidRPr="007B15AA" w:rsidRDefault="007B15AA" w:rsidP="007B15AA">
            <w:pPr>
              <w:pStyle w:val="Bezmezer"/>
              <w:jc w:val="right"/>
              <w:rPr>
                <w:b/>
                <w:bCs/>
              </w:rPr>
            </w:pPr>
          </w:p>
        </w:tc>
      </w:tr>
    </w:tbl>
    <w:p w14:paraId="6315CB13" w14:textId="77777777" w:rsidR="007B15AA" w:rsidRDefault="007B15AA" w:rsidP="007B15AA">
      <w:pPr>
        <w:ind w:left="567"/>
        <w:rPr>
          <w:sz w:val="16"/>
          <w:szCs w:val="16"/>
        </w:rPr>
      </w:pPr>
      <w:r w:rsidRPr="00616314">
        <w:rPr>
          <w:sz w:val="16"/>
          <w:szCs w:val="16"/>
        </w:rPr>
        <w:t>Ceny jsou uvedeny bez DPH.</w:t>
      </w:r>
    </w:p>
    <w:p w14:paraId="561C7BA2" w14:textId="77777777" w:rsidR="007B7C3D" w:rsidRPr="00616314" w:rsidRDefault="007B7C3D" w:rsidP="007B15AA">
      <w:pPr>
        <w:ind w:left="567"/>
        <w:rPr>
          <w:sz w:val="16"/>
          <w:szCs w:val="16"/>
        </w:rPr>
      </w:pPr>
      <w:r>
        <w:rPr>
          <w:sz w:val="16"/>
          <w:szCs w:val="16"/>
        </w:rPr>
        <w:t>Cena bude navýšena o příslušnou DPH v souladu s platným zákonem o DPH</w:t>
      </w:r>
      <w:r w:rsidR="0064280C">
        <w:rPr>
          <w:sz w:val="16"/>
          <w:szCs w:val="16"/>
        </w:rPr>
        <w:t>.</w:t>
      </w:r>
    </w:p>
    <w:p w14:paraId="1DBFC6A0" w14:textId="77777777" w:rsidR="00EF1BB9" w:rsidRDefault="00EF1BB9" w:rsidP="007B15AA">
      <w:pPr>
        <w:ind w:left="567"/>
      </w:pPr>
    </w:p>
    <w:p w14:paraId="6133BA9F" w14:textId="77777777" w:rsidR="007B15AA" w:rsidRDefault="00EF1BB9" w:rsidP="007B15AA">
      <w:pPr>
        <w:ind w:left="567"/>
      </w:pPr>
      <w:r>
        <w:t>K Platebním milníkům bude vyhotoven Předávací protokol o provedených pracích a stavu zakázky.</w:t>
      </w:r>
    </w:p>
    <w:p w14:paraId="188B3F14" w14:textId="77777777" w:rsidR="007B15AA" w:rsidRDefault="007B15AA" w:rsidP="007B15AA">
      <w:pPr>
        <w:ind w:left="567"/>
      </w:pPr>
    </w:p>
    <w:p w14:paraId="276D9831" w14:textId="0C8308FF" w:rsidR="002B0E15" w:rsidRPr="00BA32DA" w:rsidRDefault="002B0E15" w:rsidP="007C72EE">
      <w:pPr>
        <w:pStyle w:val="Nadpis2"/>
      </w:pPr>
      <w:r w:rsidRPr="00BA32DA">
        <w:lastRenderedPageBreak/>
        <w:t>Záruka</w:t>
      </w:r>
      <w:r w:rsidR="00AD0302">
        <w:t xml:space="preserve"> a splatnost</w:t>
      </w:r>
    </w:p>
    <w:p w14:paraId="32744DD8" w14:textId="54AA87BA" w:rsidR="00C10C95" w:rsidRDefault="00C10C95" w:rsidP="005F5660">
      <w:pPr>
        <w:pStyle w:val="Odstavecseseznamem"/>
        <w:numPr>
          <w:ilvl w:val="1"/>
          <w:numId w:val="3"/>
        </w:numPr>
        <w:spacing w:before="120" w:after="120"/>
        <w:ind w:left="924" w:hanging="357"/>
        <w:jc w:val="both"/>
      </w:pPr>
      <w:r>
        <w:t>Faktura bude vystavena vždy do 1</w:t>
      </w:r>
      <w:r w:rsidR="009439A8">
        <w:t>0</w:t>
      </w:r>
      <w:r>
        <w:t xml:space="preserve"> dn</w:t>
      </w:r>
      <w:r w:rsidR="00CE02D2">
        <w:t>ů</w:t>
      </w:r>
      <w:r>
        <w:t xml:space="preserve"> </w:t>
      </w:r>
      <w:r w:rsidR="00CF75DF">
        <w:t>po platebním milníku</w:t>
      </w:r>
      <w:r>
        <w:t>.</w:t>
      </w:r>
    </w:p>
    <w:p w14:paraId="32DB1A3B" w14:textId="77777777" w:rsidR="00480A67" w:rsidRPr="00956786" w:rsidRDefault="00434D8C" w:rsidP="005F5660">
      <w:pPr>
        <w:pStyle w:val="Odstavecseseznamem"/>
        <w:numPr>
          <w:ilvl w:val="1"/>
          <w:numId w:val="3"/>
        </w:numPr>
        <w:spacing w:before="120" w:after="120"/>
        <w:ind w:left="924" w:hanging="357"/>
        <w:jc w:val="both"/>
      </w:pPr>
      <w:r w:rsidRPr="00956786">
        <w:t>Dodavatel</w:t>
      </w:r>
      <w:r w:rsidR="002B0E15" w:rsidRPr="00956786">
        <w:t xml:space="preserve"> poskytuje </w:t>
      </w:r>
      <w:r w:rsidR="00CE289D" w:rsidRPr="00956786">
        <w:t>Objednatel</w:t>
      </w:r>
      <w:r w:rsidR="002B0E15" w:rsidRPr="00956786">
        <w:t>i zár</w:t>
      </w:r>
      <w:r w:rsidR="00343083" w:rsidRPr="00956786">
        <w:t>uku v souladu s občanským zákoníkem</w:t>
      </w:r>
      <w:r w:rsidR="002B0E15" w:rsidRPr="00956786">
        <w:t>.</w:t>
      </w:r>
    </w:p>
    <w:p w14:paraId="1A8A1D35" w14:textId="77777777" w:rsidR="00AD0302" w:rsidRPr="00956786" w:rsidRDefault="00AD0302" w:rsidP="005F5660">
      <w:pPr>
        <w:pStyle w:val="Odstavecseseznamem"/>
        <w:numPr>
          <w:ilvl w:val="1"/>
          <w:numId w:val="3"/>
        </w:numPr>
        <w:spacing w:before="120" w:after="120"/>
        <w:ind w:left="924" w:hanging="357"/>
        <w:jc w:val="both"/>
      </w:pPr>
      <w:r w:rsidRPr="00956786">
        <w:t xml:space="preserve">Splatnost faktury je </w:t>
      </w:r>
      <w:r w:rsidR="007C72EE" w:rsidRPr="00956786">
        <w:t>14</w:t>
      </w:r>
      <w:r w:rsidRPr="00956786">
        <w:t xml:space="preserve"> dní od data jejího vystavení.</w:t>
      </w:r>
    </w:p>
    <w:p w14:paraId="3F8F3094" w14:textId="25C83DCB" w:rsidR="00C10C95" w:rsidRDefault="00C10C95" w:rsidP="005F5660">
      <w:pPr>
        <w:pStyle w:val="Odstavecseseznamem"/>
        <w:numPr>
          <w:ilvl w:val="1"/>
          <w:numId w:val="3"/>
        </w:numPr>
        <w:spacing w:before="120" w:after="120"/>
        <w:ind w:left="924" w:hanging="357"/>
        <w:jc w:val="both"/>
      </w:pPr>
      <w:r w:rsidRPr="00956786">
        <w:t>Poskytovatel se zavazuje zaplatit</w:t>
      </w:r>
      <w:r>
        <w:t xml:space="preserve"> Objednateli smluvní pokutu ve výši </w:t>
      </w:r>
      <w:proofErr w:type="gramStart"/>
      <w:r>
        <w:t>0,</w:t>
      </w:r>
      <w:r w:rsidR="00CF75DF">
        <w:t>05</w:t>
      </w:r>
      <w:r>
        <w:t>%</w:t>
      </w:r>
      <w:proofErr w:type="gramEnd"/>
      <w:r>
        <w:t xml:space="preserve"> z ceny za každý i započatý den prodlení oproti dohodnutému </w:t>
      </w:r>
      <w:r w:rsidR="005F5660">
        <w:t xml:space="preserve">konečnému </w:t>
      </w:r>
      <w:r>
        <w:t xml:space="preserve">termínu. Toto ustanovení neplatí, pokud nebyla dodržena požadovaná součinnost Objednatele. </w:t>
      </w:r>
    </w:p>
    <w:p w14:paraId="73476BB0" w14:textId="77777777" w:rsidR="00C10C95" w:rsidRDefault="00C10C95" w:rsidP="005F5660">
      <w:pPr>
        <w:pStyle w:val="Odstavecseseznamem"/>
        <w:numPr>
          <w:ilvl w:val="1"/>
          <w:numId w:val="3"/>
        </w:numPr>
        <w:spacing w:before="120" w:after="120"/>
        <w:ind w:left="924" w:hanging="357"/>
        <w:jc w:val="both"/>
      </w:pPr>
      <w:r>
        <w:t>Pro případ nedodržení termínu splatnosti sjednávají smluvní strany úrok z prodlení, jehož výše odpovídá 0,0</w:t>
      </w:r>
      <w:r w:rsidR="00CF75DF">
        <w:t>5</w:t>
      </w:r>
      <w:r>
        <w:t xml:space="preserve"> % za den z dlužné částky po splatnosti.  </w:t>
      </w:r>
    </w:p>
    <w:p w14:paraId="15FB3B8C" w14:textId="77777777" w:rsidR="00727498" w:rsidRDefault="00C10C95" w:rsidP="005F5660">
      <w:pPr>
        <w:pStyle w:val="Odstavecseseznamem"/>
        <w:numPr>
          <w:ilvl w:val="1"/>
          <w:numId w:val="3"/>
        </w:numPr>
        <w:spacing w:before="120" w:after="120"/>
        <w:ind w:left="924" w:hanging="357"/>
        <w:jc w:val="both"/>
      </w:pPr>
      <w:r>
        <w:t>Oprávněni k podpisu předávacích protokolů za Objednatele jsou osoby stanovené smlouvou.</w:t>
      </w:r>
    </w:p>
    <w:p w14:paraId="62282008" w14:textId="77777777" w:rsidR="001240B0" w:rsidRPr="00362E7A" w:rsidRDefault="001240B0" w:rsidP="005F5660">
      <w:pPr>
        <w:pStyle w:val="Odstavecseseznamem"/>
        <w:numPr>
          <w:ilvl w:val="1"/>
          <w:numId w:val="3"/>
        </w:numPr>
        <w:spacing w:before="120" w:after="120"/>
        <w:ind w:left="924" w:hanging="357"/>
      </w:pPr>
      <w:r>
        <w:t xml:space="preserve">Dodavatel zodpovídá za komplexní přípravu systému pro získání certifikace dle </w:t>
      </w:r>
      <w:r w:rsidRPr="00670E51">
        <w:t>ČSN EN</w:t>
      </w:r>
      <w:r w:rsidR="00A370AD">
        <w:t xml:space="preserve"> </w:t>
      </w:r>
      <w:r w:rsidRPr="00670E51">
        <w:t>ISO 50001</w:t>
      </w:r>
      <w:r w:rsidR="00E10014">
        <w:t>.</w:t>
      </w:r>
    </w:p>
    <w:p w14:paraId="3861B942" w14:textId="6B441C57" w:rsidR="00956786" w:rsidRPr="005F5660" w:rsidRDefault="005F5660" w:rsidP="005F5660">
      <w:pPr>
        <w:pStyle w:val="Odstavecseseznamem"/>
        <w:numPr>
          <w:ilvl w:val="1"/>
          <w:numId w:val="3"/>
        </w:numPr>
        <w:spacing w:before="120" w:after="120"/>
        <w:ind w:left="924" w:hanging="357"/>
        <w:jc w:val="both"/>
      </w:pPr>
      <w:r w:rsidRPr="005F5660">
        <w:rPr>
          <w:noProof/>
        </w:rPr>
        <w:drawing>
          <wp:anchor distT="0" distB="0" distL="114300" distR="114300" simplePos="0" relativeHeight="251685888" behindDoc="0" locked="0" layoutInCell="1" allowOverlap="1" wp14:anchorId="4E082E8A" wp14:editId="06C9E709">
            <wp:simplePos x="0" y="0"/>
            <wp:positionH relativeFrom="column">
              <wp:posOffset>4166638</wp:posOffset>
            </wp:positionH>
            <wp:positionV relativeFrom="paragraph">
              <wp:posOffset>782666</wp:posOffset>
            </wp:positionV>
            <wp:extent cx="869950" cy="464185"/>
            <wp:effectExtent l="0" t="0" r="635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5660">
        <w:rPr>
          <w:noProof/>
        </w:rPr>
        <w:drawing>
          <wp:anchor distT="0" distB="0" distL="114300" distR="114300" simplePos="0" relativeHeight="251684864" behindDoc="0" locked="0" layoutInCell="1" allowOverlap="1" wp14:anchorId="5C425732" wp14:editId="3E05EB80">
            <wp:simplePos x="0" y="0"/>
            <wp:positionH relativeFrom="margin">
              <wp:align>center</wp:align>
            </wp:positionH>
            <wp:positionV relativeFrom="paragraph">
              <wp:posOffset>825764</wp:posOffset>
            </wp:positionV>
            <wp:extent cx="912495" cy="421005"/>
            <wp:effectExtent l="0" t="0" r="1905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ázek 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6786">
        <w:t xml:space="preserve">Na daňové doklady musí Dodavatel, mimo jiné povinné a zákonné údaje, uvést: </w:t>
      </w:r>
      <w:r w:rsidRPr="005F5660">
        <w:rPr>
          <w:i/>
          <w:iCs/>
        </w:rPr>
        <w:t xml:space="preserve">Projekt je spolufinancován z Programu 2D – Zavedení systému hospodaření s energií v podobě energetického managementu – Ministerstvo průmyslu a obchodu/Program EFEKT2 2020, </w:t>
      </w:r>
      <w:r w:rsidRPr="005F5660">
        <w:rPr>
          <w:b/>
          <w:bCs/>
          <w:i/>
          <w:iCs/>
        </w:rPr>
        <w:t>dotace č. 122D22200 0310- „Zavedení energetického managementu ve společnosti Tepelné hospodářství Kadaň“</w:t>
      </w:r>
      <w:r w:rsidRPr="005F5660">
        <w:rPr>
          <w:b/>
          <w:bCs/>
          <w:i/>
        </w:rPr>
        <w:t>,</w:t>
      </w:r>
      <w:r>
        <w:rPr>
          <w:i/>
        </w:rPr>
        <w:t xml:space="preserve"> včetně loga EFEKT a loga </w:t>
      </w:r>
      <w:proofErr w:type="gramStart"/>
      <w:r>
        <w:rPr>
          <w:i/>
        </w:rPr>
        <w:t>MPO</w:t>
      </w:r>
      <w:r w:rsidR="00956786">
        <w:t xml:space="preserve"> </w:t>
      </w:r>
      <w:r>
        <w:t>.</w:t>
      </w:r>
      <w:proofErr w:type="gramEnd"/>
    </w:p>
    <w:p w14:paraId="6B28FEC7" w14:textId="0BB24BB1" w:rsidR="005F5660" w:rsidRDefault="00C10C95" w:rsidP="00956786">
      <w:pPr>
        <w:ind w:left="567"/>
        <w:jc w:val="both"/>
      </w:pPr>
      <w:r>
        <w:t xml:space="preserve">  </w:t>
      </w:r>
    </w:p>
    <w:p w14:paraId="3925E4C9" w14:textId="6DDB7AD3" w:rsidR="005F5660" w:rsidRDefault="005F5660" w:rsidP="00956786">
      <w:pPr>
        <w:ind w:left="567"/>
        <w:jc w:val="both"/>
      </w:pPr>
    </w:p>
    <w:p w14:paraId="180CF777" w14:textId="2F002001" w:rsidR="00C10C95" w:rsidRDefault="00C10C95" w:rsidP="00956786">
      <w:pPr>
        <w:ind w:left="567"/>
        <w:jc w:val="both"/>
      </w:pPr>
    </w:p>
    <w:p w14:paraId="32D89D82" w14:textId="77777777" w:rsidR="005F5660" w:rsidRDefault="005F5660" w:rsidP="00956786">
      <w:pPr>
        <w:ind w:left="567"/>
        <w:jc w:val="both"/>
      </w:pPr>
    </w:p>
    <w:p w14:paraId="477C70B1" w14:textId="461E695D" w:rsidR="00473FD7" w:rsidRPr="00BA32DA" w:rsidRDefault="00072C91" w:rsidP="007C72EE">
      <w:pPr>
        <w:pStyle w:val="Nadpis2"/>
      </w:pPr>
      <w:r>
        <w:t>Součinnost</w:t>
      </w:r>
    </w:p>
    <w:p w14:paraId="0BFC183C" w14:textId="57F336E8" w:rsidR="00736349" w:rsidRDefault="00754724" w:rsidP="00114EF0">
      <w:pPr>
        <w:pStyle w:val="Odstavecseseznamem"/>
        <w:numPr>
          <w:ilvl w:val="1"/>
          <w:numId w:val="3"/>
        </w:numPr>
      </w:pPr>
      <w:r w:rsidRPr="00D87372">
        <w:t xml:space="preserve">Objednatel se zavazuje poskytnout </w:t>
      </w:r>
      <w:r w:rsidR="00434D8C">
        <w:t>dodavatel</w:t>
      </w:r>
      <w:r w:rsidR="007F5CC0">
        <w:t>i</w:t>
      </w:r>
      <w:r w:rsidRPr="00D87372">
        <w:t xml:space="preserve"> nezbytnou součinnost při vytváření a plnění </w:t>
      </w:r>
      <w:r w:rsidR="00AD0302">
        <w:t>plánu</w:t>
      </w:r>
      <w:r w:rsidRPr="00D87372">
        <w:t xml:space="preserve"> </w:t>
      </w:r>
      <w:r w:rsidR="00C10C95">
        <w:t>prací a k</w:t>
      </w:r>
      <w:r w:rsidRPr="00D87372">
        <w:t xml:space="preserve"> poskytování potřebných podkladů</w:t>
      </w:r>
      <w:r w:rsidR="007F5CC0">
        <w:t>.</w:t>
      </w:r>
    </w:p>
    <w:p w14:paraId="288E4616" w14:textId="77777777" w:rsidR="005F5660" w:rsidRDefault="005F5660" w:rsidP="005F5660">
      <w:pPr>
        <w:ind w:left="567"/>
      </w:pPr>
    </w:p>
    <w:p w14:paraId="19419686" w14:textId="62EB9175" w:rsidR="00EF01FB" w:rsidRDefault="00EF01FB">
      <w:pPr>
        <w:rPr>
          <w:rFonts w:ascii="Calibri" w:hAnsi="Calibri" w:cs="Calibri"/>
          <w:b/>
          <w:noProof/>
          <w:sz w:val="24"/>
          <w:szCs w:val="24"/>
        </w:rPr>
      </w:pPr>
    </w:p>
    <w:p w14:paraId="613A78C8" w14:textId="436F2094" w:rsidR="00473FD7" w:rsidRPr="00BE7560" w:rsidRDefault="00473FD7" w:rsidP="007C72EE">
      <w:pPr>
        <w:pStyle w:val="Nadpis2"/>
      </w:pPr>
      <w:r w:rsidRPr="00BE7560">
        <w:t>Kontaktní o</w:t>
      </w:r>
      <w:r w:rsidR="00072C91">
        <w:t>soby</w:t>
      </w:r>
    </w:p>
    <w:p w14:paraId="1B387955" w14:textId="77777777" w:rsidR="00A370AD" w:rsidRDefault="00A370AD" w:rsidP="007C72EE">
      <w:pPr>
        <w:pStyle w:val="Nadpis3"/>
      </w:pPr>
    </w:p>
    <w:p w14:paraId="60938233" w14:textId="77777777" w:rsidR="00473FD7" w:rsidRPr="00434D8C" w:rsidRDefault="00473FD7" w:rsidP="007C72EE">
      <w:pPr>
        <w:pStyle w:val="Nadpis3"/>
      </w:pPr>
      <w:r w:rsidRPr="00434D8C">
        <w:t xml:space="preserve">Kontaktní osoby </w:t>
      </w:r>
      <w:r w:rsidR="001922D5" w:rsidRPr="00434D8C">
        <w:t>o</w:t>
      </w:r>
      <w:r w:rsidR="00CE289D" w:rsidRPr="00434D8C">
        <w:t>bjednatel</w:t>
      </w:r>
      <w:r w:rsidR="00D87372" w:rsidRPr="00434D8C">
        <w:t>e</w:t>
      </w:r>
    </w:p>
    <w:p w14:paraId="15F6D3F1" w14:textId="77777777" w:rsidR="002143EB" w:rsidRPr="00BA32DA" w:rsidRDefault="002143EB" w:rsidP="007C72EE">
      <w:pPr>
        <w:pStyle w:val="NormlOdr2"/>
      </w:pPr>
    </w:p>
    <w:p w14:paraId="392D903B" w14:textId="77777777" w:rsidR="00F5794C" w:rsidRPr="00BA32DA" w:rsidRDefault="00473FD7" w:rsidP="00145735">
      <w:r w:rsidRPr="00BA32DA">
        <w:tab/>
      </w:r>
      <w:r w:rsidR="00F5794C" w:rsidRPr="00BA32DA">
        <w:t>jméno</w:t>
      </w:r>
      <w:r w:rsidR="00F5794C" w:rsidRPr="00BA32DA">
        <w:tab/>
      </w:r>
      <w:r w:rsidR="00145735">
        <w:tab/>
      </w:r>
      <w:r w:rsidR="00145735">
        <w:tab/>
      </w:r>
      <w:r w:rsidR="00F5794C" w:rsidRPr="00BA32DA">
        <w:t>telefon</w:t>
      </w:r>
      <w:r w:rsidR="00F5794C" w:rsidRPr="00BA32DA">
        <w:tab/>
      </w:r>
    </w:p>
    <w:p w14:paraId="2402EC72" w14:textId="1050C56F" w:rsidR="00F5794C" w:rsidRPr="005C7E37" w:rsidRDefault="00AD0302" w:rsidP="00145735">
      <w:pPr>
        <w:rPr>
          <w:highlight w:val="black"/>
        </w:rPr>
      </w:pPr>
      <w:r>
        <w:tab/>
      </w:r>
      <w:r w:rsidR="009439A8" w:rsidRPr="005C7E37">
        <w:rPr>
          <w:highlight w:val="black"/>
        </w:rPr>
        <w:t xml:space="preserve">Dušan Kučera    </w:t>
      </w:r>
      <w:r w:rsidR="009439A8" w:rsidRPr="005C7E37">
        <w:rPr>
          <w:highlight w:val="black"/>
        </w:rPr>
        <w:tab/>
      </w:r>
      <w:r w:rsidR="00F5794C" w:rsidRPr="005C7E37">
        <w:rPr>
          <w:highlight w:val="black"/>
        </w:rPr>
        <w:tab/>
      </w:r>
      <w:r w:rsidR="00EF01FB" w:rsidRPr="005C7E37">
        <w:rPr>
          <w:highlight w:val="black"/>
        </w:rPr>
        <w:t xml:space="preserve">+420 </w:t>
      </w:r>
      <w:r w:rsidR="009439A8" w:rsidRPr="005C7E37">
        <w:rPr>
          <w:highlight w:val="black"/>
        </w:rPr>
        <w:t>777 226</w:t>
      </w:r>
      <w:r w:rsidR="00F7774D" w:rsidRPr="005C7E37">
        <w:rPr>
          <w:highlight w:val="black"/>
        </w:rPr>
        <w:t> </w:t>
      </w:r>
      <w:r w:rsidR="009439A8" w:rsidRPr="005C7E37">
        <w:rPr>
          <w:highlight w:val="black"/>
        </w:rPr>
        <w:t>901</w:t>
      </w:r>
    </w:p>
    <w:p w14:paraId="02151916" w14:textId="60672165" w:rsidR="00F7774D" w:rsidRPr="005C7E37" w:rsidRDefault="00F7774D" w:rsidP="00145735">
      <w:pPr>
        <w:rPr>
          <w:highlight w:val="black"/>
        </w:rPr>
      </w:pPr>
      <w:r w:rsidRPr="005C7E37">
        <w:rPr>
          <w:highlight w:val="black"/>
        </w:rPr>
        <w:tab/>
        <w:t>Radek Vašíček</w:t>
      </w:r>
      <w:r w:rsidRPr="005C7E37">
        <w:rPr>
          <w:highlight w:val="black"/>
        </w:rPr>
        <w:tab/>
      </w:r>
      <w:r w:rsidRPr="005C7E37">
        <w:rPr>
          <w:highlight w:val="black"/>
        </w:rPr>
        <w:tab/>
        <w:t>+420 777 226 904</w:t>
      </w:r>
    </w:p>
    <w:p w14:paraId="0E816B5D" w14:textId="217D2B14" w:rsidR="00F7774D" w:rsidRDefault="00F7774D" w:rsidP="00145735">
      <w:r w:rsidRPr="005C7E37">
        <w:rPr>
          <w:highlight w:val="black"/>
        </w:rPr>
        <w:tab/>
        <w:t xml:space="preserve">Jiří </w:t>
      </w:r>
      <w:proofErr w:type="spellStart"/>
      <w:r w:rsidRPr="005C7E37">
        <w:rPr>
          <w:highlight w:val="black"/>
        </w:rPr>
        <w:t>Špelina</w:t>
      </w:r>
      <w:proofErr w:type="spellEnd"/>
      <w:r w:rsidRPr="005C7E37">
        <w:rPr>
          <w:highlight w:val="black"/>
        </w:rPr>
        <w:tab/>
      </w:r>
      <w:r w:rsidRPr="005C7E37">
        <w:rPr>
          <w:highlight w:val="black"/>
        </w:rPr>
        <w:tab/>
        <w:t>+420 777 226 905</w:t>
      </w:r>
    </w:p>
    <w:p w14:paraId="1F35900E" w14:textId="68C16A87" w:rsidR="00D87372" w:rsidRPr="00BA32DA" w:rsidRDefault="00F7774D" w:rsidP="007C72EE">
      <w:pPr>
        <w:pStyle w:val="NormlOdr2"/>
      </w:pPr>
      <w:r>
        <w:tab/>
      </w:r>
      <w:r w:rsidR="00A0631B" w:rsidRPr="00BA32DA">
        <w:tab/>
      </w:r>
    </w:p>
    <w:p w14:paraId="64E43D3A" w14:textId="77777777" w:rsidR="00A370AD" w:rsidRDefault="00A370AD" w:rsidP="007C72EE">
      <w:pPr>
        <w:pStyle w:val="Nadpis3"/>
      </w:pPr>
    </w:p>
    <w:p w14:paraId="230DD99A" w14:textId="77777777" w:rsidR="00473FD7" w:rsidRPr="00434D8C" w:rsidRDefault="00473FD7" w:rsidP="007C72EE">
      <w:pPr>
        <w:pStyle w:val="Nadpis3"/>
      </w:pPr>
      <w:r w:rsidRPr="00434D8C">
        <w:t xml:space="preserve">Kontaktní osoby </w:t>
      </w:r>
      <w:r w:rsidR="00434D8C">
        <w:t>dodavatel</w:t>
      </w:r>
      <w:r w:rsidR="001922D5" w:rsidRPr="00434D8C">
        <w:t>e</w:t>
      </w:r>
    </w:p>
    <w:p w14:paraId="6561A243" w14:textId="77777777" w:rsidR="00473FD7" w:rsidRPr="00BA32DA" w:rsidRDefault="00473FD7" w:rsidP="007C72EE"/>
    <w:p w14:paraId="6D9AE2D1" w14:textId="77777777" w:rsidR="00473FD7" w:rsidRPr="00BA32DA" w:rsidRDefault="00473FD7" w:rsidP="00145735">
      <w:r w:rsidRPr="00BA32DA">
        <w:tab/>
        <w:t>jméno</w:t>
      </w:r>
      <w:r w:rsidRPr="00BA32DA">
        <w:tab/>
      </w:r>
      <w:r w:rsidR="00145735">
        <w:tab/>
      </w:r>
      <w:r w:rsidR="00145735">
        <w:tab/>
      </w:r>
      <w:r w:rsidRPr="00BA32DA">
        <w:t>telefon</w:t>
      </w:r>
      <w:r w:rsidRPr="00BA32DA">
        <w:tab/>
      </w:r>
    </w:p>
    <w:p w14:paraId="69FC5D24" w14:textId="11FD0B30" w:rsidR="001922D5" w:rsidRPr="005C7E37" w:rsidRDefault="001922D5" w:rsidP="00145735">
      <w:pPr>
        <w:rPr>
          <w:highlight w:val="black"/>
        </w:rPr>
      </w:pPr>
      <w:r w:rsidRPr="00BA32DA">
        <w:tab/>
      </w:r>
      <w:r w:rsidRPr="005C7E37">
        <w:rPr>
          <w:highlight w:val="black"/>
        </w:rPr>
        <w:t>Ing. Stanislav Koukol</w:t>
      </w:r>
      <w:r w:rsidRPr="005C7E37">
        <w:rPr>
          <w:highlight w:val="black"/>
        </w:rPr>
        <w:tab/>
      </w:r>
      <w:r w:rsidR="00EF01FB" w:rsidRPr="005C7E37">
        <w:rPr>
          <w:highlight w:val="black"/>
        </w:rPr>
        <w:t xml:space="preserve">+420 </w:t>
      </w:r>
      <w:r w:rsidRPr="005C7E37">
        <w:rPr>
          <w:highlight w:val="black"/>
        </w:rPr>
        <w:t>737 393 272</w:t>
      </w:r>
    </w:p>
    <w:p w14:paraId="118E199A" w14:textId="0A7320AB" w:rsidR="001922D5" w:rsidRDefault="001922D5" w:rsidP="00145735">
      <w:r w:rsidRPr="005C7E37">
        <w:rPr>
          <w:highlight w:val="black"/>
        </w:rPr>
        <w:tab/>
      </w:r>
      <w:r w:rsidR="00176291" w:rsidRPr="005C7E37">
        <w:rPr>
          <w:highlight w:val="black"/>
        </w:rPr>
        <w:t xml:space="preserve">Petra Kábrtová, </w:t>
      </w:r>
      <w:proofErr w:type="spellStart"/>
      <w:r w:rsidR="00176291" w:rsidRPr="005C7E37">
        <w:rPr>
          <w:highlight w:val="black"/>
        </w:rPr>
        <w:t>DiS</w:t>
      </w:r>
      <w:proofErr w:type="spellEnd"/>
      <w:r w:rsidR="00176291" w:rsidRPr="005C7E37">
        <w:rPr>
          <w:highlight w:val="black"/>
        </w:rPr>
        <w:t>.</w:t>
      </w:r>
      <w:r w:rsidRPr="005C7E37">
        <w:rPr>
          <w:highlight w:val="black"/>
        </w:rPr>
        <w:tab/>
      </w:r>
      <w:r w:rsidR="00EF01FB" w:rsidRPr="005C7E37">
        <w:rPr>
          <w:highlight w:val="black"/>
        </w:rPr>
        <w:t xml:space="preserve">+420 </w:t>
      </w:r>
      <w:r w:rsidR="00176291" w:rsidRPr="005C7E37">
        <w:rPr>
          <w:highlight w:val="black"/>
        </w:rPr>
        <w:t>737 117</w:t>
      </w:r>
      <w:r w:rsidR="00EF01FB" w:rsidRPr="005C7E37">
        <w:rPr>
          <w:highlight w:val="black"/>
        </w:rPr>
        <w:t> </w:t>
      </w:r>
      <w:r w:rsidR="00176291" w:rsidRPr="005C7E37">
        <w:rPr>
          <w:highlight w:val="black"/>
        </w:rPr>
        <w:t>888</w:t>
      </w:r>
    </w:p>
    <w:p w14:paraId="0AFDB11D" w14:textId="4D83719D" w:rsidR="00EF01FB" w:rsidRDefault="00EF01FB" w:rsidP="00145735"/>
    <w:p w14:paraId="46AA7571" w14:textId="14684EFD" w:rsidR="00EF01FB" w:rsidRDefault="00EF01FB" w:rsidP="00145735"/>
    <w:p w14:paraId="00AAF8B6" w14:textId="77777777" w:rsidR="00EF01FB" w:rsidRDefault="00EF01FB" w:rsidP="00145735"/>
    <w:p w14:paraId="6E850C83" w14:textId="77777777" w:rsidR="005F5660" w:rsidRDefault="005F5660">
      <w:pPr>
        <w:rPr>
          <w:rFonts w:ascii="Calibri" w:hAnsi="Calibri" w:cs="Calibri"/>
          <w:b/>
          <w:noProof/>
          <w:sz w:val="24"/>
          <w:szCs w:val="24"/>
        </w:rPr>
      </w:pPr>
      <w:r>
        <w:br w:type="page"/>
      </w:r>
    </w:p>
    <w:p w14:paraId="226FE196" w14:textId="5D85BBDE" w:rsidR="00473FD7" w:rsidRPr="00BA32DA" w:rsidRDefault="00473FD7" w:rsidP="007C72EE">
      <w:pPr>
        <w:pStyle w:val="Nadpis2"/>
      </w:pPr>
      <w:r w:rsidRPr="00BA32DA">
        <w:lastRenderedPageBreak/>
        <w:t>Závěrečná ustanovení</w:t>
      </w:r>
    </w:p>
    <w:p w14:paraId="34D94422" w14:textId="29AEA075" w:rsidR="00EF01FB" w:rsidRPr="00EF01FB" w:rsidRDefault="00EF01FB" w:rsidP="005F5660">
      <w:pPr>
        <w:pStyle w:val="NormCislo"/>
        <w:numPr>
          <w:ilvl w:val="1"/>
          <w:numId w:val="3"/>
        </w:numPr>
        <w:spacing w:after="120"/>
        <w:ind w:left="924" w:hanging="357"/>
        <w:rPr>
          <w:sz w:val="20"/>
        </w:rPr>
      </w:pPr>
      <w:r w:rsidRPr="00EF01FB">
        <w:rPr>
          <w:sz w:val="20"/>
        </w:rPr>
        <w:t>Smlouva je sepsána ve dvou stejnopisech, z nichž po podepsání oběma smluvními stranami obdrží každá strana jeden stejnopis.</w:t>
      </w:r>
    </w:p>
    <w:p w14:paraId="0E178DC4" w14:textId="002D288D" w:rsidR="00EF01FB" w:rsidRPr="00EF01FB" w:rsidRDefault="00EF01FB" w:rsidP="005F5660">
      <w:pPr>
        <w:pStyle w:val="NormCislo"/>
        <w:numPr>
          <w:ilvl w:val="1"/>
          <w:numId w:val="3"/>
        </w:numPr>
        <w:spacing w:after="120"/>
        <w:ind w:left="924" w:hanging="357"/>
        <w:rPr>
          <w:sz w:val="20"/>
        </w:rPr>
      </w:pPr>
      <w:r w:rsidRPr="00EF01FB">
        <w:rPr>
          <w:sz w:val="20"/>
        </w:rPr>
        <w:t xml:space="preserve">Smlouva je </w:t>
      </w:r>
      <w:r w:rsidR="00721921">
        <w:rPr>
          <w:sz w:val="20"/>
        </w:rPr>
        <w:t xml:space="preserve">uzavřena na dobu </w:t>
      </w:r>
      <w:r w:rsidR="00EF6967">
        <w:rPr>
          <w:sz w:val="20"/>
        </w:rPr>
        <w:t xml:space="preserve">určitou, do certifikace Energetického managementu dle </w:t>
      </w:r>
      <w:r w:rsidR="00EF6967">
        <w:rPr>
          <w:sz w:val="20"/>
        </w:rPr>
        <w:br/>
        <w:t>ČSN EN ISO 50001</w:t>
      </w:r>
      <w:r w:rsidR="00721921">
        <w:rPr>
          <w:sz w:val="20"/>
        </w:rPr>
        <w:t xml:space="preserve"> </w:t>
      </w:r>
      <w:r w:rsidR="00C1057F">
        <w:rPr>
          <w:sz w:val="20"/>
        </w:rPr>
        <w:t xml:space="preserve">a </w:t>
      </w:r>
      <w:r w:rsidR="00EF6967">
        <w:rPr>
          <w:sz w:val="20"/>
        </w:rPr>
        <w:t xml:space="preserve">je </w:t>
      </w:r>
      <w:r w:rsidRPr="00EF01FB">
        <w:rPr>
          <w:sz w:val="20"/>
        </w:rPr>
        <w:t>platná dnem podpisu</w:t>
      </w:r>
      <w:r w:rsidR="00721921">
        <w:rPr>
          <w:sz w:val="20"/>
        </w:rPr>
        <w:t>.</w:t>
      </w:r>
    </w:p>
    <w:p w14:paraId="49E46B6A" w14:textId="77777777" w:rsidR="00EF01FB" w:rsidRDefault="00EF01FB" w:rsidP="005F5660">
      <w:pPr>
        <w:pStyle w:val="NormCislo"/>
        <w:numPr>
          <w:ilvl w:val="1"/>
          <w:numId w:val="3"/>
        </w:numPr>
        <w:spacing w:after="120"/>
        <w:ind w:left="924" w:hanging="357"/>
        <w:rPr>
          <w:sz w:val="20"/>
        </w:rPr>
      </w:pPr>
      <w:r w:rsidRPr="00EF01FB">
        <w:rPr>
          <w:sz w:val="20"/>
        </w:rPr>
        <w:t xml:space="preserve">Výpověď smlouvy je možná dohodou nebo výpovědí. </w:t>
      </w:r>
    </w:p>
    <w:p w14:paraId="4ABCDC2E" w14:textId="6EABA332" w:rsidR="00E1127A" w:rsidRPr="00EF01FB" w:rsidRDefault="00E1127A" w:rsidP="005F5660">
      <w:pPr>
        <w:pStyle w:val="NormCislo"/>
        <w:numPr>
          <w:ilvl w:val="1"/>
          <w:numId w:val="3"/>
        </w:numPr>
        <w:spacing w:after="120"/>
        <w:ind w:left="924" w:hanging="357"/>
        <w:rPr>
          <w:sz w:val="20"/>
        </w:rPr>
      </w:pPr>
      <w:r>
        <w:rPr>
          <w:sz w:val="20"/>
        </w:rPr>
        <w:t>Objednatel se zavazuje</w:t>
      </w:r>
      <w:r w:rsidR="00C1057F">
        <w:rPr>
          <w:sz w:val="20"/>
        </w:rPr>
        <w:t>,</w:t>
      </w:r>
      <w:r>
        <w:rPr>
          <w:sz w:val="20"/>
        </w:rPr>
        <w:t xml:space="preserve"> že uveřejní tuto smlouvu v</w:t>
      </w:r>
      <w:r w:rsidR="00C1057F">
        <w:rPr>
          <w:sz w:val="20"/>
        </w:rPr>
        <w:t> povinném Registru smluv v legislativou požadovaném termínu.</w:t>
      </w:r>
      <w:r>
        <w:rPr>
          <w:sz w:val="20"/>
        </w:rPr>
        <w:t xml:space="preserve"> </w:t>
      </w:r>
    </w:p>
    <w:p w14:paraId="408E2C5F" w14:textId="29492084" w:rsidR="00EF01FB" w:rsidRDefault="00EF01FB" w:rsidP="007C72EE">
      <w:pPr>
        <w:pStyle w:val="NormCislo"/>
      </w:pPr>
    </w:p>
    <w:p w14:paraId="42F0D2DB" w14:textId="4F48474B" w:rsidR="003C55D4" w:rsidRDefault="003C55D4" w:rsidP="007C72EE">
      <w:pPr>
        <w:pStyle w:val="NormCislo"/>
      </w:pPr>
    </w:p>
    <w:p w14:paraId="22E3DF2A" w14:textId="77777777" w:rsidR="00FC7CBF" w:rsidRDefault="00FC7CBF" w:rsidP="007C72EE">
      <w:pPr>
        <w:pStyle w:val="NormCislo"/>
      </w:pPr>
    </w:p>
    <w:p w14:paraId="7A62DF80" w14:textId="36C8C55D" w:rsidR="00473FD7" w:rsidRPr="00C10C95" w:rsidRDefault="00E10199" w:rsidP="007C72EE">
      <w:pPr>
        <w:pStyle w:val="NormCislo"/>
        <w:rPr>
          <w:sz w:val="20"/>
        </w:rPr>
      </w:pPr>
      <w:r w:rsidRPr="00C10C95">
        <w:rPr>
          <w:sz w:val="20"/>
        </w:rPr>
        <w:t>V</w:t>
      </w:r>
      <w:r w:rsidR="00CF75DF">
        <w:rPr>
          <w:sz w:val="20"/>
        </w:rPr>
        <w:t> </w:t>
      </w:r>
      <w:r w:rsidR="009439A8">
        <w:rPr>
          <w:sz w:val="20"/>
        </w:rPr>
        <w:t>Kadani</w:t>
      </w:r>
      <w:r w:rsidR="00473FD7" w:rsidRPr="00C10C95">
        <w:rPr>
          <w:sz w:val="20"/>
        </w:rPr>
        <w:t xml:space="preserve"> dne</w:t>
      </w:r>
      <w:r w:rsidR="00B22925">
        <w:rPr>
          <w:sz w:val="20"/>
        </w:rPr>
        <w:t xml:space="preserve"> </w:t>
      </w:r>
      <w:r w:rsidR="00FC7CBF">
        <w:rPr>
          <w:sz w:val="20"/>
        </w:rPr>
        <w:t>2</w:t>
      </w:r>
      <w:r w:rsidR="003C55D4">
        <w:rPr>
          <w:sz w:val="20"/>
        </w:rPr>
        <w:t>.11.2020</w:t>
      </w:r>
      <w:r w:rsidR="00C10C95">
        <w:rPr>
          <w:sz w:val="20"/>
        </w:rPr>
        <w:tab/>
      </w:r>
      <w:r w:rsidR="00F132B1">
        <w:rPr>
          <w:sz w:val="20"/>
        </w:rPr>
        <w:tab/>
      </w:r>
      <w:r w:rsidR="00C10C95">
        <w:rPr>
          <w:sz w:val="20"/>
        </w:rPr>
        <w:tab/>
      </w:r>
      <w:r w:rsidR="00C10C95">
        <w:rPr>
          <w:sz w:val="20"/>
        </w:rPr>
        <w:tab/>
      </w:r>
      <w:r w:rsidR="003C55D4">
        <w:rPr>
          <w:sz w:val="20"/>
        </w:rPr>
        <w:tab/>
      </w:r>
      <w:r w:rsidR="003C55D4">
        <w:rPr>
          <w:sz w:val="20"/>
        </w:rPr>
        <w:tab/>
      </w:r>
    </w:p>
    <w:p w14:paraId="3E253A9F" w14:textId="77777777" w:rsidR="00FE355D" w:rsidRPr="00BA32DA" w:rsidRDefault="00FE355D" w:rsidP="007C72EE">
      <w:pPr>
        <w:pStyle w:val="NormCislo"/>
      </w:pPr>
    </w:p>
    <w:p w14:paraId="3546A8D3" w14:textId="3A140575" w:rsidR="00A0631B" w:rsidRDefault="00A0631B" w:rsidP="007C72EE">
      <w:pPr>
        <w:pStyle w:val="NormCislo"/>
      </w:pPr>
    </w:p>
    <w:p w14:paraId="2D221AD8" w14:textId="2BD60249" w:rsidR="00EF01FB" w:rsidRDefault="00EF01FB" w:rsidP="007C72EE">
      <w:pPr>
        <w:pStyle w:val="NormCislo"/>
      </w:pPr>
    </w:p>
    <w:p w14:paraId="4C22857B" w14:textId="6367AD27" w:rsidR="003C55D4" w:rsidRDefault="003C55D4" w:rsidP="007C72EE">
      <w:pPr>
        <w:pStyle w:val="NormCislo"/>
      </w:pPr>
    </w:p>
    <w:p w14:paraId="1B6A9979" w14:textId="77777777" w:rsidR="003C55D4" w:rsidRPr="00BA32DA" w:rsidRDefault="003C55D4" w:rsidP="007C72EE">
      <w:pPr>
        <w:pStyle w:val="NormCislo"/>
      </w:pPr>
    </w:p>
    <w:p w14:paraId="72C76FEE" w14:textId="77777777" w:rsidR="00A0631B" w:rsidRPr="00BA32DA" w:rsidRDefault="00A0631B" w:rsidP="007C72EE">
      <w:pPr>
        <w:pStyle w:val="NormCislo"/>
      </w:pPr>
    </w:p>
    <w:p w14:paraId="681DF006" w14:textId="5CFF3A20" w:rsidR="00473FD7" w:rsidRPr="00BA32DA" w:rsidRDefault="00B91EC5" w:rsidP="007C72EE">
      <w:pPr>
        <w:pStyle w:val="Zkladntext3"/>
      </w:pPr>
      <w:r w:rsidRPr="00BA32DA">
        <w:t>.....................................................</w:t>
      </w:r>
      <w:r w:rsidR="00145735">
        <w:t>..................</w:t>
      </w:r>
      <w:r w:rsidRPr="00BA32DA">
        <w:tab/>
      </w:r>
      <w:r w:rsidRPr="00BA32DA">
        <w:tab/>
      </w:r>
      <w:r w:rsidRPr="00BA32DA">
        <w:tab/>
      </w:r>
      <w:r w:rsidRPr="00BA32DA">
        <w:tab/>
      </w:r>
      <w:r w:rsidR="00145735" w:rsidRPr="00BA32DA">
        <w:t>.....................................................</w:t>
      </w:r>
      <w:r w:rsidR="00145735">
        <w:t>..................</w:t>
      </w:r>
      <w:r w:rsidR="00F132B1">
        <w:t>....</w:t>
      </w:r>
    </w:p>
    <w:p w14:paraId="5F8E0C0A" w14:textId="77777777" w:rsidR="00AD31F9" w:rsidRPr="00EF01FB" w:rsidRDefault="00A0631B" w:rsidP="00145735">
      <w:pPr>
        <w:ind w:firstLine="709"/>
        <w:rPr>
          <w:b/>
          <w:bCs/>
        </w:rPr>
      </w:pPr>
      <w:r w:rsidRPr="00EF01FB">
        <w:rPr>
          <w:b/>
          <w:bCs/>
        </w:rPr>
        <w:t xml:space="preserve">za </w:t>
      </w:r>
      <w:r w:rsidR="00CE289D" w:rsidRPr="00EF01FB">
        <w:rPr>
          <w:b/>
          <w:bCs/>
        </w:rPr>
        <w:t>Objednatel</w:t>
      </w:r>
      <w:r w:rsidR="00473FD7" w:rsidRPr="00EF01FB">
        <w:rPr>
          <w:b/>
          <w:bCs/>
        </w:rPr>
        <w:t>e:</w:t>
      </w:r>
      <w:r w:rsidR="00473FD7" w:rsidRPr="00EF01FB">
        <w:rPr>
          <w:b/>
          <w:bCs/>
        </w:rPr>
        <w:tab/>
      </w:r>
      <w:r w:rsidR="00473FD7" w:rsidRPr="00EF01FB">
        <w:rPr>
          <w:b/>
          <w:bCs/>
        </w:rPr>
        <w:tab/>
      </w:r>
      <w:r w:rsidR="00473FD7" w:rsidRPr="00EF01FB">
        <w:rPr>
          <w:b/>
          <w:bCs/>
        </w:rPr>
        <w:tab/>
      </w:r>
      <w:r w:rsidR="00473FD7" w:rsidRPr="00EF01FB">
        <w:rPr>
          <w:b/>
          <w:bCs/>
        </w:rPr>
        <w:tab/>
      </w:r>
      <w:r w:rsidR="00AD31F9" w:rsidRPr="00EF01FB">
        <w:rPr>
          <w:b/>
          <w:bCs/>
        </w:rPr>
        <w:tab/>
      </w:r>
      <w:r w:rsidR="00AD31F9" w:rsidRPr="00EF01FB">
        <w:rPr>
          <w:b/>
          <w:bCs/>
        </w:rPr>
        <w:tab/>
      </w:r>
      <w:r w:rsidR="00002BB4" w:rsidRPr="00EF01FB">
        <w:rPr>
          <w:b/>
          <w:bCs/>
        </w:rPr>
        <w:tab/>
      </w:r>
      <w:r w:rsidRPr="00EF01FB">
        <w:rPr>
          <w:b/>
          <w:bCs/>
        </w:rPr>
        <w:t xml:space="preserve">za </w:t>
      </w:r>
      <w:r w:rsidR="00434D8C" w:rsidRPr="00EF01FB">
        <w:rPr>
          <w:b/>
          <w:bCs/>
        </w:rPr>
        <w:t>Dodavatel</w:t>
      </w:r>
      <w:r w:rsidR="001922D5" w:rsidRPr="00EF01FB">
        <w:rPr>
          <w:b/>
          <w:bCs/>
        </w:rPr>
        <w:t>e</w:t>
      </w:r>
      <w:r w:rsidR="006E3F06" w:rsidRPr="00EF01FB">
        <w:rPr>
          <w:b/>
          <w:bCs/>
        </w:rPr>
        <w:t>:</w:t>
      </w:r>
      <w:r w:rsidRPr="00EF01FB">
        <w:rPr>
          <w:b/>
          <w:bCs/>
        </w:rPr>
        <w:t xml:space="preserve">                  </w:t>
      </w:r>
    </w:p>
    <w:p w14:paraId="32055EEF" w14:textId="77777777" w:rsidR="00EF01FB" w:rsidRDefault="00EF01FB" w:rsidP="00145735">
      <w:pPr>
        <w:ind w:firstLine="709"/>
      </w:pPr>
    </w:p>
    <w:p w14:paraId="6770D11E" w14:textId="106C9E66" w:rsidR="00473FD7" w:rsidRPr="00BA32DA" w:rsidRDefault="009439A8" w:rsidP="00145735">
      <w:pPr>
        <w:ind w:firstLine="709"/>
      </w:pPr>
      <w:r>
        <w:t>Dušan Kučera</w:t>
      </w:r>
      <w:r w:rsidR="00AD0302">
        <w:t xml:space="preserve">   </w:t>
      </w:r>
      <w:r w:rsidR="00F5794C">
        <w:tab/>
      </w:r>
      <w:r w:rsidR="00E02148">
        <w:tab/>
      </w:r>
      <w:r w:rsidR="00AD31F9" w:rsidRPr="00BA32DA">
        <w:tab/>
      </w:r>
      <w:r w:rsidR="00AD31F9" w:rsidRPr="00BA32DA">
        <w:tab/>
      </w:r>
      <w:r w:rsidR="00E02148">
        <w:t xml:space="preserve"> </w:t>
      </w:r>
      <w:r w:rsidR="00AD31F9" w:rsidRPr="00BA32DA">
        <w:tab/>
      </w:r>
      <w:r w:rsidR="00D57B0F">
        <w:tab/>
      </w:r>
      <w:r w:rsidR="00D57B0F">
        <w:tab/>
      </w:r>
      <w:r w:rsidR="00E10199">
        <w:t>Ing. Stanislav Koukol</w:t>
      </w:r>
    </w:p>
    <w:p w14:paraId="0702171D" w14:textId="6B194695" w:rsidR="003C55D4" w:rsidRDefault="009439A8" w:rsidP="00145735">
      <w:pPr>
        <w:ind w:firstLine="709"/>
      </w:pPr>
      <w:r>
        <w:t>jednatel</w:t>
      </w:r>
      <w:r w:rsidR="00176291" w:rsidRPr="00BA32DA">
        <w:t xml:space="preserve"> společnosti</w:t>
      </w:r>
      <w:r w:rsidR="003C55D4" w:rsidRPr="003C55D4">
        <w:t xml:space="preserve"> </w:t>
      </w:r>
      <w:r w:rsidR="003C55D4">
        <w:tab/>
      </w:r>
      <w:r w:rsidR="003C55D4">
        <w:tab/>
      </w:r>
      <w:r w:rsidR="003C55D4">
        <w:tab/>
      </w:r>
      <w:r w:rsidR="003C55D4">
        <w:tab/>
      </w:r>
      <w:r w:rsidR="003C55D4">
        <w:tab/>
      </w:r>
      <w:r w:rsidR="003C55D4">
        <w:tab/>
      </w:r>
      <w:r w:rsidR="003C55D4" w:rsidRPr="00BA32DA">
        <w:t>jednatel společnosti</w:t>
      </w:r>
    </w:p>
    <w:p w14:paraId="6E1364E8" w14:textId="51C10EBD" w:rsidR="00B91EC5" w:rsidRDefault="003C55D4" w:rsidP="00145735">
      <w:pPr>
        <w:ind w:firstLine="709"/>
      </w:pPr>
      <w:r>
        <w:t>Tepelné hospodářství Kadaň, s.r.o.</w:t>
      </w:r>
      <w:r w:rsidR="00091381" w:rsidRPr="00BA32DA">
        <w:tab/>
      </w:r>
      <w:r w:rsidR="00091381" w:rsidRPr="00BA32DA">
        <w:tab/>
      </w:r>
      <w:r w:rsidR="00C10C95">
        <w:tab/>
      </w:r>
      <w:r w:rsidR="00C10C95">
        <w:tab/>
      </w:r>
      <w:r w:rsidR="00C10C95">
        <w:tab/>
      </w:r>
      <w:r>
        <w:t>GrexEnergia s.r.o.</w:t>
      </w:r>
      <w:r w:rsidR="00C10C95">
        <w:tab/>
      </w:r>
    </w:p>
    <w:p w14:paraId="7912FF87" w14:textId="77777777" w:rsidR="00E10199" w:rsidRPr="00BA32DA" w:rsidRDefault="00E10199" w:rsidP="007C72EE"/>
    <w:sectPr w:rsidR="00E10199" w:rsidRPr="00BA32DA" w:rsidSect="00BC621F">
      <w:footerReference w:type="default" r:id="rId11"/>
      <w:pgSz w:w="11906" w:h="16838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EAD10" w14:textId="77777777" w:rsidR="001606AF" w:rsidRDefault="001606AF" w:rsidP="007C72EE">
      <w:r>
        <w:separator/>
      </w:r>
    </w:p>
  </w:endnote>
  <w:endnote w:type="continuationSeparator" w:id="0">
    <w:p w14:paraId="64DE9CB2" w14:textId="77777777" w:rsidR="001606AF" w:rsidRDefault="001606AF" w:rsidP="007C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2D24C" w14:textId="23D4BBAD" w:rsidR="005A6F10" w:rsidRDefault="00405F18" w:rsidP="007C72EE">
    <w:pPr>
      <w:pStyle w:val="Zpat"/>
    </w:pPr>
    <w:r>
      <w:t>20</w:t>
    </w:r>
    <w:r w:rsidR="00957679">
      <w:t>SMP00</w:t>
    </w:r>
    <w:r>
      <w:t>3</w:t>
    </w:r>
    <w:r w:rsidR="005A6F10">
      <w:tab/>
    </w:r>
    <w:r w:rsidR="005A6F10">
      <w:tab/>
    </w:r>
    <w:r w:rsidR="005A6F10">
      <w:rPr>
        <w:rStyle w:val="slostrnky"/>
      </w:rPr>
      <w:fldChar w:fldCharType="begin"/>
    </w:r>
    <w:r w:rsidR="005A6F10">
      <w:rPr>
        <w:rStyle w:val="slostrnky"/>
      </w:rPr>
      <w:instrText xml:space="preserve"> PAGE </w:instrText>
    </w:r>
    <w:r w:rsidR="005A6F10">
      <w:rPr>
        <w:rStyle w:val="slostrnky"/>
      </w:rPr>
      <w:fldChar w:fldCharType="separate"/>
    </w:r>
    <w:r w:rsidR="00B73BBE">
      <w:rPr>
        <w:rStyle w:val="slostrnky"/>
        <w:noProof/>
      </w:rPr>
      <w:t>1</w:t>
    </w:r>
    <w:r w:rsidR="005A6F1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E76C0" w14:textId="77777777" w:rsidR="001606AF" w:rsidRDefault="001606AF" w:rsidP="007C72EE">
      <w:r>
        <w:separator/>
      </w:r>
    </w:p>
  </w:footnote>
  <w:footnote w:type="continuationSeparator" w:id="0">
    <w:p w14:paraId="2D5993DC" w14:textId="77777777" w:rsidR="001606AF" w:rsidRDefault="001606AF" w:rsidP="007C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219A796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982483"/>
    <w:multiLevelType w:val="hybridMultilevel"/>
    <w:tmpl w:val="F6584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3BE0"/>
    <w:multiLevelType w:val="multilevel"/>
    <w:tmpl w:val="86D4D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9D50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8730FF"/>
    <w:multiLevelType w:val="singleLevel"/>
    <w:tmpl w:val="CE063A8A"/>
    <w:lvl w:ilvl="0">
      <w:start w:val="1"/>
      <w:numFmt w:val="bullet"/>
      <w:pStyle w:val="odrky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BA33676"/>
    <w:multiLevelType w:val="hybridMultilevel"/>
    <w:tmpl w:val="F6584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2298"/>
    <w:multiLevelType w:val="hybridMultilevel"/>
    <w:tmpl w:val="2CB0CD06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DFC8BAB0">
      <w:numFmt w:val="bullet"/>
      <w:lvlText w:val="•"/>
      <w:lvlJc w:val="left"/>
      <w:pPr>
        <w:ind w:left="2493" w:hanging="705"/>
      </w:pPr>
      <w:rPr>
        <w:rFonts w:ascii="Calibri" w:eastAsiaTheme="minorEastAsia" w:hAnsi="Calibri" w:cs="Calibri" w:hint="default"/>
        <w:color w:val="595959" w:themeColor="text1" w:themeTint="A6"/>
        <w:sz w:val="24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F82A69"/>
    <w:multiLevelType w:val="hybridMultilevel"/>
    <w:tmpl w:val="9DA68410"/>
    <w:lvl w:ilvl="0" w:tplc="DA20AFD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D4182C"/>
    <w:multiLevelType w:val="multilevel"/>
    <w:tmpl w:val="86D4D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B62792"/>
    <w:multiLevelType w:val="multilevel"/>
    <w:tmpl w:val="C73A92BA"/>
    <w:lvl w:ilvl="0">
      <w:start w:val="1"/>
      <w:numFmt w:val="upperRoman"/>
      <w:pStyle w:val="Nadpis2"/>
      <w:lvlText w:val="%1."/>
      <w:lvlJc w:val="right"/>
      <w:pPr>
        <w:ind w:left="578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F74"/>
    <w:rsid w:val="00002BB4"/>
    <w:rsid w:val="0001629F"/>
    <w:rsid w:val="0002490E"/>
    <w:rsid w:val="00031C9F"/>
    <w:rsid w:val="00044CBB"/>
    <w:rsid w:val="000625A2"/>
    <w:rsid w:val="00066EB9"/>
    <w:rsid w:val="00072C91"/>
    <w:rsid w:val="00075F8B"/>
    <w:rsid w:val="000832D5"/>
    <w:rsid w:val="00091381"/>
    <w:rsid w:val="00094A2F"/>
    <w:rsid w:val="00094C96"/>
    <w:rsid w:val="00095D0D"/>
    <w:rsid w:val="000B680F"/>
    <w:rsid w:val="000C3C91"/>
    <w:rsid w:val="000D1982"/>
    <w:rsid w:val="000D51D7"/>
    <w:rsid w:val="000E3FE3"/>
    <w:rsid w:val="000E4EF7"/>
    <w:rsid w:val="000E53F2"/>
    <w:rsid w:val="000F0810"/>
    <w:rsid w:val="00114EF0"/>
    <w:rsid w:val="00116ED2"/>
    <w:rsid w:val="001240B0"/>
    <w:rsid w:val="00125552"/>
    <w:rsid w:val="00145735"/>
    <w:rsid w:val="00152D59"/>
    <w:rsid w:val="001533A9"/>
    <w:rsid w:val="001606AF"/>
    <w:rsid w:val="001627AF"/>
    <w:rsid w:val="00165250"/>
    <w:rsid w:val="00172C7E"/>
    <w:rsid w:val="00172D56"/>
    <w:rsid w:val="00176291"/>
    <w:rsid w:val="001922D5"/>
    <w:rsid w:val="00193A0C"/>
    <w:rsid w:val="001A240E"/>
    <w:rsid w:val="001B0280"/>
    <w:rsid w:val="001B060D"/>
    <w:rsid w:val="001B1EF8"/>
    <w:rsid w:val="001B4C1E"/>
    <w:rsid w:val="001C4F07"/>
    <w:rsid w:val="001C642D"/>
    <w:rsid w:val="001C6F22"/>
    <w:rsid w:val="001D218B"/>
    <w:rsid w:val="001D7D49"/>
    <w:rsid w:val="002143EB"/>
    <w:rsid w:val="00227725"/>
    <w:rsid w:val="0023126E"/>
    <w:rsid w:val="0023482E"/>
    <w:rsid w:val="00235579"/>
    <w:rsid w:val="0024100A"/>
    <w:rsid w:val="00246071"/>
    <w:rsid w:val="00247A5C"/>
    <w:rsid w:val="0027659C"/>
    <w:rsid w:val="00280246"/>
    <w:rsid w:val="00280C68"/>
    <w:rsid w:val="0028227F"/>
    <w:rsid w:val="00284589"/>
    <w:rsid w:val="002A53B2"/>
    <w:rsid w:val="002A5405"/>
    <w:rsid w:val="002A6CEC"/>
    <w:rsid w:val="002B0E15"/>
    <w:rsid w:val="002B6845"/>
    <w:rsid w:val="002C44B6"/>
    <w:rsid w:val="002F2808"/>
    <w:rsid w:val="002F55F2"/>
    <w:rsid w:val="002F66D2"/>
    <w:rsid w:val="00325D20"/>
    <w:rsid w:val="003270AE"/>
    <w:rsid w:val="00331820"/>
    <w:rsid w:val="00332979"/>
    <w:rsid w:val="00332BCE"/>
    <w:rsid w:val="00340964"/>
    <w:rsid w:val="00343083"/>
    <w:rsid w:val="00350F67"/>
    <w:rsid w:val="003513D2"/>
    <w:rsid w:val="003562B4"/>
    <w:rsid w:val="003563B7"/>
    <w:rsid w:val="00362CA7"/>
    <w:rsid w:val="003658EE"/>
    <w:rsid w:val="003705C1"/>
    <w:rsid w:val="0039074A"/>
    <w:rsid w:val="00392198"/>
    <w:rsid w:val="0039345B"/>
    <w:rsid w:val="0039423F"/>
    <w:rsid w:val="003A4ED1"/>
    <w:rsid w:val="003B0276"/>
    <w:rsid w:val="003B66C6"/>
    <w:rsid w:val="003B79CC"/>
    <w:rsid w:val="003C0C1E"/>
    <w:rsid w:val="003C1BF4"/>
    <w:rsid w:val="003C2EDD"/>
    <w:rsid w:val="003C3942"/>
    <w:rsid w:val="003C4DAD"/>
    <w:rsid w:val="003C55D4"/>
    <w:rsid w:val="003D1A17"/>
    <w:rsid w:val="003E123E"/>
    <w:rsid w:val="003E3F62"/>
    <w:rsid w:val="003E7CB6"/>
    <w:rsid w:val="003F0F6D"/>
    <w:rsid w:val="003F5D1C"/>
    <w:rsid w:val="00405F18"/>
    <w:rsid w:val="00416F1F"/>
    <w:rsid w:val="00422939"/>
    <w:rsid w:val="00422F22"/>
    <w:rsid w:val="00431C65"/>
    <w:rsid w:val="00434D8C"/>
    <w:rsid w:val="004404FF"/>
    <w:rsid w:val="00445D87"/>
    <w:rsid w:val="0046702D"/>
    <w:rsid w:val="00467E3D"/>
    <w:rsid w:val="004728A3"/>
    <w:rsid w:val="00473FD0"/>
    <w:rsid w:val="00473FD7"/>
    <w:rsid w:val="00475AEF"/>
    <w:rsid w:val="00480A67"/>
    <w:rsid w:val="0048684A"/>
    <w:rsid w:val="004C135F"/>
    <w:rsid w:val="004C2B75"/>
    <w:rsid w:val="004F02E6"/>
    <w:rsid w:val="004F6DD0"/>
    <w:rsid w:val="00527707"/>
    <w:rsid w:val="0053302B"/>
    <w:rsid w:val="00535FD3"/>
    <w:rsid w:val="005378E8"/>
    <w:rsid w:val="005425D5"/>
    <w:rsid w:val="00542DB3"/>
    <w:rsid w:val="00554F39"/>
    <w:rsid w:val="005701D9"/>
    <w:rsid w:val="0057233E"/>
    <w:rsid w:val="005819C4"/>
    <w:rsid w:val="00591CEA"/>
    <w:rsid w:val="005A0B03"/>
    <w:rsid w:val="005A6F10"/>
    <w:rsid w:val="005C07E9"/>
    <w:rsid w:val="005C1192"/>
    <w:rsid w:val="005C20E1"/>
    <w:rsid w:val="005C3CAB"/>
    <w:rsid w:val="005C7433"/>
    <w:rsid w:val="005C7E37"/>
    <w:rsid w:val="005D59AE"/>
    <w:rsid w:val="005E5752"/>
    <w:rsid w:val="005E6202"/>
    <w:rsid w:val="005F5660"/>
    <w:rsid w:val="0060799A"/>
    <w:rsid w:val="00616314"/>
    <w:rsid w:val="006218D1"/>
    <w:rsid w:val="00622296"/>
    <w:rsid w:val="0063091A"/>
    <w:rsid w:val="00635604"/>
    <w:rsid w:val="0064280C"/>
    <w:rsid w:val="00643B49"/>
    <w:rsid w:val="00667B72"/>
    <w:rsid w:val="00670E51"/>
    <w:rsid w:val="006766AF"/>
    <w:rsid w:val="006859C4"/>
    <w:rsid w:val="0069191C"/>
    <w:rsid w:val="00693163"/>
    <w:rsid w:val="00695512"/>
    <w:rsid w:val="006968D7"/>
    <w:rsid w:val="006A06F4"/>
    <w:rsid w:val="006A2E6A"/>
    <w:rsid w:val="006C6454"/>
    <w:rsid w:val="006E11E4"/>
    <w:rsid w:val="006E3F06"/>
    <w:rsid w:val="00715E89"/>
    <w:rsid w:val="00721921"/>
    <w:rsid w:val="00724DE2"/>
    <w:rsid w:val="00727498"/>
    <w:rsid w:val="00730ED3"/>
    <w:rsid w:val="007341B8"/>
    <w:rsid w:val="00735953"/>
    <w:rsid w:val="00736349"/>
    <w:rsid w:val="00743E6F"/>
    <w:rsid w:val="00754724"/>
    <w:rsid w:val="0076460D"/>
    <w:rsid w:val="007674AC"/>
    <w:rsid w:val="007712BA"/>
    <w:rsid w:val="0077541B"/>
    <w:rsid w:val="007B15AA"/>
    <w:rsid w:val="007B22FE"/>
    <w:rsid w:val="007B7C3D"/>
    <w:rsid w:val="007C72EE"/>
    <w:rsid w:val="007D1623"/>
    <w:rsid w:val="007F5CC0"/>
    <w:rsid w:val="0080442E"/>
    <w:rsid w:val="00806673"/>
    <w:rsid w:val="00810C7F"/>
    <w:rsid w:val="00821635"/>
    <w:rsid w:val="0082305F"/>
    <w:rsid w:val="00832DEE"/>
    <w:rsid w:val="008459B7"/>
    <w:rsid w:val="00850844"/>
    <w:rsid w:val="008564C2"/>
    <w:rsid w:val="00874F40"/>
    <w:rsid w:val="008A5608"/>
    <w:rsid w:val="008A65E1"/>
    <w:rsid w:val="008C0782"/>
    <w:rsid w:val="008D1DDA"/>
    <w:rsid w:val="008F1817"/>
    <w:rsid w:val="008F349B"/>
    <w:rsid w:val="00902189"/>
    <w:rsid w:val="00905F15"/>
    <w:rsid w:val="009268EC"/>
    <w:rsid w:val="00932C76"/>
    <w:rsid w:val="00941568"/>
    <w:rsid w:val="009419AF"/>
    <w:rsid w:val="009439A8"/>
    <w:rsid w:val="0094578F"/>
    <w:rsid w:val="00954921"/>
    <w:rsid w:val="009564A3"/>
    <w:rsid w:val="00956786"/>
    <w:rsid w:val="00957679"/>
    <w:rsid w:val="00962CE7"/>
    <w:rsid w:val="00965F96"/>
    <w:rsid w:val="0099010D"/>
    <w:rsid w:val="009A7912"/>
    <w:rsid w:val="009B3F10"/>
    <w:rsid w:val="009B7629"/>
    <w:rsid w:val="009B78FD"/>
    <w:rsid w:val="009D4ED8"/>
    <w:rsid w:val="00A02605"/>
    <w:rsid w:val="00A0369F"/>
    <w:rsid w:val="00A0542A"/>
    <w:rsid w:val="00A0631B"/>
    <w:rsid w:val="00A11B32"/>
    <w:rsid w:val="00A300B4"/>
    <w:rsid w:val="00A34559"/>
    <w:rsid w:val="00A370AD"/>
    <w:rsid w:val="00A523F4"/>
    <w:rsid w:val="00A61E37"/>
    <w:rsid w:val="00A63FCB"/>
    <w:rsid w:val="00A75EF1"/>
    <w:rsid w:val="00A76E91"/>
    <w:rsid w:val="00A77E4D"/>
    <w:rsid w:val="00A81F4C"/>
    <w:rsid w:val="00A92DDA"/>
    <w:rsid w:val="00AA18C9"/>
    <w:rsid w:val="00AB6317"/>
    <w:rsid w:val="00AC4303"/>
    <w:rsid w:val="00AD0302"/>
    <w:rsid w:val="00AD31F9"/>
    <w:rsid w:val="00AE7566"/>
    <w:rsid w:val="00AF47D9"/>
    <w:rsid w:val="00B01A52"/>
    <w:rsid w:val="00B22925"/>
    <w:rsid w:val="00B2614A"/>
    <w:rsid w:val="00B4108D"/>
    <w:rsid w:val="00B41977"/>
    <w:rsid w:val="00B41E06"/>
    <w:rsid w:val="00B45A8A"/>
    <w:rsid w:val="00B535FB"/>
    <w:rsid w:val="00B54131"/>
    <w:rsid w:val="00B5566D"/>
    <w:rsid w:val="00B66BDB"/>
    <w:rsid w:val="00B718FA"/>
    <w:rsid w:val="00B73BBE"/>
    <w:rsid w:val="00B87C05"/>
    <w:rsid w:val="00B91EC5"/>
    <w:rsid w:val="00B97243"/>
    <w:rsid w:val="00BA300C"/>
    <w:rsid w:val="00BA32DA"/>
    <w:rsid w:val="00BB2B2B"/>
    <w:rsid w:val="00BC578C"/>
    <w:rsid w:val="00BC621F"/>
    <w:rsid w:val="00BD0D39"/>
    <w:rsid w:val="00BE7560"/>
    <w:rsid w:val="00BF03C3"/>
    <w:rsid w:val="00BF1178"/>
    <w:rsid w:val="00BF4494"/>
    <w:rsid w:val="00BF5B36"/>
    <w:rsid w:val="00C03C2A"/>
    <w:rsid w:val="00C0703E"/>
    <w:rsid w:val="00C1057F"/>
    <w:rsid w:val="00C10BBB"/>
    <w:rsid w:val="00C10C95"/>
    <w:rsid w:val="00C223B5"/>
    <w:rsid w:val="00C25249"/>
    <w:rsid w:val="00C26233"/>
    <w:rsid w:val="00C30F26"/>
    <w:rsid w:val="00C560AC"/>
    <w:rsid w:val="00C5667E"/>
    <w:rsid w:val="00C57502"/>
    <w:rsid w:val="00C604A2"/>
    <w:rsid w:val="00C74DB0"/>
    <w:rsid w:val="00C81ACE"/>
    <w:rsid w:val="00C83B4B"/>
    <w:rsid w:val="00C8594D"/>
    <w:rsid w:val="00CB1B63"/>
    <w:rsid w:val="00CC5E1C"/>
    <w:rsid w:val="00CD54AD"/>
    <w:rsid w:val="00CE02D2"/>
    <w:rsid w:val="00CE1F73"/>
    <w:rsid w:val="00CE289D"/>
    <w:rsid w:val="00CF75DF"/>
    <w:rsid w:val="00D00BF4"/>
    <w:rsid w:val="00D0614A"/>
    <w:rsid w:val="00D1162E"/>
    <w:rsid w:val="00D25513"/>
    <w:rsid w:val="00D41687"/>
    <w:rsid w:val="00D41896"/>
    <w:rsid w:val="00D4740B"/>
    <w:rsid w:val="00D57B0F"/>
    <w:rsid w:val="00D65D2B"/>
    <w:rsid w:val="00D67E0D"/>
    <w:rsid w:val="00D86E46"/>
    <w:rsid w:val="00D87372"/>
    <w:rsid w:val="00DB5E9F"/>
    <w:rsid w:val="00DB63DB"/>
    <w:rsid w:val="00DB6DD7"/>
    <w:rsid w:val="00DE1240"/>
    <w:rsid w:val="00DF3005"/>
    <w:rsid w:val="00DF5EE2"/>
    <w:rsid w:val="00DF62C1"/>
    <w:rsid w:val="00E01A79"/>
    <w:rsid w:val="00E02148"/>
    <w:rsid w:val="00E10014"/>
    <w:rsid w:val="00E10199"/>
    <w:rsid w:val="00E1127A"/>
    <w:rsid w:val="00E2277B"/>
    <w:rsid w:val="00E25CD2"/>
    <w:rsid w:val="00E30F74"/>
    <w:rsid w:val="00E411D3"/>
    <w:rsid w:val="00E44EF9"/>
    <w:rsid w:val="00E51899"/>
    <w:rsid w:val="00E537F7"/>
    <w:rsid w:val="00E54C72"/>
    <w:rsid w:val="00E5545E"/>
    <w:rsid w:val="00E60FEF"/>
    <w:rsid w:val="00E6272B"/>
    <w:rsid w:val="00E9344F"/>
    <w:rsid w:val="00EA34DC"/>
    <w:rsid w:val="00EB5898"/>
    <w:rsid w:val="00EB5A31"/>
    <w:rsid w:val="00EB7155"/>
    <w:rsid w:val="00EC33BB"/>
    <w:rsid w:val="00EC43C9"/>
    <w:rsid w:val="00EC7F9C"/>
    <w:rsid w:val="00EE1BFE"/>
    <w:rsid w:val="00EE7846"/>
    <w:rsid w:val="00EF01FB"/>
    <w:rsid w:val="00EF1BB9"/>
    <w:rsid w:val="00EF4875"/>
    <w:rsid w:val="00EF6967"/>
    <w:rsid w:val="00F028FD"/>
    <w:rsid w:val="00F0768D"/>
    <w:rsid w:val="00F132B1"/>
    <w:rsid w:val="00F148C3"/>
    <w:rsid w:val="00F3274F"/>
    <w:rsid w:val="00F430CA"/>
    <w:rsid w:val="00F52F10"/>
    <w:rsid w:val="00F566F5"/>
    <w:rsid w:val="00F5794C"/>
    <w:rsid w:val="00F6639D"/>
    <w:rsid w:val="00F663BF"/>
    <w:rsid w:val="00F73394"/>
    <w:rsid w:val="00F7582F"/>
    <w:rsid w:val="00F7774D"/>
    <w:rsid w:val="00F831AB"/>
    <w:rsid w:val="00F912D5"/>
    <w:rsid w:val="00FB09B1"/>
    <w:rsid w:val="00FB1F14"/>
    <w:rsid w:val="00FB5B65"/>
    <w:rsid w:val="00FC0D7A"/>
    <w:rsid w:val="00FC178A"/>
    <w:rsid w:val="00FC4121"/>
    <w:rsid w:val="00FC6128"/>
    <w:rsid w:val="00FC7258"/>
    <w:rsid w:val="00FC7CBF"/>
    <w:rsid w:val="00FE0241"/>
    <w:rsid w:val="00FE355D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C7D03"/>
  <w15:docId w15:val="{8A4C1A1D-830A-49F7-8D39-C2DFEC97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72EE"/>
    <w:rPr>
      <w:rFonts w:asciiTheme="minorHAnsi" w:eastAsia="Calibri" w:hAnsiTheme="minorHAnsi" w:cstheme="minorHAnsi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ind w:firstLine="709"/>
      <w:jc w:val="both"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BE7560"/>
    <w:pPr>
      <w:keepNext/>
      <w:numPr>
        <w:numId w:val="3"/>
      </w:numPr>
      <w:spacing w:before="360" w:after="360"/>
      <w:outlineLvl w:val="1"/>
    </w:pPr>
    <w:rPr>
      <w:rFonts w:ascii="Calibri" w:hAnsi="Calibri" w:cs="Calibri"/>
      <w:b/>
      <w:noProof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BC621F"/>
    <w:pPr>
      <w:tabs>
        <w:tab w:val="left" w:pos="2268"/>
      </w:tabs>
      <w:outlineLvl w:val="2"/>
    </w:pPr>
    <w:rPr>
      <w:rFonts w:ascii="Calibri" w:hAnsi="Calibri" w:cs="Calibri"/>
      <w:b/>
      <w:sz w:val="22"/>
      <w:szCs w:val="22"/>
      <w:u w:val="single"/>
    </w:rPr>
  </w:style>
  <w:style w:type="paragraph" w:styleId="Nadpis4">
    <w:name w:val="heading 4"/>
    <w:basedOn w:val="Normln"/>
    <w:next w:val="Normln"/>
    <w:qFormat/>
    <w:rsid w:val="00BC621F"/>
    <w:pPr>
      <w:tabs>
        <w:tab w:val="left" w:pos="2268"/>
      </w:tabs>
      <w:outlineLvl w:val="3"/>
    </w:pPr>
    <w:rPr>
      <w:rFonts w:ascii="Calibri" w:hAnsi="Calibri" w:cs="Calibri"/>
      <w:b/>
      <w:sz w:val="24"/>
      <w:szCs w:val="22"/>
    </w:rPr>
  </w:style>
  <w:style w:type="paragraph" w:styleId="Nadpis5">
    <w:name w:val="heading 5"/>
    <w:basedOn w:val="Normln"/>
    <w:next w:val="Normln"/>
    <w:qFormat/>
    <w:pPr>
      <w:keepNext/>
      <w:ind w:left="1416" w:firstLine="708"/>
      <w:outlineLvl w:val="4"/>
    </w:pPr>
    <w:rPr>
      <w:b/>
      <w:color w:val="000080"/>
      <w:sz w:val="36"/>
      <w:u w:val="single"/>
    </w:rPr>
  </w:style>
  <w:style w:type="paragraph" w:styleId="Nadpis7">
    <w:name w:val="heading 7"/>
    <w:basedOn w:val="Normln"/>
    <w:next w:val="Normln"/>
    <w:qFormat/>
    <w:rsid w:val="001A240E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Cislo">
    <w:name w:val="NormáCislo"/>
    <w:basedOn w:val="Normln"/>
    <w:pPr>
      <w:tabs>
        <w:tab w:val="left" w:pos="360"/>
      </w:tabs>
      <w:spacing w:before="120"/>
      <w:ind w:left="360" w:hanging="360"/>
      <w:jc w:val="both"/>
    </w:pPr>
    <w:rPr>
      <w:sz w:val="24"/>
    </w:rPr>
  </w:style>
  <w:style w:type="paragraph" w:customStyle="1" w:styleId="NormlOdr2">
    <w:name w:val="NormálOdr2"/>
    <w:basedOn w:val="Normln"/>
    <w:link w:val="NormlOdr2Char"/>
    <w:pPr>
      <w:tabs>
        <w:tab w:val="left" w:pos="2835"/>
        <w:tab w:val="left" w:pos="5103"/>
        <w:tab w:val="left" w:pos="6946"/>
      </w:tabs>
      <w:jc w:val="both"/>
    </w:pPr>
    <w:rPr>
      <w:sz w:val="24"/>
    </w:rPr>
  </w:style>
  <w:style w:type="paragraph" w:styleId="Zkladntext">
    <w:name w:val="Body Text"/>
    <w:basedOn w:val="Normln"/>
    <w:pPr>
      <w:spacing w:before="240"/>
      <w:jc w:val="center"/>
    </w:pPr>
    <w:rPr>
      <w:b/>
      <w:sz w:val="32"/>
    </w:rPr>
  </w:style>
  <w:style w:type="paragraph" w:styleId="Nzev">
    <w:name w:val="Title"/>
    <w:basedOn w:val="Normln"/>
    <w:qFormat/>
    <w:pPr>
      <w:tabs>
        <w:tab w:val="left" w:pos="2127"/>
      </w:tabs>
      <w:spacing w:before="240"/>
      <w:jc w:val="center"/>
    </w:pPr>
    <w:rPr>
      <w:sz w:val="32"/>
    </w:rPr>
  </w:style>
  <w:style w:type="paragraph" w:customStyle="1" w:styleId="odrky">
    <w:name w:val="odrážky"/>
    <w:basedOn w:val="Normln"/>
    <w:pPr>
      <w:numPr>
        <w:numId w:val="1"/>
      </w:numPr>
    </w:pPr>
  </w:style>
  <w:style w:type="paragraph" w:styleId="Zkladntextodsazen">
    <w:name w:val="Body Text Inden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ind w:right="1" w:firstLine="567"/>
      <w:jc w:val="both"/>
      <w:textAlignment w:val="baseline"/>
    </w:pPr>
    <w:rPr>
      <w:rFonts w:ascii="Arial" w:hAnsi="Arial"/>
    </w:rPr>
  </w:style>
  <w:style w:type="character" w:customStyle="1" w:styleId="NormlOdr2Char">
    <w:name w:val="NormálOdr2 Char"/>
    <w:link w:val="NormlOdr2"/>
    <w:rsid w:val="003C2EDD"/>
    <w:rPr>
      <w:sz w:val="24"/>
      <w:lang w:val="cs-CZ" w:eastAsia="cs-CZ" w:bidi="ar-SA"/>
    </w:rPr>
  </w:style>
  <w:style w:type="table" w:styleId="Mkatabulky">
    <w:name w:val="Table Grid"/>
    <w:basedOn w:val="Normlntabulka"/>
    <w:rsid w:val="0028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B91EC5"/>
    <w:rPr>
      <w:sz w:val="16"/>
      <w:szCs w:val="16"/>
    </w:rPr>
  </w:style>
  <w:style w:type="paragraph" w:styleId="Textkomente">
    <w:name w:val="annotation text"/>
    <w:basedOn w:val="Normln"/>
    <w:semiHidden/>
    <w:rsid w:val="00B91EC5"/>
  </w:style>
  <w:style w:type="paragraph" w:styleId="Pedmtkomente">
    <w:name w:val="annotation subject"/>
    <w:basedOn w:val="Textkomente"/>
    <w:next w:val="Textkomente"/>
    <w:semiHidden/>
    <w:rsid w:val="00B91EC5"/>
    <w:rPr>
      <w:b/>
      <w:bCs/>
    </w:rPr>
  </w:style>
  <w:style w:type="paragraph" w:styleId="slovanseznam">
    <w:name w:val="List Number"/>
    <w:basedOn w:val="Normln"/>
    <w:rsid w:val="00AD31F9"/>
    <w:pPr>
      <w:numPr>
        <w:numId w:val="2"/>
      </w:numPr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58EE"/>
    <w:pPr>
      <w:ind w:left="708"/>
    </w:pPr>
  </w:style>
  <w:style w:type="character" w:customStyle="1" w:styleId="Nadpis3Char">
    <w:name w:val="Nadpis 3 Char"/>
    <w:basedOn w:val="Standardnpsmoodstavce"/>
    <w:link w:val="Nadpis3"/>
    <w:rsid w:val="00591CEA"/>
    <w:rPr>
      <w:rFonts w:ascii="Calibri" w:hAnsi="Calibri" w:cs="Calibri"/>
      <w:b/>
      <w:sz w:val="22"/>
      <w:szCs w:val="22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7C72EE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4573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basedOn w:val="Normln"/>
    <w:link w:val="BezmezerChar"/>
    <w:uiPriority w:val="1"/>
    <w:qFormat/>
    <w:rsid w:val="00B54131"/>
    <w:pPr>
      <w:jc w:val="both"/>
    </w:pPr>
    <w:rPr>
      <w:rFonts w:eastAsiaTheme="minorEastAsia"/>
      <w:sz w:val="22"/>
      <w:szCs w:val="22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54131"/>
    <w:rPr>
      <w:rFonts w:asciiTheme="minorHAnsi" w:eastAsiaTheme="minorEastAsia" w:hAnsiTheme="minorHAnsi" w:cstheme="minorHAnsi"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E02148"/>
    <w:rPr>
      <w:rFonts w:ascii="Calibri" w:eastAsia="Calibri" w:hAnsi="Calibri" w:cs="Calibri"/>
      <w:b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E5F03-0682-4531-93C1-DBAA80B2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4</Pages>
  <Words>836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GrexEnergia s.r.o.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Stanislav Koukol</dc:creator>
  <cp:lastModifiedBy>Radek Vašíček</cp:lastModifiedBy>
  <cp:revision>50</cp:revision>
  <cp:lastPrinted>2014-01-20T11:58:00Z</cp:lastPrinted>
  <dcterms:created xsi:type="dcterms:W3CDTF">2017-06-20T10:12:00Z</dcterms:created>
  <dcterms:modified xsi:type="dcterms:W3CDTF">2020-11-23T10:37:00Z</dcterms:modified>
</cp:coreProperties>
</file>