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0A93654A" w14:textId="77777777" w:rsidR="001143D6" w:rsidRDefault="001143D6" w:rsidP="001143D6">
      <w:pPr>
        <w:rPr>
          <w:b/>
        </w:rPr>
      </w:pPr>
      <w:r>
        <w:rPr>
          <w:b/>
        </w:rPr>
        <w:t>PHOENIX lékárenský velkoobchod, s.r.o.</w:t>
      </w:r>
    </w:p>
    <w:p w14:paraId="53A172F7" w14:textId="42E29A02" w:rsidR="001143D6" w:rsidRDefault="001143D6" w:rsidP="001143D6">
      <w:r>
        <w:t>IČ</w:t>
      </w:r>
      <w:r w:rsidR="009A7A47">
        <w:t>O</w:t>
      </w:r>
      <w:r>
        <w:t>: 45359326</w:t>
      </w:r>
    </w:p>
    <w:p w14:paraId="73C45893" w14:textId="77777777" w:rsidR="001143D6" w:rsidRDefault="001143D6" w:rsidP="001143D6">
      <w:r>
        <w:t>DIČ: CZ45359326</w:t>
      </w:r>
    </w:p>
    <w:p w14:paraId="4E87005A" w14:textId="77777777" w:rsidR="001143D6" w:rsidRDefault="001143D6" w:rsidP="001143D6">
      <w:r>
        <w:t>se sídlem: Praha 10 - Hostivař, K Pérovně 945/7, 102 00</w:t>
      </w:r>
    </w:p>
    <w:p w14:paraId="2C256DC3" w14:textId="1DC86B4A" w:rsidR="001143D6" w:rsidRDefault="001143D6" w:rsidP="001143D6">
      <w:r>
        <w:t xml:space="preserve">zastoupena: </w:t>
      </w:r>
      <w:r w:rsidR="00387B8B">
        <w:t>…………………………….</w:t>
      </w:r>
      <w:r>
        <w:t xml:space="preserve">, prokuristka a </w:t>
      </w:r>
      <w:r w:rsidR="00387B8B">
        <w:t>……………………….</w:t>
      </w:r>
      <w:r>
        <w:t>, prokurista</w:t>
      </w:r>
    </w:p>
    <w:p w14:paraId="32F0AF5A" w14:textId="77777777" w:rsidR="001143D6" w:rsidRDefault="001143D6" w:rsidP="001143D6">
      <w:r>
        <w:t>bankovní spojení: Česká spořitelna</w:t>
      </w:r>
    </w:p>
    <w:p w14:paraId="5683DD8B" w14:textId="07F0C039" w:rsidR="001143D6" w:rsidRDefault="001143D6" w:rsidP="001143D6">
      <w:r>
        <w:t xml:space="preserve">číslo účtu: </w:t>
      </w:r>
      <w:r w:rsidR="00387B8B">
        <w:t>……………………………….</w:t>
      </w:r>
    </w:p>
    <w:p w14:paraId="1BD71323" w14:textId="77777777" w:rsidR="001143D6" w:rsidRDefault="001143D6" w:rsidP="001143D6">
      <w:r>
        <w:t>zapsána v obchodním rejstříku vedeném Městským soudem v Praze, oddíl C, vložka 275345</w:t>
      </w:r>
    </w:p>
    <w:p w14:paraId="2505DFF0" w14:textId="77777777" w:rsidR="001143D6" w:rsidRPr="002B77A6" w:rsidRDefault="001143D6" w:rsidP="001143D6">
      <w:pPr>
        <w:rPr>
          <w:rStyle w:val="platne1"/>
        </w:rPr>
      </w:pPr>
    </w:p>
    <w:p w14:paraId="6D6CB2D5" w14:textId="77777777" w:rsidR="001143D6" w:rsidRPr="00726B26" w:rsidRDefault="001143D6" w:rsidP="001143D6">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5EE39C7A" w:rsidR="00726B26" w:rsidRPr="002B77A6" w:rsidRDefault="00726B26" w:rsidP="00726B26">
      <w:r w:rsidRPr="002B77A6">
        <w:t>IČ</w:t>
      </w:r>
      <w:r w:rsidR="009A7A47">
        <w:t>O</w:t>
      </w:r>
      <w:r w:rsidRPr="002B77A6">
        <w:t>: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1CEE6860" w:rsidR="00726B26" w:rsidRPr="002B77A6" w:rsidRDefault="00726B26" w:rsidP="00726B26">
      <w:r>
        <w:t>zastoupena</w:t>
      </w:r>
      <w:r w:rsidRPr="002B77A6">
        <w:t xml:space="preserve">: </w:t>
      </w:r>
      <w:r w:rsidR="001F7596">
        <w:t xml:space="preserve">prof. </w:t>
      </w:r>
      <w:r w:rsidR="00387B8B">
        <w:t>…………………………………</w:t>
      </w:r>
      <w:r w:rsidR="001F7596">
        <w:t>.</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18253158" w:rsidR="00726B26" w:rsidRPr="002B77A6" w:rsidRDefault="00726B26" w:rsidP="00726B26">
      <w:r w:rsidRPr="002B77A6">
        <w:t>číslo ban</w:t>
      </w:r>
      <w:r>
        <w:t xml:space="preserve">kovního účtu: </w:t>
      </w:r>
      <w:r w:rsidR="00387B8B">
        <w:t>……………………</w:t>
      </w:r>
      <w:proofErr w:type="gramStart"/>
      <w:r w:rsidR="00387B8B">
        <w:t>…..</w:t>
      </w:r>
      <w:proofErr w:type="gramEnd"/>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49E04DDE"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proofErr w:type="spellStart"/>
      <w:r w:rsidR="002F473F">
        <w:t>Nusinersen</w:t>
      </w:r>
      <w:proofErr w:type="spellEnd"/>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2DAA3789" w:rsidR="00014CFB" w:rsidRDefault="00014CFB" w:rsidP="00014CFB">
      <w:pPr>
        <w:pStyle w:val="Psmenoodstavce"/>
      </w:pPr>
      <w:r>
        <w:t xml:space="preserve">e-mailem na adresu </w:t>
      </w:r>
      <w:r w:rsidR="00387B8B">
        <w:t>…………………………………….</w:t>
      </w:r>
      <w:r>
        <w:t>;</w:t>
      </w:r>
    </w:p>
    <w:p w14:paraId="533136E3" w14:textId="1EB4503D" w:rsidR="001143D6" w:rsidRDefault="00014CFB" w:rsidP="001143D6">
      <w:pPr>
        <w:pStyle w:val="Psmenoodstavce"/>
      </w:pPr>
      <w:r>
        <w:t xml:space="preserve">v internetovém </w:t>
      </w:r>
      <w:r w:rsidR="001143D6">
        <w:t xml:space="preserve">systému Prodávajícího na adrese </w:t>
      </w:r>
      <w:r w:rsidR="00387B8B">
        <w:t>…………………………….</w:t>
      </w:r>
    </w:p>
    <w:p w14:paraId="62F78F15" w14:textId="7574D4A3" w:rsidR="00014CFB" w:rsidRDefault="00014CFB" w:rsidP="001143D6">
      <w:pPr>
        <w:pStyle w:val="Psmenoodstavce"/>
        <w:numPr>
          <w:ilvl w:val="0"/>
          <w:numId w:val="0"/>
        </w:numPr>
        <w:ind w:left="2160"/>
      </w:pPr>
    </w:p>
    <w:p w14:paraId="62F78F16" w14:textId="77777777" w:rsidR="00014CFB" w:rsidRDefault="00014CFB" w:rsidP="00014CFB">
      <w:pPr>
        <w:pStyle w:val="Odstavecsmlouvy"/>
        <w:numPr>
          <w:ilvl w:val="0"/>
          <w:numId w:val="0"/>
        </w:numPr>
        <w:ind w:left="567"/>
      </w:pPr>
    </w:p>
    <w:p w14:paraId="62F78F17" w14:textId="58C31D8D" w:rsidR="00014CFB" w:rsidRDefault="00014CFB" w:rsidP="00014CFB">
      <w:pPr>
        <w:pStyle w:val="Odstavecsmlouvy"/>
      </w:pPr>
      <w:r>
        <w:t xml:space="preserve">V naléhavých případech je Kupující oprávněn učinit Objednávku rovněž telefonicky na čísle </w:t>
      </w:r>
      <w:r w:rsidR="00387B8B">
        <w:t>…………………………….</w:t>
      </w:r>
      <w:r>
        <w:t xml:space="preserve"> </w:t>
      </w:r>
    </w:p>
    <w:p w14:paraId="62F78F18" w14:textId="77777777" w:rsidR="00014CFB" w:rsidRDefault="00014CFB" w:rsidP="00014CFB">
      <w:pPr>
        <w:pStyle w:val="Odstavecsmlouvy"/>
        <w:numPr>
          <w:ilvl w:val="0"/>
          <w:numId w:val="0"/>
        </w:numPr>
        <w:ind w:left="567"/>
      </w:pPr>
    </w:p>
    <w:p w14:paraId="62F78F19" w14:textId="6276FBC5"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387B8B">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6F50E5" w:rsidRDefault="00423B9E" w:rsidP="00423B9E">
      <w:pPr>
        <w:pStyle w:val="Odstavecsmlouvy"/>
      </w:pPr>
      <w:r w:rsidRPr="006F50E5">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6F50E5" w:rsidRDefault="00423B9E" w:rsidP="00423B9E">
      <w:pPr>
        <w:pStyle w:val="Odstavecsmlouvy"/>
        <w:numPr>
          <w:ilvl w:val="0"/>
          <w:numId w:val="0"/>
        </w:numPr>
        <w:ind w:left="567" w:hanging="567"/>
      </w:pPr>
    </w:p>
    <w:p w14:paraId="2BE8364C" w14:textId="77777777" w:rsidR="00423B9E" w:rsidRPr="006F50E5" w:rsidRDefault="00423B9E" w:rsidP="00423B9E">
      <w:pPr>
        <w:ind w:right="57" w:firstLine="567"/>
        <w:rPr>
          <w:color w:val="000000"/>
          <w:shd w:val="clear" w:color="auto" w:fill="FFFFFF"/>
        </w:rPr>
      </w:pPr>
      <w:r w:rsidRPr="006F50E5">
        <w:rPr>
          <w:color w:val="000000"/>
          <w:shd w:val="clear" w:color="auto" w:fill="FFFFFF"/>
        </w:rPr>
        <w:t xml:space="preserve">Prodávající je oprávněn, v případě nedodání zboží, k jehož dodávce byl vyzván, nabídnout  </w:t>
      </w:r>
      <w:r w:rsidRPr="006F50E5">
        <w:rPr>
          <w:color w:val="000000"/>
          <w:shd w:val="clear" w:color="auto" w:fill="FFFFFF"/>
        </w:rPr>
        <w:br/>
        <w:t xml:space="preserve">         kupujícímu alternativní předmět plnění, který bude v souladu s touto smlouvou a Zadávací   </w:t>
      </w:r>
      <w:r w:rsidRPr="006F50E5">
        <w:rPr>
          <w:color w:val="000000"/>
          <w:shd w:val="clear" w:color="auto" w:fill="FFFFFF"/>
        </w:rPr>
        <w:br/>
        <w:t xml:space="preserve">         dokumentací. Kupující má právo dodávku alternativního plnění odmítnout.</w:t>
      </w:r>
    </w:p>
    <w:p w14:paraId="0677D8C1" w14:textId="77777777" w:rsidR="00423B9E" w:rsidRPr="006F50E5" w:rsidRDefault="00423B9E" w:rsidP="00423B9E">
      <w:pPr>
        <w:ind w:right="57" w:firstLine="567"/>
        <w:rPr>
          <w:color w:val="000000"/>
          <w:shd w:val="clear" w:color="auto" w:fill="FFFFFF"/>
        </w:rPr>
      </w:pPr>
    </w:p>
    <w:p w14:paraId="3EC3211B" w14:textId="77777777" w:rsidR="00423B9E" w:rsidRPr="006F50E5" w:rsidRDefault="00423B9E" w:rsidP="00423B9E">
      <w:pPr>
        <w:pStyle w:val="Odstavecsmlouvy"/>
        <w:numPr>
          <w:ilvl w:val="0"/>
          <w:numId w:val="0"/>
        </w:numPr>
        <w:ind w:left="567"/>
      </w:pPr>
    </w:p>
    <w:p w14:paraId="5ED9DD1A" w14:textId="77777777" w:rsidR="00423B9E" w:rsidRPr="006F50E5" w:rsidRDefault="00423B9E" w:rsidP="00423B9E">
      <w:pPr>
        <w:pStyle w:val="Odstavecsmlouvy"/>
      </w:pPr>
      <w:r w:rsidRPr="006F50E5">
        <w:rPr>
          <w:color w:val="000000"/>
          <w:shd w:val="clear" w:color="auto" w:fill="FFFFFF"/>
        </w:rPr>
        <w:t xml:space="preserve">Nedodá-li prodávající kupujícímu zboží, k jehož dodání jej vyzval (např. v návaznosti na doručení defektního listu) či nedodá-li zboží řádně a včas </w:t>
      </w:r>
      <w:r w:rsidRPr="006F50E5">
        <w:rPr>
          <w:color w:val="000000"/>
          <w:shd w:val="clear" w:color="auto" w:fill="FFFFFF"/>
        </w:rPr>
        <w:b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704158B" w14:textId="77777777" w:rsidR="00423B9E" w:rsidRPr="006F50E5" w:rsidRDefault="00423B9E" w:rsidP="00423B9E">
      <w:pPr>
        <w:pStyle w:val="Odstavecsmlouvy"/>
        <w:numPr>
          <w:ilvl w:val="0"/>
          <w:numId w:val="0"/>
        </w:numPr>
        <w:ind w:left="567"/>
        <w:rPr>
          <w:color w:val="000000"/>
          <w:shd w:val="clear" w:color="auto" w:fill="FFFFFF"/>
        </w:rPr>
      </w:pPr>
    </w:p>
    <w:p w14:paraId="22BB734E" w14:textId="77777777" w:rsidR="00423B9E" w:rsidRPr="006F50E5" w:rsidRDefault="00423B9E" w:rsidP="00423B9E">
      <w:pPr>
        <w:pStyle w:val="Odstavecsmlouvy"/>
        <w:numPr>
          <w:ilvl w:val="0"/>
          <w:numId w:val="0"/>
        </w:numPr>
        <w:ind w:left="567"/>
      </w:pPr>
    </w:p>
    <w:p w14:paraId="0C4329D7" w14:textId="77777777" w:rsidR="00423B9E" w:rsidRDefault="00423B9E" w:rsidP="00423B9E">
      <w:pPr>
        <w:pStyle w:val="Odstavecsmlouvy"/>
      </w:pPr>
      <w:r w:rsidRPr="006F50E5">
        <w:t>V případě, že orgán státního dohledu nařídí stažení některého Zboží z oběhu, které již Prodávající dodal Kupujícímu, je Prodávající povinen toto Zboží od Kupujícího na vlastní</w:t>
      </w:r>
      <w:r>
        <w:t xml:space="preserve">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 xml:space="preserve">zveřejněnou Českým statistickým </w:t>
      </w:r>
      <w:r w:rsidRPr="006E1A4C">
        <w:lastRenderedPageBreak/>
        <w:t>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9"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45161D99" w14:textId="22BE1FE7" w:rsidR="00003231" w:rsidRDefault="00003231" w:rsidP="00003231">
      <w:pPr>
        <w:pStyle w:val="Odstavecsmlouvy"/>
      </w:pPr>
      <w:r>
        <w:t xml:space="preserve">Pro vyloučení pochybností se uvádí, že příslušná jednotková kupní cena je dle </w:t>
      </w:r>
      <w:proofErr w:type="gramStart"/>
      <w:r>
        <w:t xml:space="preserve">odst. </w:t>
      </w:r>
      <w:r>
        <w:fldChar w:fldCharType="begin"/>
      </w:r>
      <w:r>
        <w:instrText xml:space="preserve"> REF _Ref13486689 \n \h </w:instrText>
      </w:r>
      <w:r>
        <w:fldChar w:fldCharType="separate"/>
      </w:r>
      <w:r>
        <w:t>V.</w:t>
      </w:r>
      <w:r>
        <w:fldChar w:fldCharType="end"/>
      </w:r>
      <w:r>
        <w:t>6  resp.</w:t>
      </w:r>
      <w:proofErr w:type="gramEnd"/>
      <w:r>
        <w:t xml:space="preserve"> </w:t>
      </w:r>
      <w:r>
        <w:fldChar w:fldCharType="begin"/>
      </w:r>
      <w:r>
        <w:instrText xml:space="preserve"> REF _Ref13486690 \n \h </w:instrText>
      </w:r>
      <w:r>
        <w:fldChar w:fldCharType="separate"/>
      </w:r>
      <w:r>
        <w:t>V.</w:t>
      </w:r>
      <w:r>
        <w:fldChar w:fldCharType="end"/>
      </w:r>
      <w:r>
        <w:t>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276DE9BE" w:rsidR="000C1FD1" w:rsidRPr="001143D6"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1143D6">
        <w:t xml:space="preserve">ve formě tzv. sběrných faktur v denním intervalu.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lastRenderedPageBreak/>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6E40C19B" w:rsidR="002F473F" w:rsidRPr="00512AB9" w:rsidRDefault="002F473F" w:rsidP="002F473F">
      <w:pPr>
        <w:pStyle w:val="Odstavecsmlouvy"/>
      </w:pPr>
      <w:r>
        <w:t xml:space="preserve">Zboží musí být označeno šarží na vnějším i vnitřním obalu. Zboží s expirační dobou musí být opatřeno také údajem o </w:t>
      </w:r>
      <w:proofErr w:type="spellStart"/>
      <w:r>
        <w:t>expiraci</w:t>
      </w:r>
      <w:proofErr w:type="spellEnd"/>
      <w:r>
        <w:t>.</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7D80843E" w:rsidR="002F473F" w:rsidRPr="00512AB9" w:rsidRDefault="002F473F" w:rsidP="0079294C">
      <w:pPr>
        <w:pStyle w:val="Odstavecsmlouvy"/>
      </w:pPr>
      <w:r>
        <w:lastRenderedPageBreak/>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expirační doby. Prodávající je povinen 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 xml:space="preserve">částka smluvní </w:t>
      </w:r>
      <w:r w:rsidRPr="00C92C8B">
        <w:lastRenderedPageBreak/>
        <w:t>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2FB4CF91" w:rsidR="009F5A27" w:rsidRDefault="009F5A27" w:rsidP="009F5A27">
      <w:pPr>
        <w:pStyle w:val="Odstavecsmlouvy"/>
      </w:pPr>
      <w:r>
        <w:t xml:space="preserve">Tato </w:t>
      </w:r>
      <w:r w:rsidR="00825B3C">
        <w:t>smlouva</w:t>
      </w:r>
      <w:r>
        <w:t xml:space="preserve"> </w:t>
      </w:r>
      <w:r w:rsidR="00575F84">
        <w:t xml:space="preserve">nabývá účinnosti </w:t>
      </w:r>
      <w:r w:rsidR="001B1B66" w:rsidRPr="001B1B66">
        <w:rPr>
          <w:b/>
        </w:rPr>
        <w:t xml:space="preserve">desátý pracovní den po </w:t>
      </w:r>
      <w:r w:rsidR="00575F84" w:rsidRPr="001B1B66">
        <w:rPr>
          <w:b/>
        </w:rPr>
        <w:t>uveřejnění</w:t>
      </w:r>
      <w:r w:rsidR="00575F84">
        <w:t xml:space="preserve"> v registru smluv podle zákona o registru smluv a </w:t>
      </w:r>
      <w:r w:rsidRPr="009F5A27">
        <w:t xml:space="preserve">je uzavřena na dobu </w:t>
      </w:r>
      <w:r w:rsidR="00073442">
        <w:rPr>
          <w:b/>
        </w:rPr>
        <w:t>jednoho roku</w:t>
      </w:r>
      <w:r w:rsidR="00717C3C">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lastRenderedPageBreak/>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536"/>
        <w:gridCol w:w="675"/>
        <w:gridCol w:w="4212"/>
      </w:tblGrid>
      <w:tr w:rsidR="004A45B0" w:rsidRPr="00D722DC" w14:paraId="62F78FAD" w14:textId="77777777" w:rsidTr="00D96CD3">
        <w:tc>
          <w:tcPr>
            <w:tcW w:w="4536" w:type="dxa"/>
            <w:shd w:val="clear" w:color="auto" w:fill="auto"/>
          </w:tcPr>
          <w:p w14:paraId="62F78FAA" w14:textId="268412FA" w:rsidR="004A45B0" w:rsidRPr="00D722DC" w:rsidRDefault="004A45B0" w:rsidP="00D96CD3">
            <w:pPr>
              <w:pStyle w:val="slovn"/>
              <w:numPr>
                <w:ilvl w:val="0"/>
                <w:numId w:val="0"/>
              </w:numPr>
              <w:tabs>
                <w:tab w:val="num" w:pos="567"/>
              </w:tabs>
              <w:spacing w:after="0" w:line="280" w:lineRule="atLeast"/>
              <w:jc w:val="left"/>
              <w:rPr>
                <w:sz w:val="22"/>
                <w:szCs w:val="22"/>
              </w:rPr>
            </w:pPr>
            <w:r w:rsidRPr="00D722DC">
              <w:rPr>
                <w:sz w:val="22"/>
                <w:szCs w:val="22"/>
              </w:rPr>
              <w:t>V </w:t>
            </w:r>
            <w:r w:rsidR="001143D6">
              <w:rPr>
                <w:sz w:val="22"/>
                <w:szCs w:val="22"/>
              </w:rPr>
              <w:t>Praze</w:t>
            </w:r>
            <w:r w:rsidRPr="00D722DC">
              <w:rPr>
                <w:sz w:val="22"/>
                <w:szCs w:val="22"/>
              </w:rPr>
              <w:t xml:space="preserve"> </w:t>
            </w:r>
            <w:r w:rsidR="00387B8B">
              <w:rPr>
                <w:sz w:val="22"/>
                <w:szCs w:val="22"/>
              </w:rPr>
              <w:t>10. 11. 2020</w:t>
            </w:r>
          </w:p>
        </w:tc>
        <w:tc>
          <w:tcPr>
            <w:tcW w:w="675"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2E4F499B"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387B8B">
              <w:rPr>
                <w:sz w:val="22"/>
                <w:szCs w:val="22"/>
              </w:rPr>
              <w:t xml:space="preserve"> 12. 11. 2020</w:t>
            </w:r>
          </w:p>
        </w:tc>
      </w:tr>
      <w:tr w:rsidR="004A45B0" w:rsidRPr="00D722DC" w14:paraId="62F78FB6" w14:textId="77777777" w:rsidTr="00D96CD3">
        <w:tc>
          <w:tcPr>
            <w:tcW w:w="4536"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675"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D96CD3">
        <w:tc>
          <w:tcPr>
            <w:tcW w:w="4536" w:type="dxa"/>
            <w:tcBorders>
              <w:top w:val="single" w:sz="4" w:space="0" w:color="auto"/>
            </w:tcBorders>
            <w:shd w:val="clear" w:color="auto" w:fill="auto"/>
          </w:tcPr>
          <w:p w14:paraId="5F8B632C" w14:textId="77777777" w:rsidR="001143D6" w:rsidRDefault="001143D6" w:rsidP="001143D6">
            <w:pPr>
              <w:pStyle w:val="slovn"/>
              <w:numPr>
                <w:ilvl w:val="0"/>
                <w:numId w:val="0"/>
              </w:numPr>
              <w:tabs>
                <w:tab w:val="num" w:pos="567"/>
              </w:tabs>
              <w:spacing w:after="0" w:line="280" w:lineRule="atLeast"/>
              <w:jc w:val="center"/>
              <w:rPr>
                <w:b/>
                <w:sz w:val="22"/>
                <w:szCs w:val="22"/>
              </w:rPr>
            </w:pPr>
            <w:r>
              <w:rPr>
                <w:b/>
                <w:sz w:val="22"/>
                <w:szCs w:val="22"/>
              </w:rPr>
              <w:t>PHOENIX lékárenský velkoobchod, s.r.o.</w:t>
            </w:r>
          </w:p>
          <w:p w14:paraId="62D96EFC" w14:textId="5E7825D4" w:rsidR="004A45B0" w:rsidRDefault="00387B8B" w:rsidP="001143D6">
            <w:pPr>
              <w:pStyle w:val="slovn"/>
              <w:numPr>
                <w:ilvl w:val="0"/>
                <w:numId w:val="0"/>
              </w:numPr>
              <w:tabs>
                <w:tab w:val="num" w:pos="567"/>
              </w:tabs>
              <w:spacing w:after="0" w:line="280" w:lineRule="atLeast"/>
              <w:jc w:val="center"/>
              <w:rPr>
                <w:sz w:val="22"/>
                <w:szCs w:val="22"/>
              </w:rPr>
            </w:pPr>
            <w:r>
              <w:rPr>
                <w:sz w:val="22"/>
                <w:szCs w:val="22"/>
              </w:rPr>
              <w:t>…………………………….</w:t>
            </w:r>
          </w:p>
          <w:p w14:paraId="62F78FB8" w14:textId="045E4D92" w:rsidR="00D96CD3" w:rsidRPr="00D722DC" w:rsidRDefault="00D96CD3" w:rsidP="001143D6">
            <w:pPr>
              <w:pStyle w:val="slovn"/>
              <w:numPr>
                <w:ilvl w:val="0"/>
                <w:numId w:val="0"/>
              </w:numPr>
              <w:tabs>
                <w:tab w:val="num" w:pos="567"/>
              </w:tabs>
              <w:spacing w:after="0" w:line="280" w:lineRule="atLeast"/>
              <w:jc w:val="center"/>
              <w:rPr>
                <w:sz w:val="22"/>
                <w:szCs w:val="22"/>
              </w:rPr>
            </w:pPr>
            <w:r>
              <w:rPr>
                <w:sz w:val="22"/>
                <w:szCs w:val="22"/>
              </w:rPr>
              <w:t>na základě plné moci</w:t>
            </w:r>
          </w:p>
        </w:tc>
        <w:tc>
          <w:tcPr>
            <w:tcW w:w="675"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099F33D" w14:textId="77777777" w:rsidR="00387B8B" w:rsidRDefault="00387B8B" w:rsidP="001F7596">
            <w:pPr>
              <w:pStyle w:val="slovn"/>
              <w:numPr>
                <w:ilvl w:val="0"/>
                <w:numId w:val="0"/>
              </w:numPr>
              <w:tabs>
                <w:tab w:val="num" w:pos="567"/>
              </w:tabs>
              <w:spacing w:after="0" w:line="280" w:lineRule="atLeast"/>
              <w:jc w:val="center"/>
              <w:rPr>
                <w:sz w:val="22"/>
                <w:szCs w:val="22"/>
              </w:rPr>
            </w:pPr>
            <w:r>
              <w:rPr>
                <w:sz w:val="22"/>
                <w:szCs w:val="22"/>
              </w:rPr>
              <w:t>…………………………….</w:t>
            </w:r>
          </w:p>
          <w:p w14:paraId="62F78FBC" w14:textId="591FB61A" w:rsidR="004A45B0" w:rsidRPr="00D722DC" w:rsidRDefault="004A45B0" w:rsidP="001F7596">
            <w:pPr>
              <w:pStyle w:val="slovn"/>
              <w:numPr>
                <w:ilvl w:val="0"/>
                <w:numId w:val="0"/>
              </w:numPr>
              <w:tabs>
                <w:tab w:val="num" w:pos="567"/>
              </w:tabs>
              <w:spacing w:after="0" w:line="280" w:lineRule="atLeast"/>
              <w:jc w:val="center"/>
              <w:rPr>
                <w:sz w:val="22"/>
                <w:szCs w:val="22"/>
              </w:rPr>
            </w:pPr>
            <w:r w:rsidRPr="00D722DC">
              <w:rPr>
                <w:sz w:val="22"/>
                <w:szCs w:val="22"/>
              </w:rPr>
              <w:t xml:space="preserve"> ředitel</w:t>
            </w: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7777777" w:rsidR="007E416F" w:rsidRPr="000729CF" w:rsidRDefault="00074676" w:rsidP="007E416F">
      <w:pPr>
        <w:jc w:val="center"/>
        <w:rPr>
          <w:b/>
        </w:rPr>
      </w:pPr>
      <w:r w:rsidRPr="00074676">
        <w:rPr>
          <w:b/>
        </w:rPr>
        <w:t>Specifikace Zboží a jednotkové kupní ceny</w:t>
      </w:r>
    </w:p>
    <w:p w14:paraId="62F78FC2" w14:textId="77777777" w:rsidR="00896745" w:rsidRDefault="00896745" w:rsidP="00896745">
      <w:pPr>
        <w:rPr>
          <w:b/>
        </w:rPr>
      </w:pPr>
    </w:p>
    <w:p w14:paraId="4CA72599" w14:textId="77777777" w:rsidR="001143D6" w:rsidRDefault="001143D6" w:rsidP="001143D6">
      <w:pPr>
        <w:rPr>
          <w:b/>
        </w:rPr>
      </w:pPr>
    </w:p>
    <w:tbl>
      <w:tblPr>
        <w:tblW w:w="9796" w:type="dxa"/>
        <w:tblInd w:w="55" w:type="dxa"/>
        <w:tblCellMar>
          <w:left w:w="70" w:type="dxa"/>
          <w:right w:w="70" w:type="dxa"/>
        </w:tblCellMar>
        <w:tblLook w:val="04A0" w:firstRow="1" w:lastRow="0" w:firstColumn="1" w:lastColumn="0" w:noHBand="0" w:noVBand="1"/>
      </w:tblPr>
      <w:tblGrid>
        <w:gridCol w:w="1082"/>
        <w:gridCol w:w="919"/>
        <w:gridCol w:w="2409"/>
        <w:gridCol w:w="1909"/>
        <w:gridCol w:w="1843"/>
        <w:gridCol w:w="1634"/>
      </w:tblGrid>
      <w:tr w:rsidR="001143D6" w14:paraId="229CAD88" w14:textId="77777777" w:rsidTr="00D96CD3">
        <w:trPr>
          <w:trHeight w:val="255"/>
        </w:trPr>
        <w:tc>
          <w:tcPr>
            <w:tcW w:w="1082" w:type="dxa"/>
            <w:tcBorders>
              <w:top w:val="single" w:sz="4" w:space="0" w:color="auto"/>
              <w:left w:val="single" w:sz="4" w:space="0" w:color="auto"/>
              <w:bottom w:val="single" w:sz="4" w:space="0" w:color="auto"/>
              <w:right w:val="single" w:sz="4" w:space="0" w:color="auto"/>
            </w:tcBorders>
            <w:noWrap/>
            <w:vAlign w:val="bottom"/>
            <w:hideMark/>
          </w:tcPr>
          <w:p w14:paraId="435A416A" w14:textId="77777777" w:rsidR="001143D6" w:rsidRDefault="001143D6" w:rsidP="00F61F2C">
            <w:pPr>
              <w:rPr>
                <w:bCs/>
                <w:sz w:val="20"/>
                <w:szCs w:val="20"/>
              </w:rPr>
            </w:pPr>
            <w:r>
              <w:rPr>
                <w:bCs/>
                <w:sz w:val="20"/>
                <w:szCs w:val="20"/>
              </w:rPr>
              <w:t>ATC</w:t>
            </w:r>
          </w:p>
        </w:tc>
        <w:tc>
          <w:tcPr>
            <w:tcW w:w="919" w:type="dxa"/>
            <w:tcBorders>
              <w:top w:val="single" w:sz="4" w:space="0" w:color="auto"/>
              <w:left w:val="nil"/>
              <w:bottom w:val="single" w:sz="4" w:space="0" w:color="auto"/>
              <w:right w:val="single" w:sz="4" w:space="0" w:color="auto"/>
            </w:tcBorders>
            <w:noWrap/>
            <w:vAlign w:val="bottom"/>
            <w:hideMark/>
          </w:tcPr>
          <w:p w14:paraId="788C4962" w14:textId="77777777" w:rsidR="001143D6" w:rsidRDefault="001143D6" w:rsidP="00F61F2C">
            <w:pPr>
              <w:rPr>
                <w:bCs/>
                <w:sz w:val="20"/>
                <w:szCs w:val="20"/>
              </w:rPr>
            </w:pPr>
            <w:r>
              <w:rPr>
                <w:bCs/>
                <w:sz w:val="20"/>
                <w:szCs w:val="20"/>
              </w:rPr>
              <w:t>SUKL</w:t>
            </w:r>
          </w:p>
        </w:tc>
        <w:tc>
          <w:tcPr>
            <w:tcW w:w="2409" w:type="dxa"/>
            <w:tcBorders>
              <w:top w:val="single" w:sz="4" w:space="0" w:color="auto"/>
              <w:left w:val="nil"/>
              <w:bottom w:val="single" w:sz="4" w:space="0" w:color="auto"/>
              <w:right w:val="single" w:sz="4" w:space="0" w:color="auto"/>
            </w:tcBorders>
            <w:hideMark/>
          </w:tcPr>
          <w:p w14:paraId="38E8388D" w14:textId="77777777" w:rsidR="001143D6" w:rsidRDefault="001143D6" w:rsidP="00F61F2C">
            <w:pPr>
              <w:rPr>
                <w:bCs/>
                <w:sz w:val="20"/>
                <w:szCs w:val="20"/>
              </w:rPr>
            </w:pPr>
            <w:r>
              <w:rPr>
                <w:bCs/>
                <w:sz w:val="20"/>
                <w:szCs w:val="20"/>
              </w:rPr>
              <w:t>NÁZEV</w:t>
            </w:r>
          </w:p>
        </w:tc>
        <w:tc>
          <w:tcPr>
            <w:tcW w:w="1909" w:type="dxa"/>
            <w:tcBorders>
              <w:top w:val="single" w:sz="4" w:space="0" w:color="auto"/>
              <w:left w:val="single" w:sz="4" w:space="0" w:color="auto"/>
              <w:bottom w:val="single" w:sz="4" w:space="0" w:color="auto"/>
              <w:right w:val="single" w:sz="4" w:space="0" w:color="auto"/>
            </w:tcBorders>
            <w:noWrap/>
            <w:vAlign w:val="bottom"/>
            <w:hideMark/>
          </w:tcPr>
          <w:p w14:paraId="3FCE4E1E" w14:textId="77777777" w:rsidR="001143D6" w:rsidRDefault="001143D6" w:rsidP="00F61F2C">
            <w:pPr>
              <w:rPr>
                <w:bCs/>
                <w:sz w:val="20"/>
                <w:szCs w:val="20"/>
              </w:rPr>
            </w:pPr>
            <w:r>
              <w:rPr>
                <w:bCs/>
                <w:sz w:val="20"/>
                <w:szCs w:val="20"/>
              </w:rPr>
              <w:t xml:space="preserve">Cena v Kč za 1 bal. </w:t>
            </w:r>
            <w:proofErr w:type="gramStart"/>
            <w:r>
              <w:rPr>
                <w:bCs/>
                <w:sz w:val="20"/>
                <w:szCs w:val="20"/>
              </w:rPr>
              <w:t>bez</w:t>
            </w:r>
            <w:proofErr w:type="gramEnd"/>
            <w:r>
              <w:rPr>
                <w:bCs/>
                <w:sz w:val="20"/>
                <w:szCs w:val="20"/>
              </w:rPr>
              <w:t xml:space="preserve"> DPH</w:t>
            </w:r>
          </w:p>
        </w:tc>
        <w:tc>
          <w:tcPr>
            <w:tcW w:w="1843" w:type="dxa"/>
            <w:tcBorders>
              <w:top w:val="single" w:sz="4" w:space="0" w:color="auto"/>
              <w:left w:val="nil"/>
              <w:bottom w:val="single" w:sz="4" w:space="0" w:color="auto"/>
              <w:right w:val="single" w:sz="4" w:space="0" w:color="auto"/>
            </w:tcBorders>
            <w:noWrap/>
            <w:vAlign w:val="bottom"/>
            <w:hideMark/>
          </w:tcPr>
          <w:p w14:paraId="6897A705" w14:textId="77777777" w:rsidR="001143D6" w:rsidRDefault="001143D6" w:rsidP="00F61F2C">
            <w:pPr>
              <w:rPr>
                <w:bCs/>
                <w:sz w:val="20"/>
                <w:szCs w:val="20"/>
              </w:rPr>
            </w:pPr>
            <w:r>
              <w:rPr>
                <w:bCs/>
                <w:sz w:val="20"/>
                <w:szCs w:val="20"/>
              </w:rPr>
              <w:t xml:space="preserve">Cena v Kč za 1 </w:t>
            </w:r>
            <w:proofErr w:type="gramStart"/>
            <w:r>
              <w:rPr>
                <w:bCs/>
                <w:sz w:val="20"/>
                <w:szCs w:val="20"/>
              </w:rPr>
              <w:t>bal. s DPH</w:t>
            </w:r>
            <w:proofErr w:type="gramEnd"/>
          </w:p>
        </w:tc>
        <w:tc>
          <w:tcPr>
            <w:tcW w:w="1634" w:type="dxa"/>
            <w:tcBorders>
              <w:top w:val="single" w:sz="4" w:space="0" w:color="auto"/>
              <w:left w:val="nil"/>
              <w:bottom w:val="single" w:sz="4" w:space="0" w:color="auto"/>
              <w:right w:val="single" w:sz="4" w:space="0" w:color="auto"/>
            </w:tcBorders>
            <w:noWrap/>
            <w:vAlign w:val="bottom"/>
            <w:hideMark/>
          </w:tcPr>
          <w:p w14:paraId="1CEF47A8" w14:textId="77777777" w:rsidR="001143D6" w:rsidRDefault="001143D6" w:rsidP="00F61F2C">
            <w:pPr>
              <w:jc w:val="left"/>
              <w:rPr>
                <w:bCs/>
                <w:sz w:val="20"/>
                <w:szCs w:val="20"/>
              </w:rPr>
            </w:pPr>
            <w:r>
              <w:rPr>
                <w:bCs/>
                <w:sz w:val="20"/>
                <w:szCs w:val="20"/>
              </w:rPr>
              <w:t>DPH 10 % zvlášť</w:t>
            </w:r>
          </w:p>
        </w:tc>
      </w:tr>
      <w:tr w:rsidR="00D96CD3" w14:paraId="076179DE" w14:textId="77777777" w:rsidTr="00D96CD3">
        <w:trPr>
          <w:trHeight w:val="255"/>
        </w:trPr>
        <w:tc>
          <w:tcPr>
            <w:tcW w:w="1082" w:type="dxa"/>
            <w:tcBorders>
              <w:top w:val="single" w:sz="4" w:space="0" w:color="auto"/>
              <w:left w:val="single" w:sz="4" w:space="0" w:color="auto"/>
              <w:bottom w:val="single" w:sz="4" w:space="0" w:color="auto"/>
              <w:right w:val="single" w:sz="4" w:space="0" w:color="auto"/>
            </w:tcBorders>
            <w:noWrap/>
            <w:vAlign w:val="bottom"/>
          </w:tcPr>
          <w:p w14:paraId="6FBA0867" w14:textId="4C0BA070" w:rsidR="00D96CD3" w:rsidRDefault="00D96CD3" w:rsidP="00D96CD3">
            <w:pPr>
              <w:spacing w:line="240" w:lineRule="auto"/>
              <w:rPr>
                <w:rFonts w:ascii="Arial CE" w:hAnsi="Arial CE" w:cs="Arial CE"/>
                <w:sz w:val="20"/>
                <w:szCs w:val="20"/>
              </w:rPr>
            </w:pPr>
            <w:r>
              <w:rPr>
                <w:rFonts w:ascii="Arial CE" w:hAnsi="Arial CE" w:cs="Arial CE"/>
                <w:sz w:val="20"/>
                <w:szCs w:val="20"/>
              </w:rPr>
              <w:t>M09AX07</w:t>
            </w:r>
          </w:p>
        </w:tc>
        <w:tc>
          <w:tcPr>
            <w:tcW w:w="919" w:type="dxa"/>
            <w:tcBorders>
              <w:top w:val="single" w:sz="4" w:space="0" w:color="auto"/>
              <w:left w:val="nil"/>
              <w:bottom w:val="single" w:sz="4" w:space="0" w:color="auto"/>
              <w:right w:val="single" w:sz="4" w:space="0" w:color="auto"/>
            </w:tcBorders>
            <w:noWrap/>
            <w:vAlign w:val="bottom"/>
          </w:tcPr>
          <w:p w14:paraId="4EE15AFE" w14:textId="67603AE3" w:rsidR="00D96CD3" w:rsidRDefault="00D96CD3" w:rsidP="00D96CD3">
            <w:pPr>
              <w:rPr>
                <w:rFonts w:ascii="Arial CE" w:hAnsi="Arial CE" w:cs="Arial CE"/>
                <w:sz w:val="20"/>
                <w:szCs w:val="20"/>
              </w:rPr>
            </w:pPr>
            <w:r>
              <w:rPr>
                <w:rFonts w:ascii="Arial CE" w:hAnsi="Arial CE" w:cs="Arial CE"/>
                <w:sz w:val="20"/>
                <w:szCs w:val="20"/>
              </w:rPr>
              <w:t>0222208</w:t>
            </w:r>
          </w:p>
        </w:tc>
        <w:tc>
          <w:tcPr>
            <w:tcW w:w="2409" w:type="dxa"/>
            <w:tcBorders>
              <w:top w:val="single" w:sz="4" w:space="0" w:color="auto"/>
              <w:left w:val="nil"/>
              <w:bottom w:val="single" w:sz="4" w:space="0" w:color="auto"/>
              <w:right w:val="single" w:sz="4" w:space="0" w:color="auto"/>
            </w:tcBorders>
            <w:vAlign w:val="bottom"/>
          </w:tcPr>
          <w:p w14:paraId="366C9A9D" w14:textId="71C00EF2" w:rsidR="00D96CD3" w:rsidRDefault="00D96CD3" w:rsidP="00D96CD3">
            <w:pPr>
              <w:jc w:val="left"/>
              <w:rPr>
                <w:rFonts w:ascii="Arial CE" w:hAnsi="Arial CE" w:cs="Arial CE"/>
                <w:sz w:val="20"/>
                <w:szCs w:val="20"/>
              </w:rPr>
            </w:pPr>
            <w:proofErr w:type="spellStart"/>
            <w:r>
              <w:rPr>
                <w:rFonts w:ascii="Arial CE" w:hAnsi="Arial CE" w:cs="Arial CE"/>
                <w:sz w:val="20"/>
                <w:szCs w:val="20"/>
              </w:rPr>
              <w:t>Spinraza</w:t>
            </w:r>
            <w:proofErr w:type="spellEnd"/>
            <w:r>
              <w:rPr>
                <w:rFonts w:ascii="Arial CE" w:hAnsi="Arial CE" w:cs="Arial CE"/>
                <w:sz w:val="20"/>
                <w:szCs w:val="20"/>
              </w:rPr>
              <w:t xml:space="preserve"> 12mg injekční roztok </w:t>
            </w:r>
            <w:proofErr w:type="spellStart"/>
            <w:r>
              <w:rPr>
                <w:rFonts w:ascii="Arial CE" w:hAnsi="Arial CE" w:cs="Arial CE"/>
                <w:sz w:val="20"/>
                <w:szCs w:val="20"/>
              </w:rPr>
              <w:t>inj.sol</w:t>
            </w:r>
            <w:proofErr w:type="spellEnd"/>
            <w:r>
              <w:rPr>
                <w:rFonts w:ascii="Arial CE" w:hAnsi="Arial CE" w:cs="Arial CE"/>
                <w:sz w:val="20"/>
                <w:szCs w:val="20"/>
              </w:rPr>
              <w:t>. 1x5ml</w:t>
            </w:r>
          </w:p>
        </w:tc>
        <w:tc>
          <w:tcPr>
            <w:tcW w:w="1909" w:type="dxa"/>
            <w:tcBorders>
              <w:top w:val="single" w:sz="4" w:space="0" w:color="auto"/>
              <w:left w:val="single" w:sz="4" w:space="0" w:color="auto"/>
              <w:bottom w:val="single" w:sz="4" w:space="0" w:color="auto"/>
              <w:right w:val="single" w:sz="4" w:space="0" w:color="auto"/>
            </w:tcBorders>
            <w:noWrap/>
            <w:vAlign w:val="bottom"/>
          </w:tcPr>
          <w:p w14:paraId="7F7458CA" w14:textId="37C9850D" w:rsidR="00D96CD3" w:rsidRDefault="00387B8B" w:rsidP="00387B8B">
            <w:pPr>
              <w:jc w:val="center"/>
              <w:rPr>
                <w:rFonts w:ascii="Arial CE" w:hAnsi="Arial CE" w:cs="Arial CE"/>
                <w:sz w:val="20"/>
                <w:szCs w:val="20"/>
              </w:rPr>
            </w:pPr>
            <w:proofErr w:type="spellStart"/>
            <w:r>
              <w:rPr>
                <w:rFonts w:ascii="Arial CE" w:hAnsi="Arial CE" w:cs="Arial CE"/>
                <w:sz w:val="20"/>
                <w:szCs w:val="20"/>
              </w:rPr>
              <w:t>xxxxxxxxxx</w:t>
            </w:r>
            <w:proofErr w:type="spellEnd"/>
          </w:p>
        </w:tc>
        <w:tc>
          <w:tcPr>
            <w:tcW w:w="1843" w:type="dxa"/>
            <w:tcBorders>
              <w:top w:val="single" w:sz="4" w:space="0" w:color="auto"/>
              <w:left w:val="nil"/>
              <w:bottom w:val="single" w:sz="4" w:space="0" w:color="auto"/>
              <w:right w:val="single" w:sz="4" w:space="0" w:color="auto"/>
            </w:tcBorders>
            <w:noWrap/>
            <w:vAlign w:val="bottom"/>
          </w:tcPr>
          <w:p w14:paraId="2D7F42D5" w14:textId="0B4E2C88" w:rsidR="00D96CD3" w:rsidRDefault="00387B8B" w:rsidP="00D96CD3">
            <w:pPr>
              <w:jc w:val="right"/>
              <w:rPr>
                <w:rFonts w:ascii="Arial CE" w:hAnsi="Arial CE" w:cs="Arial CE"/>
                <w:sz w:val="20"/>
                <w:szCs w:val="20"/>
              </w:rPr>
            </w:pPr>
            <w:proofErr w:type="spellStart"/>
            <w:r>
              <w:rPr>
                <w:rFonts w:ascii="Arial CE" w:hAnsi="Arial CE" w:cs="Arial CE"/>
                <w:sz w:val="20"/>
                <w:szCs w:val="20"/>
              </w:rPr>
              <w:t>xxxxxxxxxxxx</w:t>
            </w:r>
            <w:proofErr w:type="spellEnd"/>
          </w:p>
        </w:tc>
        <w:tc>
          <w:tcPr>
            <w:tcW w:w="1634" w:type="dxa"/>
            <w:tcBorders>
              <w:top w:val="single" w:sz="4" w:space="0" w:color="auto"/>
              <w:left w:val="nil"/>
              <w:bottom w:val="single" w:sz="4" w:space="0" w:color="auto"/>
              <w:right w:val="single" w:sz="4" w:space="0" w:color="auto"/>
            </w:tcBorders>
            <w:noWrap/>
            <w:vAlign w:val="bottom"/>
          </w:tcPr>
          <w:p w14:paraId="0633AC31" w14:textId="61048CBD" w:rsidR="00D96CD3" w:rsidRDefault="00387B8B" w:rsidP="00D96CD3">
            <w:pPr>
              <w:jc w:val="right"/>
              <w:rPr>
                <w:rFonts w:ascii="Arial CE" w:hAnsi="Arial CE" w:cs="Arial CE"/>
                <w:sz w:val="20"/>
                <w:szCs w:val="20"/>
              </w:rPr>
            </w:pPr>
            <w:r>
              <w:rPr>
                <w:rFonts w:ascii="Arial CE" w:hAnsi="Arial CE" w:cs="Arial CE"/>
                <w:sz w:val="20"/>
                <w:szCs w:val="20"/>
              </w:rPr>
              <w:t>xxxxxxxxxx</w:t>
            </w:r>
            <w:bookmarkStart w:id="10" w:name="_GoBack"/>
            <w:bookmarkEnd w:id="10"/>
          </w:p>
        </w:tc>
      </w:tr>
    </w:tbl>
    <w:p w14:paraId="418CF79D" w14:textId="77777777" w:rsidR="001143D6" w:rsidRDefault="001143D6" w:rsidP="001143D6"/>
    <w:p w14:paraId="047A9B03" w14:textId="77777777" w:rsidR="001143D6" w:rsidRDefault="001143D6" w:rsidP="001143D6"/>
    <w:p w14:paraId="62F78FC4" w14:textId="77777777" w:rsidR="00AA34DF" w:rsidRDefault="00AA34DF" w:rsidP="001143D6"/>
    <w:sectPr w:rsidR="00AA34DF"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78FC8" w14:textId="77777777" w:rsidR="00EE44D9" w:rsidRDefault="00EE44D9" w:rsidP="006337DC">
      <w:r>
        <w:separator/>
      </w:r>
    </w:p>
  </w:endnote>
  <w:endnote w:type="continuationSeparator" w:id="0">
    <w:p w14:paraId="62F78FC9" w14:textId="77777777" w:rsidR="00EE44D9" w:rsidRDefault="00EE44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5DC2D410"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387B8B">
      <w:rPr>
        <w:noProof/>
        <w:sz w:val="20"/>
        <w:szCs w:val="20"/>
      </w:rPr>
      <w:t>10</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77BDBEFD" w:rsidR="001B5F9C" w:rsidRDefault="001B5F9C">
    <w:pPr>
      <w:pStyle w:val="Zpat"/>
      <w:jc w:val="center"/>
    </w:pPr>
    <w:r>
      <w:fldChar w:fldCharType="begin"/>
    </w:r>
    <w:r>
      <w:instrText>PAGE   \* MERGEFORMAT</w:instrText>
    </w:r>
    <w:r>
      <w:fldChar w:fldCharType="separate"/>
    </w:r>
    <w:r w:rsidR="00387B8B">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8FC6" w14:textId="77777777" w:rsidR="00EE44D9" w:rsidRDefault="00EE44D9" w:rsidP="006337DC">
      <w:r>
        <w:separator/>
      </w:r>
    </w:p>
  </w:footnote>
  <w:footnote w:type="continuationSeparator" w:id="0">
    <w:p w14:paraId="62F78FC7" w14:textId="77777777" w:rsidR="00EE44D9" w:rsidRDefault="00EE44D9"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323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43D6"/>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87B8B"/>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23B9E"/>
    <w:rsid w:val="00430BDA"/>
    <w:rsid w:val="00432606"/>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30D0"/>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44FA"/>
    <w:rsid w:val="006D0000"/>
    <w:rsid w:val="006D074E"/>
    <w:rsid w:val="006D3968"/>
    <w:rsid w:val="006D5E44"/>
    <w:rsid w:val="006D7214"/>
    <w:rsid w:val="006D7971"/>
    <w:rsid w:val="006E1936"/>
    <w:rsid w:val="006E2DA5"/>
    <w:rsid w:val="006E4E2A"/>
    <w:rsid w:val="006F50E5"/>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6E74"/>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A7A47"/>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6CD3"/>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4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4.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1F45F9-6D3E-4C84-9C0A-22792AD54727}">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a7e37686-00e6-405d-9032-d05dd3ba55a9"/>
    <ds:schemaRef ds:uri="http://www.w3.org/XML/1998/namespace"/>
  </ds:schemaRefs>
</ds:datastoreItem>
</file>

<file path=customXml/itemProps6.xml><?xml version="1.0" encoding="utf-8"?>
<ds:datastoreItem xmlns:ds="http://schemas.openxmlformats.org/officeDocument/2006/customXml" ds:itemID="{AD7A3481-6B75-4BAA-A525-E88E8569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3835</Words>
  <Characters>21868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Havelková Veronika</cp:lastModifiedBy>
  <cp:revision>13</cp:revision>
  <cp:lastPrinted>2020-09-17T13:32:00Z</cp:lastPrinted>
  <dcterms:created xsi:type="dcterms:W3CDTF">2020-08-10T07:55:00Z</dcterms:created>
  <dcterms:modified xsi:type="dcterms:W3CDTF">2020-11-13T08:10:00Z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