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D3" w:rsidRDefault="007B38D3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7B38D3" w:rsidRDefault="007B38D3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1"/>
        </w:numPr>
        <w:spacing w:after="0"/>
        <w:ind w:left="284" w:hanging="284"/>
      </w:pPr>
      <w:r>
        <w:rPr>
          <w:rFonts w:ascii="Arial" w:hAnsi="Arial" w:cs="Arial"/>
          <w:b/>
          <w:sz w:val="20"/>
          <w:szCs w:val="20"/>
        </w:rPr>
        <w:t xml:space="preserve">Prodávající: </w:t>
      </w:r>
      <w:r>
        <w:rPr>
          <w:rFonts w:ascii="Arial" w:hAnsi="Arial" w:cs="Arial"/>
          <w:b/>
          <w:sz w:val="20"/>
          <w:szCs w:val="20"/>
        </w:rPr>
        <w:tab/>
        <w:t>INTAC spol. s r.o.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společnost zapsaná</w:t>
      </w:r>
      <w:r>
        <w:rPr>
          <w:rFonts w:ascii="Arial" w:hAnsi="Arial" w:cs="Arial"/>
          <w:sz w:val="20"/>
          <w:szCs w:val="20"/>
        </w:rPr>
        <w:tab/>
        <w:t xml:space="preserve">u Krajského soudu v Brně, </w:t>
      </w:r>
      <w:proofErr w:type="gramStart"/>
      <w:r>
        <w:rPr>
          <w:rFonts w:ascii="Arial" w:hAnsi="Arial" w:cs="Arial"/>
          <w:sz w:val="20"/>
          <w:szCs w:val="20"/>
        </w:rPr>
        <w:t>4801C</w:t>
      </w:r>
      <w:proofErr w:type="gramEnd"/>
      <w:r>
        <w:rPr>
          <w:rFonts w:ascii="Arial" w:hAnsi="Arial" w:cs="Arial"/>
          <w:sz w:val="20"/>
          <w:szCs w:val="20"/>
        </w:rPr>
        <w:br/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Bohuslava Martinů 36, 602 00 Brno</w:t>
      </w:r>
      <w:r>
        <w:rPr>
          <w:rFonts w:ascii="Arial" w:hAnsi="Arial" w:cs="Arial"/>
          <w:sz w:val="20"/>
          <w:szCs w:val="20"/>
        </w:rPr>
        <w:br/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45475431</w:t>
      </w:r>
      <w:r>
        <w:rPr>
          <w:rFonts w:ascii="Arial" w:hAnsi="Arial" w:cs="Arial"/>
          <w:sz w:val="20"/>
          <w:szCs w:val="20"/>
        </w:rPr>
        <w:br/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CZ45475431</w:t>
      </w:r>
      <w:r>
        <w:rPr>
          <w:rFonts w:ascii="Arial" w:hAnsi="Arial" w:cs="Arial"/>
          <w:sz w:val="20"/>
          <w:szCs w:val="20"/>
        </w:rPr>
        <w:br/>
        <w:t xml:space="preserve">zastoupená: </w:t>
      </w:r>
      <w:r>
        <w:rPr>
          <w:rFonts w:ascii="Arial" w:hAnsi="Arial" w:cs="Arial"/>
          <w:sz w:val="20"/>
          <w:szCs w:val="20"/>
        </w:rPr>
        <w:tab/>
        <w:t>Ing. Tomášem Morkusem</w:t>
      </w:r>
      <w:r>
        <w:rPr>
          <w:rFonts w:ascii="Arial" w:hAnsi="Arial" w:cs="Arial"/>
          <w:sz w:val="20"/>
          <w:szCs w:val="20"/>
        </w:rPr>
        <w:br/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číslo účtu: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telefon: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(dále jenom „prodávající“)</w:t>
      </w:r>
      <w:r>
        <w:rPr>
          <w:rFonts w:ascii="Arial" w:hAnsi="Arial" w:cs="Arial"/>
          <w:sz w:val="20"/>
          <w:szCs w:val="20"/>
        </w:rPr>
        <w:br/>
      </w:r>
    </w:p>
    <w:p w:rsidR="007B38D3" w:rsidRDefault="00C41FB0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7B38D3" w:rsidRDefault="007B38D3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C41FB0" w:rsidRDefault="00C41FB0">
      <w:pPr>
        <w:numPr>
          <w:ilvl w:val="0"/>
          <w:numId w:val="1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Kupující: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Česká agentura na podporu obchodu/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                                  státní příspěvková organizace nezapsaná v OR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Dittricho</w:t>
      </w:r>
      <w:r>
        <w:rPr>
          <w:rFonts w:ascii="Arial" w:eastAsia="Times New Roman" w:hAnsi="Arial" w:cs="Arial"/>
          <w:sz w:val="20"/>
          <w:szCs w:val="20"/>
          <w:lang w:eastAsia="cs-CZ"/>
        </w:rPr>
        <w:t>va 1968/21, Praha 2, PSČ 128 01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00001171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CZ00001171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oprávněná osoba: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Ing. Radomil Doležal, MBA, generální ředitel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7B38D3" w:rsidRDefault="00C41FB0">
      <w:pPr>
        <w:numPr>
          <w:ilvl w:val="0"/>
          <w:numId w:val="1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(dále jenom „kupující“)</w:t>
      </w:r>
    </w:p>
    <w:p w:rsidR="007B38D3" w:rsidRDefault="007B38D3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z</w:t>
      </w:r>
      <w:r>
        <w:rPr>
          <w:rFonts w:ascii="Arial" w:hAnsi="Arial" w:cs="Arial"/>
          <w:b/>
          <w:sz w:val="20"/>
          <w:szCs w:val="20"/>
        </w:rPr>
        <w:t> a v í r a j í</w:t>
      </w:r>
    </w:p>
    <w:p w:rsidR="007B38D3" w:rsidRDefault="007B38D3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7B38D3" w:rsidRDefault="00C41FB0">
      <w:pPr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 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color w:val="000000"/>
          <w:sz w:val="20"/>
          <w:szCs w:val="20"/>
        </w:rPr>
        <w:t>základě výsledku veřejné zakázky malého rozsahu na dodávku „Rackové UPS vč. příslušenství (10</w:t>
      </w:r>
      <w:r>
        <w:rPr>
          <w:rFonts w:ascii="Arial" w:hAnsi="Arial" w:cs="Arial"/>
          <w:color w:val="000000"/>
          <w:sz w:val="20"/>
          <w:szCs w:val="20"/>
        </w:rPr>
        <w:t>/2020)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eastAsia="Times New Roman" w:hAnsi="Arial" w:cs="Arial"/>
          <w:sz w:val="20"/>
          <w:szCs w:val="20"/>
          <w:lang w:eastAsia="cs-CZ"/>
        </w:rPr>
        <w:t>Českou agenturu na podporu obchodu/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CzechTrade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vyhlášené pod č.j. N006/20/V00026317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elektronickém tržišti NEN dne 7.10</w:t>
      </w:r>
      <w:r>
        <w:rPr>
          <w:rFonts w:ascii="Arial" w:hAnsi="Arial" w:cs="Arial"/>
          <w:sz w:val="20"/>
          <w:szCs w:val="20"/>
        </w:rPr>
        <w:t>.2020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tuto kupní smlouvu (dále jen „smlouva“):</w:t>
      </w:r>
    </w:p>
    <w:p w:rsidR="007B38D3" w:rsidRDefault="007B38D3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plnění</w:t>
      </w: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závazek prodávajícího dodat</w:t>
      </w:r>
      <w:r>
        <w:rPr>
          <w:rFonts w:ascii="Arial" w:hAnsi="Arial" w:cs="Arial"/>
          <w:sz w:val="20"/>
          <w:szCs w:val="20"/>
        </w:rPr>
        <w:t xml:space="preserve"> kupujícímu výpočetní techniku specifikovanou v odst. 2 tohoto článku (dále jen „předmět koupě“) a převést na něj vlastnické právo k předmětu koupě. Kupující se zavazuje předmět koupě převzít a zaplatit za něj kupní cenu dle čl. II této smlouvy.</w:t>
      </w:r>
    </w:p>
    <w:p w:rsidR="007B38D3" w:rsidRDefault="007B38D3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</w:t>
      </w:r>
      <w:r>
        <w:rPr>
          <w:rFonts w:ascii="Arial" w:hAnsi="Arial" w:cs="Arial"/>
          <w:sz w:val="20"/>
          <w:szCs w:val="20"/>
        </w:rPr>
        <w:t>cí se zavazuje dodat kupujícímu výpočetní techniku s následujícími parametry:</w:t>
      </w:r>
    </w:p>
    <w:p w:rsidR="007B38D3" w:rsidRDefault="007B38D3">
      <w:pPr>
        <w:spacing w:after="0"/>
        <w:ind w:firstLine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2"/>
        <w:tblW w:w="8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3"/>
        <w:gridCol w:w="1559"/>
        <w:gridCol w:w="1557"/>
      </w:tblGrid>
      <w:tr w:rsidR="007B38D3">
        <w:trPr>
          <w:cantSplit/>
          <w:trHeight w:val="501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000000" w:fill="FFFFFF"/>
            <w:vAlign w:val="center"/>
          </w:tcPr>
          <w:p w:rsidR="007B38D3" w:rsidRDefault="00C41FB0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000000" w:fill="FFFFFF"/>
            <w:vAlign w:val="center"/>
          </w:tcPr>
          <w:p w:rsidR="007B38D3" w:rsidRDefault="00C41FB0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000000" w:fill="FFFFFF"/>
            <w:vAlign w:val="center"/>
          </w:tcPr>
          <w:p w:rsidR="007B38D3" w:rsidRDefault="00C41FB0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000000" w:fill="FFFFFF"/>
          </w:tcPr>
          <w:p w:rsidR="007B38D3" w:rsidRDefault="00C41FB0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s DPH</w:t>
            </w:r>
          </w:p>
        </w:tc>
      </w:tr>
      <w:tr w:rsidR="007B38D3">
        <w:trPr>
          <w:cantSplit/>
          <w:trHeight w:val="43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 ks</w:t>
            </w:r>
            <w:r>
              <w:rPr>
                <w:b/>
                <w:sz w:val="20"/>
              </w:rPr>
              <w:t xml:space="preserve">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</w:pPr>
            <w:r>
              <w:rPr>
                <w:rFonts w:ascii="Arial" w:hAnsi="Arial" w:cs="Arial"/>
                <w:sz w:val="20"/>
              </w:rPr>
              <w:t>APC Smart-UPS SRT 10kVA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</w:pPr>
            <w:r>
              <w:rPr>
                <w:rFonts w:ascii="Arial" w:hAnsi="Arial" w:cs="Arial"/>
                <w:b/>
                <w:sz w:val="20"/>
                <w:szCs w:val="24"/>
              </w:rPr>
              <w:t>356 556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</w:pPr>
            <w:r>
              <w:rPr>
                <w:rFonts w:ascii="Arial" w:hAnsi="Arial" w:cs="Arial"/>
                <w:b/>
                <w:sz w:val="20"/>
                <w:szCs w:val="24"/>
              </w:rPr>
              <w:t>431432,76</w:t>
            </w:r>
          </w:p>
        </w:tc>
      </w:tr>
      <w:tr w:rsidR="007B38D3">
        <w:trPr>
          <w:cantSplit/>
          <w:trHeight w:val="43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</w:pPr>
            <w:r>
              <w:rPr>
                <w:rFonts w:ascii="Arial" w:hAnsi="Arial" w:cs="Arial"/>
                <w:sz w:val="20"/>
                <w:szCs w:val="24"/>
              </w:rPr>
              <w:t>APC Smart-UPS SRT 6000VA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</w:pPr>
            <w:r>
              <w:rPr>
                <w:rFonts w:ascii="Arial" w:hAnsi="Arial" w:cs="Arial"/>
                <w:b/>
                <w:sz w:val="20"/>
                <w:szCs w:val="24"/>
              </w:rPr>
              <w:t>248 172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pStyle w:val="Zkladntext"/>
              <w:jc w:val="center"/>
            </w:pPr>
            <w:r>
              <w:rPr>
                <w:rFonts w:ascii="Arial" w:hAnsi="Arial" w:cs="Arial"/>
                <w:b/>
                <w:sz w:val="20"/>
                <w:szCs w:val="24"/>
              </w:rPr>
              <w:t>300288,12</w:t>
            </w:r>
          </w:p>
        </w:tc>
      </w:tr>
    </w:tbl>
    <w:p w:rsidR="007B38D3" w:rsidRDefault="007B38D3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</w:t>
      </w:r>
      <w:r>
        <w:rPr>
          <w:rFonts w:ascii="Arial" w:hAnsi="Arial" w:cs="Arial"/>
          <w:sz w:val="20"/>
          <w:szCs w:val="20"/>
        </w:rPr>
        <w:t xml:space="preserve"> se zavazuje dodat kupujícímu k předmětu koupě, nejpozději v době jeho dodání, v místě dodání veškeré dokumenty potřebné k převzetí a užívání předmětu koupě.</w:t>
      </w:r>
    </w:p>
    <w:p w:rsidR="007B38D3" w:rsidRDefault="007B38D3">
      <w:pPr>
        <w:pStyle w:val="Odstavecseseznamem"/>
        <w:spacing w:after="0"/>
        <w:ind w:firstLine="0"/>
        <w:rPr>
          <w:rFonts w:ascii="Arial" w:hAnsi="Arial" w:cs="Arial"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</w:t>
      </w: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plnění za dodání předmětu koupě uvedeného v článku I, odst. 2 tét</w:t>
      </w:r>
      <w:r>
        <w:rPr>
          <w:rFonts w:ascii="Arial" w:hAnsi="Arial" w:cs="Arial"/>
          <w:sz w:val="20"/>
          <w:szCs w:val="20"/>
        </w:rPr>
        <w:t>o smlouvy je stanovena dohodou smluvních stran a činí:</w:t>
      </w:r>
    </w:p>
    <w:p w:rsidR="007B38D3" w:rsidRDefault="007B38D3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  <w:t xml:space="preserve">961 284 Kč </w:t>
      </w:r>
    </w:p>
    <w:p w:rsidR="007B38D3" w:rsidRDefault="00C41FB0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7B38D3" w:rsidRDefault="00C41FB0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201 869,64 Kč</w:t>
      </w:r>
    </w:p>
    <w:p w:rsidR="007B38D3" w:rsidRDefault="007B38D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B38D3" w:rsidRDefault="00C41FB0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  <w:t>1 163 153,64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Kupní cena je konečná a nejvýše přípustná a lze ji měnit pouze na základě změny platné sazby DPH. Kupní cena za</w:t>
      </w:r>
      <w:r>
        <w:rPr>
          <w:rFonts w:ascii="Arial" w:hAnsi="Arial" w:cs="Arial"/>
          <w:sz w:val="20"/>
          <w:szCs w:val="20"/>
        </w:rPr>
        <w:t>hrnuje veškeré náklady prodávajícího spojené s dodáním předmětu koupě, a to včetně nákladů na dopravu zboží do místa dodání dle článku III této smlouvy.</w:t>
      </w: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III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místo plnění</w:t>
      </w:r>
    </w:p>
    <w:p w:rsidR="007B38D3" w:rsidRDefault="007B38D3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dodat předmět koupě v rozsahu dle specifikace </w:t>
      </w:r>
      <w:r>
        <w:rPr>
          <w:rFonts w:ascii="Arial" w:hAnsi="Arial" w:cs="Arial"/>
          <w:sz w:val="20"/>
          <w:szCs w:val="20"/>
        </w:rPr>
        <w:t>uvedené v čl. I, odst. 2 této smlouvy, a to ve lhůtě do 30 dnů od podpisu smlouvy.</w:t>
      </w:r>
    </w:p>
    <w:p w:rsidR="007B38D3" w:rsidRDefault="00C41FB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dodá předmět koupě do smluveného místa plnění, jímž je sídlo kupujícího uvedené v záhlaví této smlouvy.</w:t>
      </w:r>
    </w:p>
    <w:p w:rsidR="007B38D3" w:rsidRDefault="00C41FB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sdělí kupujícímu čas dodávky nejméně jeden pr</w:t>
      </w:r>
      <w:r>
        <w:rPr>
          <w:rFonts w:ascii="Arial" w:hAnsi="Arial" w:cs="Arial"/>
          <w:sz w:val="20"/>
          <w:szCs w:val="20"/>
        </w:rPr>
        <w:t>acovní den před předáním a převzetím dodávky, a to písemnou formou na e-mailovou adresu kontaktní osoby uvedenou v čl. VI této smlouvy.</w:t>
      </w:r>
    </w:p>
    <w:p w:rsidR="007B38D3" w:rsidRDefault="00C41FB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</w:t>
      </w:r>
      <w:r>
        <w:rPr>
          <w:rFonts w:ascii="Arial" w:hAnsi="Arial" w:cs="Arial"/>
          <w:sz w:val="20"/>
          <w:szCs w:val="20"/>
        </w:rPr>
        <w:t>mu.</w:t>
      </w:r>
    </w:p>
    <w:p w:rsidR="007B38D3" w:rsidRDefault="00C41FB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není povinen převzít předmět koupě, který neodpovídá sjednanému rozsahu, jakosti nebo provedení.   </w:t>
      </w:r>
    </w:p>
    <w:p w:rsidR="007B38D3" w:rsidRDefault="00C41FB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Řádné předání a převzetí předmětu koupě v rozsahu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čl. I, odst. 2 této smlouvy bude potvrzeno podepsáním předávacího protokolu.</w:t>
      </w: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IV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:rsidR="007B38D3" w:rsidRDefault="007B38D3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:rsidR="007B38D3" w:rsidRDefault="00C41FB0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Platba bude provedena bezhotovostním převodem ve prospěch účtu prodávajícího uvedeného na faktuře vystavené prodávajícím. Podkladem pro vystavení faktury je podepsaný p</w:t>
      </w:r>
      <w:r>
        <w:rPr>
          <w:rFonts w:ascii="Arial" w:hAnsi="Arial" w:cs="Arial"/>
          <w:sz w:val="20"/>
          <w:szCs w:val="20"/>
        </w:rPr>
        <w:t>rotokol o řádném předání a převzetí předmětu koupě.</w:t>
      </w:r>
    </w:p>
    <w:p w:rsidR="007B38D3" w:rsidRDefault="00C41FB0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splatnosti faktury se stanovuje na 14 kalendářních dní od jejího doručení do sídla kupujícího.</w:t>
      </w:r>
    </w:p>
    <w:p w:rsidR="007B38D3" w:rsidRDefault="00C41FB0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 musí obsahovat veškeré náležitosti daňového dokladu podle § 28 odst. 2 zákona č. 235/2004 Sb., o</w:t>
      </w:r>
      <w:r>
        <w:rPr>
          <w:rFonts w:ascii="Arial" w:hAnsi="Arial" w:cs="Arial"/>
          <w:sz w:val="20"/>
          <w:szCs w:val="20"/>
        </w:rPr>
        <w:t xml:space="preserve"> dani z přidané hodnoty, ve znění pozdějších předpisů (dále jen "zákon o DPH") a § 435 občanského zákoníku. Nebude-li faktura uvedené náležitosti obsahovat, kupující má právo ji vrátit prodávajícímu. Při vrácení bude uveden důvod vrácení. V takovém případě</w:t>
      </w:r>
      <w:r>
        <w:rPr>
          <w:rFonts w:ascii="Arial" w:hAnsi="Arial" w:cs="Arial"/>
          <w:sz w:val="20"/>
          <w:szCs w:val="20"/>
        </w:rPr>
        <w:t xml:space="preserve"> se </w:t>
      </w:r>
      <w:r>
        <w:rPr>
          <w:rFonts w:ascii="Arial" w:hAnsi="Arial" w:cs="Arial"/>
          <w:sz w:val="20"/>
          <w:szCs w:val="20"/>
        </w:rPr>
        <w:lastRenderedPageBreak/>
        <w:t>přerušuje doba splatnosti, která začíná běžet po doručení opravené faktury do sídla kupujícího. Kupující se s neuhrazením takto vadně vystavené faktury nedostává do prodlení.</w:t>
      </w:r>
    </w:p>
    <w:p w:rsidR="007B38D3" w:rsidRDefault="00C41FB0">
      <w:pPr>
        <w:pStyle w:val="Odstavecseseznamem"/>
        <w:numPr>
          <w:ilvl w:val="0"/>
          <w:numId w:val="6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:rsidR="007B38D3" w:rsidRDefault="00C41FB0">
      <w:pPr>
        <w:pStyle w:val="Nadpis2"/>
        <w:numPr>
          <w:ilvl w:val="0"/>
          <w:numId w:val="6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Prodávající se zavazuje, že v souladu s příslušnými ustanoveními zákona o DPH odvede příslušnému správci daně příslušnou DPH ve výši dle platných právních předpisů, která bude připočtena k úplatě a bude v její souvislosti uhrazena prodávajícímu dle smlouv</w:t>
      </w:r>
      <w:r>
        <w:rPr>
          <w:rFonts w:ascii="Arial" w:hAnsi="Arial" w:cs="Arial"/>
          <w:b w:val="0"/>
          <w:i w:val="0"/>
          <w:sz w:val="20"/>
          <w:szCs w:val="20"/>
        </w:rPr>
        <w:t>y.</w:t>
      </w:r>
    </w:p>
    <w:p w:rsidR="007B38D3" w:rsidRDefault="00C41FB0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že:</w:t>
      </w:r>
    </w:p>
    <w:p w:rsidR="007B38D3" w:rsidRDefault="00C41FB0">
      <w:pPr>
        <w:pStyle w:val="Odstavecseseznamem"/>
        <w:numPr>
          <w:ilvl w:val="4"/>
          <w:numId w:val="2"/>
        </w:numPr>
        <w:spacing w:after="0"/>
        <w:ind w:left="1418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nesplní svou povinnost dle tohoto článku smlouvy a neodvede příslušnou DPH či její část v souvislosti s touto smlouvou příslušnému správci daně, a</w:t>
      </w:r>
    </w:p>
    <w:p w:rsidR="007B38D3" w:rsidRDefault="00C41FB0">
      <w:pPr>
        <w:pStyle w:val="Odstavecseseznamem"/>
        <w:numPr>
          <w:ilvl w:val="4"/>
          <w:numId w:val="2"/>
        </w:numPr>
        <w:spacing w:after="0"/>
        <w:ind w:left="1418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kupujícímu vznikne za podmínek stanovených Zákonem o DPH z titulu zákonného </w:t>
      </w:r>
      <w:r>
        <w:rPr>
          <w:rFonts w:ascii="Arial" w:hAnsi="Arial" w:cs="Arial"/>
          <w:sz w:val="20"/>
          <w:szCs w:val="20"/>
        </w:rPr>
        <w:t>ručení na základě výzvy příslušného správce daně povinnost příslušnou DPH či její část v souvislosti s touto smlouvou odvést, a</w:t>
      </w:r>
    </w:p>
    <w:p w:rsidR="007B38D3" w:rsidRDefault="00C41FB0">
      <w:pPr>
        <w:pStyle w:val="Odstavecseseznamem"/>
        <w:numPr>
          <w:ilvl w:val="4"/>
          <w:numId w:val="2"/>
        </w:numPr>
        <w:spacing w:after="0"/>
        <w:ind w:left="1418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příslušnou DPH či její část příslušnému správci daně odvede, prodávající se zavazuje, neprodleně po obdržení písemného </w:t>
      </w:r>
      <w:r>
        <w:rPr>
          <w:rFonts w:ascii="Arial" w:hAnsi="Arial" w:cs="Arial"/>
          <w:sz w:val="20"/>
          <w:szCs w:val="20"/>
        </w:rPr>
        <w:t>oznámení kupujícího, jehož přílohou bude doklad prokazující odvedení příslušné DPH či její části, příslušnému správci daně v souvislosti s touto smlouvou uhradit na účet uvedený v oznámení kupujícího příslušnou DPH či její část, kterou za prodávajícího ten</w:t>
      </w:r>
      <w:r>
        <w:rPr>
          <w:rFonts w:ascii="Arial" w:hAnsi="Arial" w:cs="Arial"/>
          <w:sz w:val="20"/>
          <w:szCs w:val="20"/>
        </w:rPr>
        <w:t>to odvedl příslušnému správci daně.</w:t>
      </w:r>
    </w:p>
    <w:p w:rsidR="007B38D3" w:rsidRDefault="00C41FB0">
      <w:pPr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dojde k porušení povinnosti prodávajícího dle tohoto odstavce smlouvy a kupující odvede za prodávajícího příslušnou DPH či její část, kupující je oprávněn započíst tuto svou pohledávku za prodávajícího proti jakéko</w:t>
      </w:r>
      <w:r>
        <w:rPr>
          <w:rFonts w:ascii="Arial" w:hAnsi="Arial" w:cs="Arial"/>
          <w:sz w:val="20"/>
          <w:szCs w:val="20"/>
        </w:rPr>
        <w:t>liv pohledávce prodávajícího za kupujícím plynoucí z této smlouvy nebo proti jakékoliv jiné pohledávce prodávajícího za kupujícím.</w:t>
      </w:r>
    </w:p>
    <w:p w:rsidR="007B38D3" w:rsidRDefault="007B38D3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B38D3" w:rsidRDefault="007B38D3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:rsidR="007B38D3" w:rsidRDefault="007B38D3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počíná běžet okamžikem převzetí předmětu koupě kupujícím. Délka záruční lhůty je na jednotlivé k</w:t>
      </w:r>
      <w:r>
        <w:rPr>
          <w:rFonts w:ascii="Arial" w:hAnsi="Arial" w:cs="Arial"/>
          <w:sz w:val="20"/>
          <w:szCs w:val="20"/>
        </w:rPr>
        <w:t>omponenty podrobně specifikované v Příloze č.1.</w:t>
      </w:r>
    </w:p>
    <w:p w:rsidR="007B38D3" w:rsidRDefault="00C41FB0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Záruka se vztahuje na všechny vady, které vznikly po dobu používání zařízení s výjimkou vad způsobených fyzickým poškozením zařízení případně jeho provozem mimo běžné parametry prostorů sálů s výpočetní techn</w:t>
      </w:r>
      <w:r>
        <w:rPr>
          <w:rFonts w:ascii="Arial" w:hAnsi="Arial" w:cs="Arial"/>
          <w:sz w:val="20"/>
          <w:szCs w:val="20"/>
        </w:rPr>
        <w:t>ikou.</w:t>
      </w:r>
    </w:p>
    <w:p w:rsidR="007B38D3" w:rsidRDefault="00C41FB0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nebude posuzovat jako vadu stav, kdy kapacita baterie za dobu 5 let ztratí maximálně </w:t>
      </w:r>
      <w:proofErr w:type="gramStart"/>
      <w:r>
        <w:rPr>
          <w:rFonts w:ascii="Arial" w:hAnsi="Arial" w:cs="Arial"/>
          <w:sz w:val="20"/>
          <w:szCs w:val="20"/>
        </w:rPr>
        <w:t>40%</w:t>
      </w:r>
      <w:proofErr w:type="gramEnd"/>
      <w:r>
        <w:rPr>
          <w:rFonts w:ascii="Arial" w:hAnsi="Arial" w:cs="Arial"/>
          <w:sz w:val="20"/>
          <w:szCs w:val="20"/>
        </w:rPr>
        <w:t xml:space="preserve"> své původní kapacity.</w:t>
      </w: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7B38D3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VI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osoby</w:t>
      </w:r>
    </w:p>
    <w:p w:rsidR="007B38D3" w:rsidRDefault="007B38D3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13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osobami na straně prodávajícího v záležitostech týkajících se této smlouvy jsou: </w:t>
      </w:r>
    </w:p>
    <w:p w:rsidR="007B38D3" w:rsidRDefault="007B38D3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kupujícího v záležitostech týkajících se této smlouvy jsou:</w:t>
      </w:r>
    </w:p>
    <w:p w:rsidR="007B38D3" w:rsidRDefault="007B38D3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mohou být změněny jednostranným písemným oznámením doručeným (e-mailem, poštou) přísl</w:t>
      </w:r>
      <w:r>
        <w:rPr>
          <w:rFonts w:ascii="Arial" w:hAnsi="Arial" w:cs="Arial"/>
          <w:sz w:val="20"/>
          <w:szCs w:val="20"/>
        </w:rPr>
        <w:t>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VII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Sankční ustanovení</w:t>
      </w:r>
    </w:p>
    <w:p w:rsidR="007B38D3" w:rsidRDefault="007B38D3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pro případ pozdního dodání předmětu koupě, tedy v rozporu s čl. III této smlouvy, se prodávající zavazuje uhradit kupujícímu smluvní pokutu ve výši 0,05 % z ceny předmětu koupě za každý i započatý den prodlení. Úhradou této sm</w:t>
      </w:r>
      <w:r>
        <w:rPr>
          <w:rFonts w:ascii="Arial" w:hAnsi="Arial" w:cs="Arial"/>
          <w:sz w:val="20"/>
          <w:szCs w:val="20"/>
        </w:rPr>
        <w:t xml:space="preserve">luvní pokuty není dotčeno právo kupujícího na náhradu újmy, a to i nad její rámec. </w:t>
      </w:r>
    </w:p>
    <w:p w:rsidR="007B38D3" w:rsidRDefault="00C41FB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prodlení kupujícího s úhradou ceny předmětu koupě dle této smlouvy je prodávající oprávněn požadovat úhradu úroku z prodlení ve výši 0,05 % z dlužné částky za kaž</w:t>
      </w:r>
      <w:r>
        <w:rPr>
          <w:rFonts w:ascii="Arial" w:hAnsi="Arial" w:cs="Arial"/>
          <w:sz w:val="20"/>
          <w:szCs w:val="20"/>
        </w:rPr>
        <w:t xml:space="preserve">dý den prodlení. </w:t>
      </w:r>
    </w:p>
    <w:p w:rsidR="007B38D3" w:rsidRDefault="007B38D3">
      <w:pPr>
        <w:rPr>
          <w:rFonts w:ascii="Arial" w:hAnsi="Arial" w:cs="Arial"/>
          <w:sz w:val="20"/>
          <w:szCs w:val="20"/>
        </w:rPr>
      </w:pPr>
    </w:p>
    <w:p w:rsidR="007B38D3" w:rsidRDefault="007B38D3">
      <w:pPr>
        <w:rPr>
          <w:rFonts w:ascii="Arial" w:hAnsi="Arial" w:cs="Arial"/>
          <w:sz w:val="20"/>
          <w:szCs w:val="20"/>
        </w:rPr>
      </w:pPr>
    </w:p>
    <w:p w:rsidR="007B38D3" w:rsidRDefault="00C41FB0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VIII</w:t>
      </w:r>
    </w:p>
    <w:p w:rsidR="007B38D3" w:rsidRDefault="00C41FB0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Odstoupení od smlouvy</w:t>
      </w:r>
    </w:p>
    <w:p w:rsidR="007B38D3" w:rsidRDefault="007B38D3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:rsidR="007B38D3" w:rsidRDefault="00C41FB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smluvních povinností se má např. prodlení prodávajíc</w:t>
      </w:r>
      <w:r>
        <w:rPr>
          <w:rFonts w:ascii="Arial" w:hAnsi="Arial" w:cs="Arial"/>
          <w:sz w:val="20"/>
          <w:szCs w:val="20"/>
        </w:rPr>
        <w:t>ího s dodáním předmětu koupě delším než 14 kalendářních dnů nebo dodání vadného zboží.</w:t>
      </w:r>
    </w:p>
    <w:p w:rsidR="007B38D3" w:rsidRDefault="00C41FB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 od smlouvy musí být učiněno v písemné formě a doručeno provozovatelem poštovních služeb druhé smluvní straně s tím, že účinky nastávají dnem doručení oznámení</w:t>
      </w:r>
      <w:r>
        <w:rPr>
          <w:rFonts w:ascii="Arial" w:hAnsi="Arial" w:cs="Arial"/>
          <w:sz w:val="20"/>
          <w:szCs w:val="20"/>
        </w:rPr>
        <w:t xml:space="preserve"> o odstoupení na adresu sídla dotčené smluvní strany. Účinky doručení nastávají i v případě nevyzvednutí zásilky adresátem v úložní době a/nebo dnem odmítnutí převzetí takové písemnosti a/nebo dnem vrácení zásilky poštovním doručovatelem jako nedoručené.</w:t>
      </w:r>
    </w:p>
    <w:p w:rsidR="007B38D3" w:rsidRDefault="007B38D3">
      <w:pPr>
        <w:jc w:val="center"/>
        <w:rPr>
          <w:rFonts w:ascii="Arial" w:hAnsi="Arial" w:cs="Arial"/>
          <w:sz w:val="20"/>
          <w:szCs w:val="20"/>
        </w:rPr>
      </w:pPr>
    </w:p>
    <w:p w:rsidR="007B38D3" w:rsidRDefault="007B38D3">
      <w:pPr>
        <w:jc w:val="center"/>
        <w:rPr>
          <w:rFonts w:ascii="Arial" w:hAnsi="Arial" w:cs="Arial"/>
          <w:sz w:val="20"/>
          <w:szCs w:val="20"/>
        </w:rPr>
      </w:pPr>
    </w:p>
    <w:p w:rsidR="007B38D3" w:rsidRDefault="00C41F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IX</w:t>
      </w:r>
    </w:p>
    <w:p w:rsidR="007B38D3" w:rsidRDefault="00C41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Ochrana důvěrných informací</w:t>
      </w:r>
    </w:p>
    <w:p w:rsidR="007B38D3" w:rsidRDefault="00C41FB0">
      <w:pPr>
        <w:pStyle w:val="rtfbr"/>
        <w:numPr>
          <w:ilvl w:val="0"/>
          <w:numId w:val="14"/>
        </w:numPr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pro případ, že se v rámci plnění předmětu této smlouvy dostane do kontaktu s jakýmikoliv osobními údaji, že je bude ochraňovat a nakládat s nimi plně v souladu s příslušnými právními předpisy, zej</w:t>
      </w:r>
      <w:r>
        <w:rPr>
          <w:rFonts w:ascii="Arial" w:hAnsi="Arial" w:cs="Arial"/>
          <w:sz w:val="20"/>
          <w:szCs w:val="20"/>
        </w:rPr>
        <w:t xml:space="preserve">ména Nařízením </w:t>
      </w:r>
      <w:r>
        <w:rPr>
          <w:rFonts w:ascii="Arial" w:hAnsi="Arial" w:cs="Arial"/>
          <w:color w:val="121212"/>
          <w:sz w:val="20"/>
          <w:szCs w:val="20"/>
        </w:rPr>
        <w:t xml:space="preserve">Evropského parlamentu a Rady </w:t>
      </w:r>
      <w:r>
        <w:rPr>
          <w:rFonts w:ascii="Arial" w:hAnsi="Arial" w:cs="Arial"/>
          <w:sz w:val="20"/>
          <w:szCs w:val="20"/>
        </w:rPr>
        <w:t xml:space="preserve">(EU) 2016/679 (GDPR), a to i po ukončení platnosti a účinnosti této smlouvy. </w:t>
      </w:r>
    </w:p>
    <w:p w:rsidR="007B38D3" w:rsidRDefault="007B38D3">
      <w:pPr>
        <w:pStyle w:val="rtfbr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rtfbr"/>
        <w:numPr>
          <w:ilvl w:val="0"/>
          <w:numId w:val="14"/>
        </w:numPr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rovněž zavazuje v případě, že se v průběhu plnění této smlouvy dostane do kontaktu s jakýmikoliv údaji vztahujícími se</w:t>
      </w:r>
      <w:r>
        <w:rPr>
          <w:rFonts w:ascii="Arial" w:hAnsi="Arial" w:cs="Arial"/>
          <w:sz w:val="20"/>
          <w:szCs w:val="20"/>
        </w:rPr>
        <w:t xml:space="preserve"> ke kupujícímu nebo jeho činnosti, o tyto údaje náležitě pečovat, nezneužít je, nezměnit, ani jinak nepoškodit, neztratit, neznehodnotit. Jakýkoliv bezpečnostní incident týkající se údajů kupujícího je prodávající povinen okamžitě nahlásit kupujícímu. </w:t>
      </w:r>
    </w:p>
    <w:p w:rsidR="007B38D3" w:rsidRDefault="007B38D3">
      <w:pPr>
        <w:pStyle w:val="rtfbr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pStyle w:val="rtfbr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X</w:t>
      </w:r>
    </w:p>
    <w:p w:rsidR="007B38D3" w:rsidRDefault="00C41FB0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7B38D3" w:rsidRDefault="007B38D3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B38D3" w:rsidRDefault="00C41FB0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vztahy neupravené touto smlouvu se řídí dle příslušných ustanovení občanského zákoníku. </w:t>
      </w:r>
    </w:p>
    <w:p w:rsidR="007B38D3" w:rsidRDefault="00C41FB0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bere na vědomí a výslovně souhlasí s tím, že kupující je oprávněn v souvislosti se svojí zákonnou povinností uveřejnit </w:t>
      </w:r>
      <w:r>
        <w:rPr>
          <w:rFonts w:ascii="Arial" w:hAnsi="Arial" w:cs="Arial"/>
          <w:sz w:val="20"/>
          <w:szCs w:val="20"/>
        </w:rPr>
        <w:t xml:space="preserve">originál podepsané smlouvy v elektronické </w:t>
      </w:r>
      <w:proofErr w:type="gramStart"/>
      <w:r>
        <w:rPr>
          <w:rFonts w:ascii="Arial" w:hAnsi="Arial" w:cs="Arial"/>
          <w:sz w:val="20"/>
          <w:szCs w:val="20"/>
        </w:rPr>
        <w:t>podobě</w:t>
      </w:r>
      <w:proofErr w:type="gramEnd"/>
      <w:r>
        <w:rPr>
          <w:rFonts w:ascii="Arial" w:hAnsi="Arial" w:cs="Arial"/>
          <w:sz w:val="20"/>
          <w:szCs w:val="20"/>
        </w:rPr>
        <w:t xml:space="preserve"> a to bez časového omezení.</w:t>
      </w:r>
    </w:p>
    <w:p w:rsidR="007B38D3" w:rsidRDefault="00C41FB0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:rsidR="007B38D3" w:rsidRDefault="00C41FB0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účinnosti a platnosti dnem zv</w:t>
      </w:r>
      <w:r>
        <w:rPr>
          <w:rFonts w:ascii="Arial" w:hAnsi="Arial" w:cs="Arial"/>
          <w:sz w:val="20"/>
          <w:szCs w:val="20"/>
        </w:rPr>
        <w:t>eřejnění smlouvy v Registru smluv, přičemž zveřejnění zajišťuje kupující.</w:t>
      </w:r>
    </w:p>
    <w:p w:rsidR="007B38D3" w:rsidRDefault="00C41FB0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:rsidR="007B38D3" w:rsidRDefault="00C41FB0">
      <w:pPr>
        <w:pStyle w:val="Odstavecseseznamem"/>
        <w:numPr>
          <w:ilvl w:val="0"/>
          <w:numId w:val="8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</w:t>
      </w:r>
      <w:r>
        <w:rPr>
          <w:rFonts w:ascii="Arial" w:hAnsi="Arial" w:cs="Arial"/>
          <w:sz w:val="20"/>
          <w:szCs w:val="20"/>
        </w:rPr>
        <w:t xml:space="preserve"> smlouvy a ostatní ustanovení zůstávají platná a účinná. Smluvní strany se zavazují toto ustanovení nahradit ustanovením platným.</w:t>
      </w:r>
    </w:p>
    <w:p w:rsidR="007B38D3" w:rsidRDefault="00C41FB0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ve dvou stejnopisech s platností originálu, přičemž každá ze smluvních stran obdrží jeden </w:t>
      </w:r>
      <w:r>
        <w:rPr>
          <w:rFonts w:ascii="Arial" w:hAnsi="Arial" w:cs="Arial"/>
          <w:sz w:val="20"/>
          <w:szCs w:val="20"/>
        </w:rPr>
        <w:t>stejnopis.</w:t>
      </w:r>
    </w:p>
    <w:p w:rsidR="007B38D3" w:rsidRDefault="00C41FB0">
      <w:pPr>
        <w:pStyle w:val="Odstavecseseznamem"/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</w:t>
      </w:r>
      <w:r>
        <w:rPr>
          <w:rFonts w:ascii="Arial" w:hAnsi="Arial" w:cs="Arial"/>
          <w:sz w:val="20"/>
          <w:szCs w:val="20"/>
        </w:rPr>
        <w:t>mi podpisy.</w:t>
      </w:r>
    </w:p>
    <w:p w:rsidR="007B38D3" w:rsidRDefault="007B38D3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B38D3" w:rsidRDefault="007B38D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Zkladntextodsazen"/>
        <w:jc w:val="both"/>
      </w:pPr>
      <w:r>
        <w:rPr>
          <w:rFonts w:ascii="Arial" w:hAnsi="Arial" w:cs="Arial"/>
          <w:sz w:val="20"/>
          <w:szCs w:val="20"/>
        </w:rPr>
        <w:t>V Praze,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Brně, dne </w:t>
      </w:r>
    </w:p>
    <w:p w:rsidR="007B38D3" w:rsidRDefault="007B38D3">
      <w:pPr>
        <w:pStyle w:val="Zkladntextodsazen"/>
        <w:jc w:val="right"/>
        <w:rPr>
          <w:rFonts w:ascii="Arial" w:hAnsi="Arial" w:cs="Arial"/>
          <w:sz w:val="20"/>
          <w:szCs w:val="20"/>
        </w:rPr>
      </w:pPr>
    </w:p>
    <w:p w:rsidR="007B38D3" w:rsidRDefault="00C41FB0">
      <w:pPr>
        <w:pStyle w:val="Zkladntextodsazen"/>
        <w:spacing w:after="0"/>
        <w:ind w:left="0" w:firstLine="709"/>
        <w:jc w:val="both"/>
      </w:pPr>
      <w:r>
        <w:rPr>
          <w:rFonts w:ascii="Arial" w:hAnsi="Arial" w:cs="Arial"/>
          <w:sz w:val="20"/>
          <w:szCs w:val="20"/>
        </w:rPr>
        <w:t xml:space="preserve">……………………………………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</w:t>
      </w:r>
    </w:p>
    <w:p w:rsidR="007B38D3" w:rsidRDefault="00C41FB0">
      <w:pPr>
        <w:pStyle w:val="Zkladntextodsazen"/>
        <w:spacing w:after="0"/>
        <w:ind w:left="0" w:firstLine="709"/>
        <w:jc w:val="both"/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:rsidR="007B38D3" w:rsidRDefault="00C41FB0">
      <w:pPr>
        <w:pStyle w:val="Zkladntextodsazen"/>
        <w:spacing w:after="0"/>
        <w:ind w:left="0" w:firstLine="709"/>
        <w:jc w:val="both"/>
      </w:pPr>
      <w:r>
        <w:rPr>
          <w:rFonts w:ascii="Arial" w:hAnsi="Arial" w:cs="Arial"/>
          <w:sz w:val="20"/>
          <w:szCs w:val="20"/>
        </w:rPr>
        <w:t>Ing. Radomil Doležal, MBA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Tomáš Morkus</w:t>
      </w:r>
    </w:p>
    <w:p w:rsidR="007B38D3" w:rsidRDefault="00C41FB0">
      <w:pPr>
        <w:pStyle w:val="Zkladntextodsazen"/>
        <w:spacing w:after="0"/>
        <w:ind w:left="0" w:firstLine="709"/>
        <w:jc w:val="both"/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  <w:t>jednatel</w:t>
      </w:r>
    </w:p>
    <w:p w:rsidR="007B38D3" w:rsidRDefault="00C41FB0">
      <w:pPr>
        <w:pStyle w:val="Zkladntextodsazen"/>
        <w:spacing w:after="0"/>
        <w:ind w:left="0" w:firstLine="709"/>
        <w:jc w:val="both"/>
        <w:rPr>
          <w:rFonts w:ascii="Arial" w:hAnsi="Arial" w:cs="Arial"/>
          <w:sz w:val="20"/>
          <w:szCs w:val="20"/>
        </w:rPr>
        <w:sectPr w:rsidR="007B38D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B38D3" w:rsidRDefault="00C41FB0">
      <w:pPr>
        <w:pStyle w:val="Zkladntextodsazen"/>
        <w:spacing w:after="0"/>
        <w:ind w:left="0" w:firstLine="70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Příloha č. 1: Technická specifikace</w:t>
      </w: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10215" w:type="dxa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6680"/>
        <w:gridCol w:w="1990"/>
        <w:gridCol w:w="1545"/>
      </w:tblGrid>
      <w:tr w:rsidR="007B38D3">
        <w:trPr>
          <w:trHeight w:val="300"/>
        </w:trPr>
        <w:tc>
          <w:tcPr>
            <w:tcW w:w="102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 xml:space="preserve">Racková UPS 20 </w:t>
            </w:r>
            <w:proofErr w:type="spellStart"/>
            <w:r>
              <w:rPr>
                <w:rFonts w:eastAsia="Times New Roman" w:cs="Calibri"/>
                <w:b/>
                <w:bCs/>
                <w:lang w:eastAsia="cs-CZ"/>
              </w:rPr>
              <w:t>kVA</w:t>
            </w:r>
            <w:proofErr w:type="spellEnd"/>
          </w:p>
        </w:tc>
      </w:tr>
      <w:tr w:rsidR="007B38D3">
        <w:trPr>
          <w:trHeight w:val="600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NIPEZ</w:t>
            </w:r>
          </w:p>
        </w:tc>
        <w:tc>
          <w:tcPr>
            <w:tcW w:w="3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31154000-0 - Nepřerušitelné zdroje energie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parametr</w:t>
            </w:r>
          </w:p>
        </w:tc>
        <w:tc>
          <w:tcPr>
            <w:tcW w:w="199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hodnota</w:t>
            </w:r>
          </w:p>
        </w:tc>
        <w:tc>
          <w:tcPr>
            <w:tcW w:w="154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max./min.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2ks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provedení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>
              <w:rPr>
                <w:rFonts w:eastAsia="Times New Roman" w:cs="Calibri"/>
                <w:lang w:eastAsia="cs-CZ"/>
              </w:rPr>
              <w:t>rack-mount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RM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požadovanou kapacitu jedné UPS je možno dosáhnout instalací přídavného externího </w:t>
            </w:r>
            <w:proofErr w:type="spellStart"/>
            <w:r>
              <w:rPr>
                <w:rFonts w:eastAsia="Times New Roman" w:cs="Calibri"/>
                <w:lang w:eastAsia="cs-CZ"/>
              </w:rPr>
              <w:t>battery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packu (EBM)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velikost UPS vč. </w:t>
            </w:r>
            <w:proofErr w:type="spellStart"/>
            <w:r>
              <w:rPr>
                <w:rFonts w:eastAsia="Times New Roman" w:cs="Calibri"/>
                <w:lang w:eastAsia="cs-CZ"/>
              </w:rPr>
              <w:t>battery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packu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 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9U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celková kapacita každé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20 000 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20kVA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požadovaný výstupní výkon zařízení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9,5 kW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požadovaný jmenovitý výstupní proud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topologie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online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minimální požadovaný čas zálohy napájení při odebíraném výkonu 5,5kW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25 minut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umožňuje připojení přídavné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celkový počet možných připojených přídavných</w:t>
            </w:r>
            <w:r>
              <w:rPr>
                <w:rFonts w:eastAsia="Times New Roman" w:cs="Calibri"/>
                <w:lang w:eastAsia="cs-CZ"/>
              </w:rPr>
              <w:t xml:space="preserve"> baterií k jedné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2ks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vstupní konektor pro napájení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Hard </w:t>
            </w:r>
            <w:proofErr w:type="spellStart"/>
            <w:r>
              <w:rPr>
                <w:rFonts w:eastAsia="Times New Roman" w:cs="Calibri"/>
                <w:lang w:eastAsia="cs-CZ"/>
              </w:rPr>
              <w:t>Wire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5 </w:t>
            </w:r>
            <w:proofErr w:type="spellStart"/>
            <w:r>
              <w:rPr>
                <w:rFonts w:eastAsia="Times New Roman" w:cs="Calibri"/>
                <w:lang w:eastAsia="cs-CZ"/>
              </w:rPr>
              <w:t>wire</w:t>
            </w:r>
            <w:proofErr w:type="spellEnd"/>
            <w:r>
              <w:rPr>
                <w:rFonts w:eastAsia="Times New Roman" w:cs="Calibri"/>
                <w:lang w:eastAsia="cs-CZ"/>
              </w:rPr>
              <w:br/>
              <w:t>(3PH+N+G)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vstupní napětí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</w:t>
            </w: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nezávislých napájecích okruhů na výstupu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výstupní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kompatibilní se vstupy na externím bypassu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počet </w:t>
            </w:r>
            <w:r>
              <w:rPr>
                <w:rFonts w:eastAsia="Times New Roman" w:cs="Calibri"/>
                <w:lang w:eastAsia="cs-CZ"/>
              </w:rPr>
              <w:t>výstupních konektorů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2ks</w:t>
            </w:r>
          </w:p>
        </w:tc>
      </w:tr>
      <w:tr w:rsidR="007B38D3">
        <w:trPr>
          <w:trHeight w:val="6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podporuje možnost nastavení časové prodlevy mezi obnovením napájení a zapnutím napájení do jednotlivých výstupních konektorů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zařízení podporuje možnost nastavení procentuální hodnoty nabití baterií při </w:t>
            </w:r>
            <w:r>
              <w:rPr>
                <w:rFonts w:eastAsia="Times New Roman" w:cs="Calibri"/>
                <w:lang w:eastAsia="cs-CZ"/>
              </w:rPr>
              <w:t>které dojde k obnovení napájení do jednotlivých výstupních konektorů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nastavení časové prodlevy na jednotlivých výstupních konektorech daného zařízení lze provádět nezávisle pro každý výstupní </w:t>
            </w:r>
            <w:proofErr w:type="gramStart"/>
            <w:r>
              <w:rPr>
                <w:rFonts w:eastAsia="Times New Roman" w:cs="Calibri"/>
                <w:lang w:eastAsia="cs-CZ"/>
              </w:rPr>
              <w:t>konektor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avšak v závislosti na správcem definovanou </w:t>
            </w:r>
            <w:r>
              <w:rPr>
                <w:rFonts w:eastAsia="Times New Roman" w:cs="Calibri"/>
                <w:lang w:eastAsia="cs-CZ"/>
              </w:rPr>
              <w:t>hodnotu nabití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výstupní napětí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obsahuje uživatelsky měnitelné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slot pro LAN management kartu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součástí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vyslat</w:t>
            </w:r>
            <w:r>
              <w:rPr>
                <w:rFonts w:eastAsia="Times New Roman" w:cs="Calibri"/>
                <w:lang w:eastAsia="cs-CZ"/>
              </w:rPr>
              <w:t xml:space="preserve"> signál o ztrátě napájení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definovat čas (zpoždění), po kterém se vyšle signál o ztrátě napájení do sítě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vyslat signál o obnově napájení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 xml:space="preserve">karta - </w:t>
            </w:r>
            <w:r>
              <w:rPr>
                <w:rFonts w:eastAsia="Times New Roman" w:cs="Calibri"/>
                <w:lang w:eastAsia="cs-CZ"/>
              </w:rPr>
              <w:t>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vyslat signál o stavu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lastRenderedPageBreak/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připojit čidlo pro sledování okolní teploty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připojit čidlo pro sledování okolní vlhkosti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čidlo pro sledování okolní teploty</w:t>
            </w:r>
            <w:r>
              <w:rPr>
                <w:rFonts w:eastAsia="Times New Roman" w:cs="Calibri"/>
                <w:lang w:eastAsia="cs-CZ"/>
              </w:rPr>
              <w:t xml:space="preserve"> a vlhkosti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čidel pro sledování okolní teploty a vlhkosti, které jsou součástí dodávky (celkem)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2ks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délka přívodního kabelu čidla pro sledování teploty a vlhkosti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 metry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4 m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přípojný konektor přívodního kabelu </w:t>
            </w:r>
            <w:r>
              <w:rPr>
                <w:rFonts w:eastAsia="Times New Roman" w:cs="Calibri"/>
                <w:lang w:eastAsia="cs-CZ"/>
              </w:rPr>
              <w:t>čidla pro sledování teploty a vlhkosti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RJ-45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RJ-45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reporting (odesílání hlášení mezních stavů) pomocí SNMP protokolu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měření aktuální spotřeby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obsahuje funkcionalitu korekce </w:t>
            </w:r>
            <w:r>
              <w:rPr>
                <w:rFonts w:eastAsia="Times New Roman" w:cs="Calibri"/>
                <w:lang w:eastAsia="cs-CZ"/>
              </w:rPr>
              <w:t>napájení (ochrana před přepětím při proudových rázech, špičkách či blesku a dalších nepravidelnostech napájení)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přemostění baterie na přímé napájení (interní bypass)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komponenta pro přemostění baterie (interní </w:t>
            </w:r>
            <w:r>
              <w:rPr>
                <w:rFonts w:eastAsia="Times New Roman" w:cs="Calibri"/>
                <w:lang w:eastAsia="cs-CZ"/>
              </w:rPr>
              <w:t>bypass)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přemostění baterie na přímé napájení (externí bypass)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(externí bypass)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(externí bypass)</w:t>
            </w:r>
            <w:r>
              <w:rPr>
                <w:rFonts w:eastAsia="Times New Roman" w:cs="Calibri"/>
                <w:lang w:eastAsia="cs-CZ"/>
              </w:rPr>
              <w:t xml:space="preserve"> - požadovaný jmenovitý vstupní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(externí bypass) - požadovaný jmenovitý výstupní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(externí bypass) - výstupní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kompatibilní se vstupy na PDU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komponent pro externí bypass, které jsou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2ks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umožňující výměnu baterie za chodu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umožňující napájení z baterií bez přítomnosti napájení ze sítě (studený start)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akustické signalizace (min. při výpadku napájení)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(R)EPO port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svorkovnice EPO portu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EPO svorkovnic, které jsou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zařízení umožňuje upgrade </w:t>
            </w:r>
            <w:r>
              <w:rPr>
                <w:rFonts w:eastAsia="Times New Roman" w:cs="Calibri"/>
                <w:lang w:eastAsia="cs-CZ"/>
              </w:rPr>
              <w:t>firmware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vestavěný LCD display indikující základní informace o systému (min. % nabití baterie)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vestavěný LCD </w:t>
            </w:r>
            <w:proofErr w:type="gramStart"/>
            <w:r>
              <w:rPr>
                <w:rFonts w:eastAsia="Times New Roman" w:cs="Calibri"/>
                <w:lang w:eastAsia="cs-CZ"/>
              </w:rPr>
              <w:t>display - poloha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vpředu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vestavěný LCD </w:t>
            </w:r>
            <w:proofErr w:type="gramStart"/>
            <w:r>
              <w:rPr>
                <w:rFonts w:eastAsia="Times New Roman" w:cs="Calibri"/>
                <w:lang w:eastAsia="cs-CZ"/>
              </w:rPr>
              <w:t>display - indikuje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chybové stavy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splňuje podmínky certifikace </w:t>
            </w:r>
            <w:proofErr w:type="spellStart"/>
            <w:r>
              <w:rPr>
                <w:rFonts w:eastAsia="Times New Roman" w:cs="Calibri"/>
                <w:lang w:eastAsia="cs-CZ"/>
              </w:rPr>
              <w:t>Energy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Star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dodávka obsahuje sadu (2 ks) kolejnic pro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dodávky jsou i PDU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lastRenderedPageBreak/>
              <w:t>PDU - celkový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počet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 ks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druh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>
              <w:rPr>
                <w:rFonts w:eastAsia="Times New Roman" w:cs="Calibri"/>
                <w:lang w:eastAsia="cs-CZ"/>
              </w:rPr>
              <w:t>metered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(0 U)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0U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výška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40 až 41 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IEC-320 C20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napětí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1f </w:t>
            </w:r>
            <w:proofErr w:type="gramStart"/>
            <w:r>
              <w:rPr>
                <w:rFonts w:eastAsia="Times New Roman" w:cs="Calibri"/>
                <w:lang w:eastAsia="cs-CZ"/>
              </w:rPr>
              <w:t>16A</w:t>
            </w:r>
            <w:proofErr w:type="gramEnd"/>
            <w:r>
              <w:rPr>
                <w:rFonts w:eastAsia="Times New Roman" w:cs="Calibri"/>
                <w:lang w:eastAsia="cs-CZ"/>
              </w:rPr>
              <w:t>/50Hz/230V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požadovaný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jmenovitý vstupní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požadovaný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jmenovitý výstupní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napájecí kabel je vyměnitelný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délka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napájecího kabelu PDU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 metry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3m</w:t>
            </w:r>
            <w:proofErr w:type="gramEnd"/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 xml:space="preserve">PDU - </w:t>
            </w:r>
            <w:r>
              <w:rPr>
                <w:rFonts w:eastAsia="Times New Roman" w:cs="Calibri"/>
                <w:lang w:eastAsia="cs-CZ"/>
              </w:rPr>
              <w:t>napájecí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kabel PDU je opatřen funkcí aretace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součástí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dodávky jsou i napájecí šňůry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výstupní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konektory PDU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 320 C13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počet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výstupních konektorů IEC 320 C13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20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</w:pPr>
            <w:r>
              <w:rPr>
                <w:rFonts w:eastAsia="Times New Roman" w:cs="Calibri"/>
                <w:lang w:eastAsia="cs-CZ"/>
              </w:rPr>
              <w:t>21 ks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výstupní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konektory IEC 320 C13 jsou</w:t>
            </w:r>
            <w:r>
              <w:rPr>
                <w:rFonts w:eastAsia="Times New Roman" w:cs="Calibri"/>
                <w:lang w:eastAsia="cs-CZ"/>
              </w:rPr>
              <w:t xml:space="preserve"> opatřeny aretací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výstupní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 320 C19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počet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výstupních konektorů IEC 320 C19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3 ks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obsahuje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funkcionalitu vzdáleného monitoringu odběru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možné instalovat do racku DELL </w:t>
            </w:r>
            <w:proofErr w:type="spellStart"/>
            <w:r>
              <w:rPr>
                <w:rFonts w:eastAsia="Times New Roman" w:cs="Calibri"/>
                <w:lang w:eastAsia="cs-CZ"/>
              </w:rPr>
              <w:t>PowerEdge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4220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možné instalovat vedle sebe v racku DELL </w:t>
            </w:r>
            <w:proofErr w:type="spellStart"/>
            <w:r>
              <w:rPr>
                <w:rFonts w:eastAsia="Times New Roman" w:cs="Calibri"/>
                <w:lang w:eastAsia="cs-CZ"/>
              </w:rPr>
              <w:t>PowerEdge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4220 dvě PDU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zapojením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PDU přes externí bypass nesmí dojít ke snížení jeho jmenovitého proudu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dodávky jsou i napájecí šňůry pro jednotlivá zařízení v racku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napájecí </w:t>
            </w:r>
            <w:proofErr w:type="gramStart"/>
            <w:r>
              <w:rPr>
                <w:rFonts w:eastAsia="Times New Roman" w:cs="Calibri"/>
                <w:lang w:eastAsia="cs-CZ"/>
              </w:rPr>
              <w:t>šňůry - celkový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počet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42 ks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napájecí </w:t>
            </w:r>
            <w:proofErr w:type="gramStart"/>
            <w:r>
              <w:rPr>
                <w:rFonts w:eastAsia="Times New Roman" w:cs="Calibri"/>
                <w:lang w:eastAsia="cs-CZ"/>
              </w:rPr>
              <w:t>šňůry - vstupní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 320 C13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C13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napájecí </w:t>
            </w:r>
            <w:proofErr w:type="gramStart"/>
            <w:r>
              <w:rPr>
                <w:rFonts w:eastAsia="Times New Roman" w:cs="Calibri"/>
                <w:lang w:eastAsia="cs-CZ"/>
              </w:rPr>
              <w:t>šňůry - výstupní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 320 C14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C14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napájecí </w:t>
            </w:r>
            <w:proofErr w:type="gramStart"/>
            <w:r>
              <w:rPr>
                <w:rFonts w:eastAsia="Times New Roman" w:cs="Calibri"/>
                <w:lang w:eastAsia="cs-CZ"/>
              </w:rPr>
              <w:t>šňůry - proudové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zatížení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10A</w:t>
            </w:r>
            <w:proofErr w:type="gramEnd"/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napájecí </w:t>
            </w:r>
            <w:proofErr w:type="gramStart"/>
            <w:r>
              <w:rPr>
                <w:rFonts w:eastAsia="Times New Roman" w:cs="Calibri"/>
                <w:lang w:eastAsia="cs-CZ"/>
              </w:rPr>
              <w:t>šňůry - délka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1,5 metru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2m</w:t>
            </w:r>
            <w:proofErr w:type="gramEnd"/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napájecí </w:t>
            </w:r>
            <w:proofErr w:type="gramStart"/>
            <w:r>
              <w:rPr>
                <w:rFonts w:eastAsia="Times New Roman" w:cs="Calibri"/>
                <w:lang w:eastAsia="cs-CZ"/>
              </w:rPr>
              <w:t>šňůra - opatřena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funkcionalitou aretace (zamykání)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produkty musí být určeny pro český trh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musí být nová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dodávka bude realizována do serverového sálu Zadavatele v 6. NP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budova Zadavatele je </w:t>
            </w:r>
            <w:r>
              <w:rPr>
                <w:rFonts w:eastAsia="Times New Roman" w:cs="Calibri"/>
                <w:lang w:eastAsia="cs-CZ"/>
              </w:rPr>
              <w:t>vybavena výtahem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vnitřní rozměry výtahu v budově Zadavatele (š x h x v)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104 x 103 x 208 cm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velikost dveřního otvoru výtahu (š x v)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79 x 202 cm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nabídky bude i služba kompletace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nabídky bude i služba instalace UPS</w:t>
            </w:r>
            <w:r>
              <w:rPr>
                <w:rFonts w:eastAsia="Times New Roman" w:cs="Calibri"/>
                <w:lang w:eastAsia="cs-CZ"/>
              </w:rPr>
              <w:t xml:space="preserve"> v sídle Zadavatele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instalace </w:t>
            </w:r>
            <w:proofErr w:type="gramStart"/>
            <w:r>
              <w:rPr>
                <w:rFonts w:eastAsia="Times New Roman" w:cs="Calibri"/>
                <w:lang w:eastAsia="cs-CZ"/>
              </w:rPr>
              <w:t>UPS - proběhne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do 30 dní od dodání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instalace UPS - proběhne mimo pracovní dobu (sobota 9:00 hod. </w:t>
            </w:r>
            <w:proofErr w:type="gramStart"/>
            <w:r>
              <w:rPr>
                <w:rFonts w:eastAsia="Times New Roman" w:cs="Calibri"/>
                <w:lang w:eastAsia="cs-CZ"/>
              </w:rPr>
              <w:t>až  neděle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18:00 hod.)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instalace </w:t>
            </w:r>
            <w:proofErr w:type="gramStart"/>
            <w:r>
              <w:rPr>
                <w:rFonts w:eastAsia="Times New Roman" w:cs="Calibri"/>
                <w:lang w:eastAsia="cs-CZ"/>
              </w:rPr>
              <w:t>UPS - obsahuje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instalaci a montáž veškerých komponent, které jsou </w:t>
            </w:r>
            <w:r>
              <w:rPr>
                <w:rFonts w:eastAsia="Times New Roman" w:cs="Calibri"/>
                <w:lang w:eastAsia="cs-CZ"/>
              </w:rPr>
              <w:t>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lastRenderedPageBreak/>
              <w:t xml:space="preserve">instalace </w:t>
            </w:r>
            <w:proofErr w:type="gramStart"/>
            <w:r>
              <w:rPr>
                <w:rFonts w:eastAsia="Times New Roman" w:cs="Calibri"/>
                <w:lang w:eastAsia="cs-CZ"/>
              </w:rPr>
              <w:t>UPS - součástí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nabídky budou i veškeré služby spojené s kompletací a instalací zařízení včetně spotřebovaného materiálu a cestovních náhrad.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12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součástí nabídky bude Prohlášení českého zastoupení výrobce nebo </w:t>
            </w:r>
            <w:r>
              <w:rPr>
                <w:rFonts w:eastAsia="Times New Roman" w:cs="Calibri"/>
                <w:lang w:eastAsia="cs-CZ"/>
              </w:rPr>
              <w:t>přímo výrobce o tom, že nabízený produkt v rámci této veřejné zakázky, je určený pro trh v České republice a bude podporován výrobcem nebo servisním střediskem výrobce na území České republiky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podpora a záruka je poskytována výrobcem UPS nebo jeho</w:t>
            </w:r>
            <w:r>
              <w:rPr>
                <w:rFonts w:eastAsia="Times New Roman" w:cs="Calibri"/>
                <w:lang w:eastAsia="cs-CZ"/>
              </w:rPr>
              <w:t xml:space="preserve"> autorizovaným partnerem nezávisle na dodavateli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podpora - poskytovaná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minimálně prostřednictvím telefonní linky musí být dostupná v pracovních dnech mezi 8:00 až 17:00 hod.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podpora - musí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umožňovat získání aktuálních ovladačů a </w:t>
            </w:r>
            <w:r>
              <w:rPr>
                <w:rFonts w:eastAsia="Times New Roman" w:cs="Calibri"/>
                <w:lang w:eastAsia="cs-CZ"/>
              </w:rPr>
              <w:t>manuálů adresně pro konkrétní zadané produktové, popř. sériové číslo zařízení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podpora - v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případě nutnosti registrace jakéhokoliv servisního balíčku u výrobce/dodavatele bude tato registrace provedena na kupujícího (ne na třetí osobu)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délka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5 let na UPS, všechny baterie a všechna PDU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5 let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rychlost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odezvy na nahlášenou závadu do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druhý pracovní den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garance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opravy nahlášené závady do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kalendářní měsíc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6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místo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opravy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výměnou v místě provozu </w:t>
            </w:r>
            <w:r>
              <w:rPr>
                <w:rFonts w:eastAsia="Times New Roman" w:cs="Calibri"/>
                <w:lang w:eastAsia="cs-CZ"/>
              </w:rPr>
              <w:t>daného zařízení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145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součástí nabídky budou i veškeré služby nutné pro řádný provoz zařízení tak, aby byl zaručen bezproblémový provoz UPS po dobu záruky (např. profylaktické prohlídky a pravidelná údržba baterií) včetně spotřebovaného materiálu a </w:t>
            </w:r>
            <w:r>
              <w:rPr>
                <w:rFonts w:eastAsia="Times New Roman" w:cs="Calibri"/>
                <w:lang w:eastAsia="cs-CZ"/>
              </w:rPr>
              <w:t>náhradních dílů a koordinace dodávek těchto služeb.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nabídka a Prohlášení musí být v češtině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český nebo anglický tištěný manuál součástí dodávky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7B38D3">
            <w:pPr>
              <w:spacing w:after="0"/>
              <w:ind w:left="283" w:firstLine="0"/>
              <w:rPr>
                <w:rFonts w:eastAsia="Times New Roman" w:cs="Calibri"/>
                <w:u w:val="single"/>
                <w:lang w:eastAsia="cs-CZ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u w:val="single"/>
                <w:lang w:eastAsia="cs-CZ"/>
              </w:rPr>
            </w:pPr>
            <w:r>
              <w:rPr>
                <w:rFonts w:eastAsia="Times New Roman" w:cs="Calibri"/>
                <w:u w:val="single"/>
                <w:lang w:eastAsia="cs-CZ"/>
              </w:rPr>
              <w:t> 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u w:val="single"/>
                <w:lang w:eastAsia="cs-CZ"/>
              </w:rPr>
            </w:pPr>
            <w:r>
              <w:rPr>
                <w:rFonts w:eastAsia="Times New Roman" w:cs="Calibri"/>
                <w:u w:val="single"/>
                <w:lang w:eastAsia="cs-CZ"/>
              </w:rPr>
              <w:t> </w:t>
            </w:r>
          </w:p>
        </w:tc>
      </w:tr>
      <w:tr w:rsidR="007B38D3">
        <w:trPr>
          <w:trHeight w:hRule="exact" w:val="300"/>
        </w:trPr>
        <w:tc>
          <w:tcPr>
            <w:tcW w:w="66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7B38D3">
            <w:pPr>
              <w:spacing w:after="0"/>
              <w:ind w:left="283" w:firstLine="0"/>
              <w:rPr>
                <w:rFonts w:eastAsia="Times New Roman" w:cs="Calibri"/>
                <w:u w:val="single"/>
                <w:lang w:eastAsia="cs-CZ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7B38D3">
            <w:pPr>
              <w:spacing w:after="0"/>
              <w:ind w:left="283"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7B38D3">
            <w:pPr>
              <w:spacing w:after="0"/>
              <w:ind w:left="283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B38D3">
        <w:trPr>
          <w:trHeight w:val="300"/>
        </w:trPr>
        <w:tc>
          <w:tcPr>
            <w:tcW w:w="10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 xml:space="preserve">Racková UPS 6 </w:t>
            </w:r>
            <w:proofErr w:type="spellStart"/>
            <w:r>
              <w:rPr>
                <w:rFonts w:eastAsia="Times New Roman" w:cs="Calibri"/>
                <w:b/>
                <w:bCs/>
                <w:lang w:eastAsia="cs-CZ"/>
              </w:rPr>
              <w:t>kVA</w:t>
            </w:r>
            <w:proofErr w:type="spellEnd"/>
          </w:p>
        </w:tc>
      </w:tr>
      <w:tr w:rsidR="007B38D3">
        <w:trPr>
          <w:trHeight w:val="6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NIPEZ</w:t>
            </w:r>
          </w:p>
        </w:tc>
        <w:tc>
          <w:tcPr>
            <w:tcW w:w="3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31154000-0 - Nepřerušitelné zdroje energie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parametr</w:t>
            </w:r>
          </w:p>
        </w:tc>
        <w:tc>
          <w:tcPr>
            <w:tcW w:w="199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hodnota</w:t>
            </w:r>
          </w:p>
        </w:tc>
        <w:tc>
          <w:tcPr>
            <w:tcW w:w="154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max./min.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 ks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provedení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>
              <w:rPr>
                <w:rFonts w:eastAsia="Times New Roman" w:cs="Calibri"/>
                <w:lang w:eastAsia="cs-CZ"/>
              </w:rPr>
              <w:t>rack-mount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RM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velikost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4U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kapacita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6000 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6kVA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požadovaný výstupní výkon zařízení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 kW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6kW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požadovaný jmenovitý výstupní proud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16A</w:t>
            </w:r>
            <w:proofErr w:type="gramEnd"/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topologie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online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online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lastRenderedPageBreak/>
              <w:t xml:space="preserve">minimální </w:t>
            </w:r>
            <w:r>
              <w:rPr>
                <w:rFonts w:eastAsia="Times New Roman" w:cs="Calibri"/>
                <w:lang w:eastAsia="cs-CZ"/>
              </w:rPr>
              <w:t>požadovaný čas zálohy napájení při odebíraném výkonu 1 kW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30 minut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umožňuje připojení přídavné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možných připojených přídavných baterií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vstupní konektor pro napájení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Hard </w:t>
            </w:r>
            <w:proofErr w:type="spellStart"/>
            <w:r>
              <w:rPr>
                <w:rFonts w:eastAsia="Times New Roman" w:cs="Calibri"/>
                <w:lang w:eastAsia="cs-CZ"/>
              </w:rPr>
              <w:t>Wire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3 </w:t>
            </w:r>
            <w:proofErr w:type="spellStart"/>
            <w:r>
              <w:rPr>
                <w:rFonts w:eastAsia="Times New Roman" w:cs="Calibri"/>
                <w:lang w:eastAsia="cs-CZ"/>
              </w:rPr>
              <w:t>wire</w:t>
            </w:r>
            <w:proofErr w:type="spellEnd"/>
            <w:r>
              <w:rPr>
                <w:rFonts w:eastAsia="Times New Roman" w:cs="Calibri"/>
                <w:lang w:eastAsia="cs-CZ"/>
              </w:rPr>
              <w:br/>
              <w:t>(1PH+N+G)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vstupní napětí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</w:t>
            </w: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nezávislých napájecích okruhů na výstupu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výstupní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kompatibilní se vstupy na externím bypassu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výstupních konektorů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zařízení podporuje možnost nastavení časové prodlevy mezi obnovením napájení a </w:t>
            </w:r>
            <w:r>
              <w:rPr>
                <w:rFonts w:eastAsia="Times New Roman" w:cs="Calibri"/>
                <w:lang w:eastAsia="cs-CZ"/>
              </w:rPr>
              <w:t>zapnutím napájení do jednotlivých výstupních konektorů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podporuje možnost nastavení procentuální hodnoty nabití baterií při které dojde k obnovení napájení do jednotlivých výstupních konektorů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nastavení časové prodlevy na </w:t>
            </w:r>
            <w:r>
              <w:rPr>
                <w:rFonts w:eastAsia="Times New Roman" w:cs="Calibri"/>
                <w:lang w:eastAsia="cs-CZ"/>
              </w:rPr>
              <w:t xml:space="preserve">jednotlivých výstupních konektorech daného zařízení lze provádět nezávisle pro každý výstupní </w:t>
            </w:r>
            <w:proofErr w:type="gramStart"/>
            <w:r>
              <w:rPr>
                <w:rFonts w:eastAsia="Times New Roman" w:cs="Calibri"/>
                <w:lang w:eastAsia="cs-CZ"/>
              </w:rPr>
              <w:t>konektor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avšak v závislosti na správcem definovanou hodnotu nabití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výstupní napětí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230V</w:t>
            </w:r>
            <w:proofErr w:type="gramEnd"/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obsahuje uživatelsky měnitelné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slot pro LAN management kartu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součástí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vyslat signál o ztrátě napájení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vyslat signál o obnově napájení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vyslat signál o stavu baterie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připojit čidlo pro sledování okolní teploty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připojit čidlo pro sledování okolní vlhkosti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čidlo pro </w:t>
            </w:r>
            <w:r>
              <w:rPr>
                <w:rFonts w:eastAsia="Times New Roman" w:cs="Calibri"/>
                <w:lang w:eastAsia="cs-CZ"/>
              </w:rPr>
              <w:t>sledování okolní teploty a vlhkosti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čidel pro sledování okolní teploty a vlhkosti, které jsou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1 ks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délka přívodního kabelu čidla pro sledování teploty a vlhkosti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 metry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4 m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přípojný konektor </w:t>
            </w:r>
            <w:r>
              <w:rPr>
                <w:rFonts w:eastAsia="Times New Roman" w:cs="Calibri"/>
                <w:lang w:eastAsia="cs-CZ"/>
              </w:rPr>
              <w:t>přívodního kabelu čidla pro sledování teploty a vlhkosti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RJ-45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RJ - 45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reporting (odesílání hlášení mezních stavů) pomocí SNMP protokolu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LAN management </w:t>
            </w:r>
            <w:proofErr w:type="gramStart"/>
            <w:r>
              <w:rPr>
                <w:rFonts w:eastAsia="Times New Roman" w:cs="Calibri"/>
                <w:lang w:eastAsia="cs-CZ"/>
              </w:rPr>
              <w:t>karta - umožňuje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definovat čas (zpoždění), po kterém se </w:t>
            </w:r>
            <w:r>
              <w:rPr>
                <w:rFonts w:eastAsia="Times New Roman" w:cs="Calibri"/>
                <w:lang w:eastAsia="cs-CZ"/>
              </w:rPr>
              <w:t>vyšle signál o ztrátě napájení do sítě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měření aktuální spotřeby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korekce napájení (ochrana před přepětím při proudových rázech, špičkách či blesku a dalších nepravidelnostech napájení)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lastRenderedPageBreak/>
              <w:t>obsahuje funkcionalitu přemostění baterie na přímé napájení (interní bypass)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(interní bypass)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přemostění baterie na přímé napájení (externí bypass)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(externí bypass)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(externí bypass) - požadovaný jmenovitý vstupní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16A</w:t>
            </w:r>
            <w:proofErr w:type="gramEnd"/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komponenta pro přemostění baterie (externí bypass) - požadovaný </w:t>
            </w:r>
            <w:r>
              <w:rPr>
                <w:rFonts w:eastAsia="Times New Roman" w:cs="Calibri"/>
                <w:lang w:eastAsia="cs-CZ"/>
              </w:rPr>
              <w:t>jmenovitý výstupní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16A</w:t>
            </w:r>
            <w:proofErr w:type="gramEnd"/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komponenta pro přemostění baterie (externí bypass) - výstupní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kompatibilní se vstupy na PDU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komponent pro externí bypass, které jsou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1ks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obsahuje funkcionalitu umožňující </w:t>
            </w:r>
            <w:r>
              <w:rPr>
                <w:rFonts w:eastAsia="Times New Roman" w:cs="Calibri"/>
                <w:lang w:eastAsia="cs-CZ"/>
              </w:rPr>
              <w:t>výměnu baterie za chodu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umožňující napájení z baterií bez přítomnosti napájení ze sítě (studený start)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funkcionalitu akustické signalizace (min. při výpadku napájení)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obsahuje (R)EPO port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</w:t>
            </w: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svorkovnice EPO portu je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počet EPO svorkovnic, které jsou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umožňuje upgrade firmware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vestavěný LCD display indikující základní informace o systému (min. % nabití baterie)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vestavěný LCD </w:t>
            </w:r>
            <w:proofErr w:type="gramStart"/>
            <w:r>
              <w:rPr>
                <w:rFonts w:eastAsia="Times New Roman" w:cs="Calibri"/>
                <w:lang w:eastAsia="cs-CZ"/>
              </w:rPr>
              <w:t>display - poloha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vpředu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vestavěný LCD </w:t>
            </w:r>
            <w:proofErr w:type="gramStart"/>
            <w:r>
              <w:rPr>
                <w:rFonts w:eastAsia="Times New Roman" w:cs="Calibri"/>
                <w:lang w:eastAsia="cs-CZ"/>
              </w:rPr>
              <w:t>display - indikuje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chybové stavy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splňuje podmínky certifikace </w:t>
            </w:r>
            <w:proofErr w:type="spellStart"/>
            <w:r>
              <w:rPr>
                <w:rFonts w:eastAsia="Times New Roman" w:cs="Calibri"/>
                <w:lang w:eastAsia="cs-CZ"/>
              </w:rPr>
              <w:t>Energy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Star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dodávka obsahuje sadu (2 ks) kolejnic pro UPS</w:t>
            </w:r>
          </w:p>
        </w:tc>
        <w:tc>
          <w:tcPr>
            <w:tcW w:w="19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dodávky jsou i PDU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</w:t>
            </w:r>
            <w:r>
              <w:rPr>
                <w:rFonts w:eastAsia="Times New Roman" w:cs="Calibri"/>
                <w:lang w:eastAsia="cs-CZ"/>
              </w:rPr>
              <w:t xml:space="preserve"> celkový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počet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2 ks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druh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>
              <w:rPr>
                <w:rFonts w:eastAsia="Times New Roman" w:cs="Calibri"/>
                <w:lang w:eastAsia="cs-CZ"/>
              </w:rPr>
              <w:t>metered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(0 U)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0U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výška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40 až 42 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IEC-320 C20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napětí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1f </w:t>
            </w:r>
            <w:proofErr w:type="gramStart"/>
            <w:r>
              <w:rPr>
                <w:rFonts w:eastAsia="Times New Roman" w:cs="Calibri"/>
                <w:lang w:eastAsia="cs-CZ"/>
              </w:rPr>
              <w:t>16A</w:t>
            </w:r>
            <w:proofErr w:type="gramEnd"/>
            <w:r>
              <w:rPr>
                <w:rFonts w:eastAsia="Times New Roman" w:cs="Calibri"/>
                <w:lang w:eastAsia="cs-CZ"/>
              </w:rPr>
              <w:t>/50Hz/230V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požadovaný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jmenovitý vstupní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16A</w:t>
            </w:r>
            <w:proofErr w:type="gramEnd"/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požadovaný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</w:t>
            </w:r>
            <w:r>
              <w:rPr>
                <w:rFonts w:eastAsia="Times New Roman" w:cs="Calibri"/>
                <w:lang w:eastAsia="cs-CZ"/>
              </w:rPr>
              <w:t>jmenovitý výstupní proud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 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16A</w:t>
            </w:r>
            <w:proofErr w:type="gramEnd"/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napájecí kabel je vyměnitelný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délka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napájecího kabelu PDU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 metry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proofErr w:type="gramStart"/>
            <w:r>
              <w:rPr>
                <w:rFonts w:eastAsia="Times New Roman" w:cs="Calibri"/>
                <w:lang w:eastAsia="cs-CZ"/>
              </w:rPr>
              <w:t>3m</w:t>
            </w:r>
            <w:proofErr w:type="gramEnd"/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napájecí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kabel PDU je opatřen funkcí aretace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součástí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dodávky jsou i napájecí šňůry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</w:t>
            </w:r>
            <w:r>
              <w:rPr>
                <w:rFonts w:eastAsia="Times New Roman" w:cs="Calibri"/>
                <w:lang w:eastAsia="cs-CZ"/>
              </w:rPr>
              <w:t xml:space="preserve"> výstupní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 320 C13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C13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počet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výstupních konektorů IEC 320 C13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20 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21 ks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výstupní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konektory IEC 320 C13 jsou opatřeny aretací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lastRenderedPageBreak/>
              <w:t>PDU - výstupní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konektory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IEC 320 C19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 19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počet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výstupních konektorů IEC 320 C19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2 </w:t>
            </w:r>
            <w:r>
              <w:rPr>
                <w:rFonts w:eastAsia="Times New Roman" w:cs="Calibri"/>
                <w:lang w:eastAsia="cs-CZ"/>
              </w:rPr>
              <w:t>ks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3 ks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obsahuje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funkcionalitu vzdáleného monitoringu odběru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možné instalovat do racku DELL </w:t>
            </w:r>
            <w:proofErr w:type="spellStart"/>
            <w:r>
              <w:rPr>
                <w:rFonts w:eastAsia="Times New Roman" w:cs="Calibri"/>
                <w:lang w:eastAsia="cs-CZ"/>
              </w:rPr>
              <w:t>PowerEdge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4220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PDU - 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možné instalovat vedle sebe v racku DELL </w:t>
            </w:r>
            <w:proofErr w:type="spellStart"/>
            <w:r>
              <w:rPr>
                <w:rFonts w:eastAsia="Times New Roman" w:cs="Calibri"/>
                <w:lang w:eastAsia="cs-CZ"/>
              </w:rPr>
              <w:t>PowerEdge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4220 dvě PDU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produkty musí být určeny pro </w:t>
            </w:r>
            <w:r>
              <w:rPr>
                <w:rFonts w:eastAsia="Times New Roman" w:cs="Calibri"/>
                <w:lang w:eastAsia="cs-CZ"/>
              </w:rPr>
              <w:t>český trh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zařízení musí být nová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dodávka bude realizována do serverového sálu Zadavatele v 6. NP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budova Zadavatele je vybavena výtahem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vnitřní rozměry výtahu v budově Zadavatele (š x h x v)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104 x 103 x 208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velikost dveřního otvoru výtahu (š x v)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79 x 202 cm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nabídky bude i služba kompletace UPS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nabídky bude i služba instalace UPS v sídle Zadavatele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instalace </w:t>
            </w:r>
            <w:proofErr w:type="gramStart"/>
            <w:r>
              <w:rPr>
                <w:rFonts w:eastAsia="Times New Roman" w:cs="Calibri"/>
                <w:lang w:eastAsia="cs-CZ"/>
              </w:rPr>
              <w:t>UPS - proběhne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do 30 dní od dodání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instalace UPS - </w:t>
            </w:r>
            <w:r>
              <w:rPr>
                <w:rFonts w:eastAsia="Times New Roman" w:cs="Calibri"/>
                <w:lang w:eastAsia="cs-CZ"/>
              </w:rPr>
              <w:t xml:space="preserve">proběhne mimo pracovní dobu (sobota 9:00 hod. </w:t>
            </w:r>
            <w:proofErr w:type="gramStart"/>
            <w:r>
              <w:rPr>
                <w:rFonts w:eastAsia="Times New Roman" w:cs="Calibri"/>
                <w:lang w:eastAsia="cs-CZ"/>
              </w:rPr>
              <w:t>až  neděle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18:00 hod.)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instalace </w:t>
            </w:r>
            <w:proofErr w:type="gramStart"/>
            <w:r>
              <w:rPr>
                <w:rFonts w:eastAsia="Times New Roman" w:cs="Calibri"/>
                <w:lang w:eastAsia="cs-CZ"/>
              </w:rPr>
              <w:t>UPS - obsahuje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instalaci a montáž veškerých komponent, které jsou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 ano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instalace </w:t>
            </w:r>
            <w:proofErr w:type="gramStart"/>
            <w:r>
              <w:rPr>
                <w:rFonts w:eastAsia="Times New Roman" w:cs="Calibri"/>
                <w:lang w:eastAsia="cs-CZ"/>
              </w:rPr>
              <w:t>UPS - součástí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nabídky budou i veškeré služby spojené s </w:t>
            </w:r>
            <w:r>
              <w:rPr>
                <w:rFonts w:eastAsia="Times New Roman" w:cs="Calibri"/>
                <w:lang w:eastAsia="cs-CZ"/>
              </w:rPr>
              <w:t>kompletací a instalací zařízení včetně spotřebovaného materiálu a cestovních náhrad.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12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součástí nabídky bude Prohlášení českého zastoupení výrobce nebo přímo výrobce o tom, že nabízený produkt v rámci této veřejné zakázky, je určený pro trh v České</w:t>
            </w:r>
            <w:r>
              <w:rPr>
                <w:rFonts w:eastAsia="Times New Roman" w:cs="Calibri"/>
                <w:lang w:eastAsia="cs-CZ"/>
              </w:rPr>
              <w:t xml:space="preserve"> republice a bude podporován výrobcem nebo servisním střediskem výrobce na území České republiky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podpora a záruka je poskytována výrobcem UPS nebo jeho autorizovaným partnerem nezávisle na dodavateli UPS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podpora - poskytovaná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minimálně </w:t>
            </w:r>
            <w:r>
              <w:rPr>
                <w:rFonts w:eastAsia="Times New Roman" w:cs="Calibri"/>
                <w:lang w:eastAsia="cs-CZ"/>
              </w:rPr>
              <w:t>prostřednictvím telefonní linky musí být dostupná v pracovních dnech mezi 8:00 až 17:00 hod.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podpora - musí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umožňovat získání aktuálních ovladačů a manuálů adresně pro konkrétní zadané produktové, popř. sériové číslo zařízení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87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podpora - v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případě nutnosti registrace jakéhokoliv servisního balíčku u výrobce/dodavatele bude tato registrace provedena na kupujícího (ne na třetí osobu)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58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délka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5 let na UPS, baterii a všechny PDU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5 let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rychlost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odezvy na nahlášenou </w:t>
            </w:r>
            <w:r>
              <w:rPr>
                <w:rFonts w:eastAsia="Times New Roman" w:cs="Calibri"/>
                <w:lang w:eastAsia="cs-CZ"/>
              </w:rPr>
              <w:t>závadu do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druhý pracovní den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garance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opravy nahlášené závady do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kalendářní měsíc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</w:tr>
      <w:tr w:rsidR="007B38D3">
        <w:trPr>
          <w:trHeight w:val="6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záruka - místo</w:t>
            </w:r>
            <w:proofErr w:type="gramEnd"/>
            <w:r>
              <w:rPr>
                <w:rFonts w:eastAsia="Times New Roman" w:cs="Calibri"/>
                <w:lang w:eastAsia="cs-CZ"/>
              </w:rPr>
              <w:t xml:space="preserve"> opravy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výměnou v místě provozu daného zařízení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145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lastRenderedPageBreak/>
              <w:t xml:space="preserve">součástí nabídky budou i veškeré služby nutné pro řádný provoz zařízení tak, aby byl </w:t>
            </w:r>
            <w:r>
              <w:rPr>
                <w:rFonts w:eastAsia="Times New Roman" w:cs="Calibri"/>
                <w:lang w:eastAsia="cs-CZ"/>
              </w:rPr>
              <w:t>zaručen bezproblémový provoz UPS po dobu záruky (např. profylaktické prohlídky a pravidelná údržba baterií) včetně spotřebovaného materiálu a náhradních dílů a koordinace dodávek těchto služeb.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290"/>
        </w:trPr>
        <w:tc>
          <w:tcPr>
            <w:tcW w:w="668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nabídka a Prohlášení musí být v češtině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  <w:tr w:rsidR="007B38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český nebo anglický tištěný manuál součástí dodávky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38D3" w:rsidRDefault="00C41FB0">
            <w:pPr>
              <w:spacing w:after="0"/>
              <w:ind w:left="283"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ano </w:t>
            </w:r>
          </w:p>
        </w:tc>
      </w:tr>
    </w:tbl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7B38D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formProt w:val="0"/>
          <w:titlePg/>
          <w:docGrid w:linePitch="360"/>
        </w:sectPr>
      </w:pPr>
    </w:p>
    <w:p w:rsidR="007B38D3" w:rsidRDefault="00C41FB0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Příloha č. 2: </w:t>
      </w:r>
      <w:r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C41FB0">
      <w:pPr>
        <w:pStyle w:val="Odstavecseseznamem"/>
        <w:numPr>
          <w:ilvl w:val="0"/>
          <w:numId w:val="11"/>
        </w:numPr>
        <w:spacing w:after="0"/>
      </w:pPr>
      <w:r>
        <w:rPr>
          <w:rFonts w:ascii="Arial" w:hAnsi="Arial" w:cs="Arial"/>
          <w:b/>
          <w:sz w:val="20"/>
          <w:szCs w:val="20"/>
        </w:rPr>
        <w:t xml:space="preserve">Předávající: </w:t>
      </w:r>
      <w:r>
        <w:rPr>
          <w:rFonts w:ascii="Arial" w:hAnsi="Arial" w:cs="Arial"/>
          <w:b/>
          <w:sz w:val="20"/>
          <w:szCs w:val="20"/>
        </w:rPr>
        <w:tab/>
        <w:t>INTAC spol. s r.o.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Bohuslava Martinů 36, 602 00 Brno</w:t>
      </w:r>
      <w:r>
        <w:rPr>
          <w:rFonts w:ascii="Arial" w:hAnsi="Arial" w:cs="Arial"/>
          <w:sz w:val="20"/>
          <w:szCs w:val="20"/>
        </w:rPr>
        <w:br/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45475431</w:t>
      </w:r>
      <w:r>
        <w:rPr>
          <w:rFonts w:ascii="Arial" w:hAnsi="Arial" w:cs="Arial"/>
          <w:sz w:val="20"/>
          <w:szCs w:val="20"/>
        </w:rPr>
        <w:br/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CZ45475431</w:t>
      </w:r>
      <w:r>
        <w:rPr>
          <w:rFonts w:ascii="Arial" w:hAnsi="Arial" w:cs="Arial"/>
          <w:sz w:val="20"/>
          <w:szCs w:val="20"/>
        </w:rPr>
        <w:br/>
        <w:t xml:space="preserve">(dále jen </w:t>
      </w:r>
      <w:r>
        <w:rPr>
          <w:rFonts w:ascii="Arial" w:hAnsi="Arial" w:cs="Arial"/>
          <w:sz w:val="20"/>
          <w:szCs w:val="20"/>
        </w:rPr>
        <w:t>„předávající“)</w:t>
      </w:r>
      <w:r>
        <w:rPr>
          <w:rFonts w:ascii="Arial" w:hAnsi="Arial" w:cs="Arial"/>
          <w:sz w:val="20"/>
          <w:szCs w:val="20"/>
        </w:rPr>
        <w:br/>
      </w:r>
    </w:p>
    <w:p w:rsidR="007B38D3" w:rsidRDefault="00C41FB0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7B38D3" w:rsidRDefault="007B38D3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7B38D3" w:rsidRDefault="00C41FB0">
      <w:pPr>
        <w:numPr>
          <w:ilvl w:val="0"/>
          <w:numId w:val="11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Přejímající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   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Česká agentura na podporu obchodu/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>
        <w:rPr>
          <w:rFonts w:ascii="Arial" w:hAnsi="Arial" w:cs="Arial"/>
          <w:sz w:val="20"/>
          <w:szCs w:val="20"/>
        </w:rPr>
        <w:br/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>
        <w:rPr>
          <w:rFonts w:ascii="Arial" w:hAnsi="Arial" w:cs="Arial"/>
          <w:sz w:val="20"/>
          <w:szCs w:val="20"/>
        </w:rPr>
        <w:br/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>
        <w:rPr>
          <w:rFonts w:ascii="Arial" w:hAnsi="Arial" w:cs="Arial"/>
          <w:sz w:val="20"/>
          <w:szCs w:val="20"/>
        </w:rPr>
        <w:br/>
        <w:t>(dále jen „přejímající“)</w:t>
      </w:r>
      <w:r>
        <w:rPr>
          <w:rFonts w:ascii="Arial" w:hAnsi="Arial" w:cs="Arial"/>
          <w:sz w:val="20"/>
          <w:szCs w:val="20"/>
        </w:rPr>
        <w:br/>
      </w:r>
    </w:p>
    <w:p w:rsidR="007B38D3" w:rsidRDefault="00C41FB0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proofErr w:type="spellStart"/>
      <w:r>
        <w:rPr>
          <w:rFonts w:ascii="Arial" w:hAnsi="Arial" w:cs="Arial"/>
          <w:sz w:val="20"/>
        </w:rPr>
        <w:t>přejmutí</w:t>
      </w:r>
      <w:proofErr w:type="spellEnd"/>
      <w:r>
        <w:rPr>
          <w:rFonts w:ascii="Arial" w:hAnsi="Arial" w:cs="Arial"/>
          <w:sz w:val="20"/>
        </w:rPr>
        <w:t>:</w:t>
      </w:r>
    </w:p>
    <w:p w:rsidR="007B38D3" w:rsidRDefault="00C41FB0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Na </w:t>
      </w:r>
      <w:r>
        <w:rPr>
          <w:rFonts w:ascii="Arial" w:hAnsi="Arial" w:cs="Arial"/>
          <w:b w:val="0"/>
          <w:color w:val="000000"/>
          <w:sz w:val="20"/>
        </w:rPr>
        <w:t>základě výsledku veřejné zakázky mal</w:t>
      </w:r>
      <w:r>
        <w:rPr>
          <w:rFonts w:ascii="Arial" w:hAnsi="Arial" w:cs="Arial"/>
          <w:b w:val="0"/>
          <w:color w:val="000000"/>
          <w:sz w:val="20"/>
        </w:rPr>
        <w:t xml:space="preserve">ého rozsahu na dodávku „Rackové UPS vč. příslušenství (10/2020)“ pro </w:t>
      </w:r>
      <w:r>
        <w:rPr>
          <w:rFonts w:ascii="Arial" w:hAnsi="Arial" w:cs="Arial"/>
          <w:b w:val="0"/>
          <w:sz w:val="20"/>
        </w:rPr>
        <w:t>Českou agenturu na podporu obchodu/</w:t>
      </w:r>
      <w:proofErr w:type="spellStart"/>
      <w:r>
        <w:rPr>
          <w:rFonts w:ascii="Arial" w:hAnsi="Arial" w:cs="Arial"/>
          <w:b w:val="0"/>
          <w:sz w:val="20"/>
        </w:rPr>
        <w:t>CzechTrade</w:t>
      </w:r>
      <w:proofErr w:type="spellEnd"/>
      <w:r>
        <w:rPr>
          <w:rFonts w:ascii="Arial" w:hAnsi="Arial" w:cs="Arial"/>
          <w:b w:val="0"/>
          <w:color w:val="000000"/>
          <w:sz w:val="20"/>
        </w:rPr>
        <w:t xml:space="preserve"> vyhlášené pod č.j. N006/20/V00026317 </w:t>
      </w:r>
      <w:r>
        <w:rPr>
          <w:rStyle w:val="non-editable-field"/>
          <w:rFonts w:ascii="Arial" w:hAnsi="Arial" w:cs="Arial"/>
          <w:b w:val="0"/>
          <w:color w:val="000000"/>
          <w:sz w:val="20"/>
        </w:rPr>
        <w:t xml:space="preserve">na elektronickém tržišti NEN dne </w:t>
      </w:r>
      <w:r>
        <w:rPr>
          <w:rFonts w:ascii="Arial" w:hAnsi="Arial" w:cs="Arial"/>
          <w:b w:val="0"/>
          <w:sz w:val="20"/>
        </w:rPr>
        <w:t xml:space="preserve">7.10.2020 (dále jen předmět </w:t>
      </w:r>
      <w:proofErr w:type="spellStart"/>
      <w:r>
        <w:rPr>
          <w:rFonts w:ascii="Arial" w:hAnsi="Arial" w:cs="Arial"/>
          <w:b w:val="0"/>
          <w:sz w:val="20"/>
        </w:rPr>
        <w:t>přejmutí</w:t>
      </w:r>
      <w:proofErr w:type="spellEnd"/>
      <w:r>
        <w:rPr>
          <w:rFonts w:ascii="Arial" w:hAnsi="Arial" w:cs="Arial"/>
          <w:b w:val="0"/>
          <w:sz w:val="20"/>
        </w:rPr>
        <w:t>)</w:t>
      </w:r>
    </w:p>
    <w:p w:rsidR="007B38D3" w:rsidRDefault="00C41FB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3465830" cy="1038860"/>
                <wp:effectExtent l="0" t="0" r="0" b="0"/>
                <wp:wrapSquare wrapText="bothSides"/>
                <wp:docPr id="1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360" cy="103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457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6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4"/>
                              <w:gridCol w:w="4253"/>
                            </w:tblGrid>
                            <w:tr w:rsidR="007B38D3">
                              <w:trPr>
                                <w:cantSplit/>
                                <w:trHeight w:val="501"/>
                                <w:jc w:val="center"/>
                              </w:trPr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pct5" w:color="000000" w:fill="FFFFFF"/>
                                  <w:vAlign w:val="center"/>
                                </w:tcPr>
                                <w:p w:rsidR="007B38D3" w:rsidRDefault="00C41FB0">
                                  <w:pPr>
                                    <w:pStyle w:val="Zkladntext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Počet kusů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pct5" w:color="000000" w:fill="FFFFFF"/>
                                  <w:vAlign w:val="center"/>
                                </w:tcPr>
                                <w:p w:rsidR="007B38D3" w:rsidRDefault="00C41FB0">
                                  <w:pPr>
                                    <w:pStyle w:val="Zkladntext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Označení zboží</w:t>
                                  </w:r>
                                </w:p>
                              </w:tc>
                            </w:tr>
                            <w:tr w:rsidR="007B38D3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B38D3" w:rsidRDefault="00C41FB0">
                                  <w:pPr>
                                    <w:pStyle w:val="Zkladntex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ks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B38D3" w:rsidRDefault="00C41FB0">
                                  <w:pPr>
                                    <w:pStyle w:val="Zkladntex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APC Smart-UPS SRT 10kVA</w:t>
                                  </w:r>
                                </w:p>
                              </w:tc>
                            </w:tr>
                            <w:tr w:rsidR="007B38D3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B38D3" w:rsidRDefault="00C41FB0">
                                  <w:pPr>
                                    <w:pStyle w:val="Zkladntex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B38D3" w:rsidRDefault="00C41FB0">
                                  <w:pPr>
                                    <w:pStyle w:val="Zkladntex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APC Smart-UPS SRT 6000VA</w:t>
                                  </w:r>
                                </w:p>
                              </w:tc>
                            </w:tr>
                          </w:tbl>
                          <w:p w:rsidR="007B38D3" w:rsidRDefault="007B38D3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ámec2" o:spid="_x0000_s1026" style="position:absolute;left:0;text-align:left;margin-left:0;margin-top:5.6pt;width:272.9pt;height:81.8pt;z-index:2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W w:w="5457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6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4"/>
                        <w:gridCol w:w="4253"/>
                      </w:tblGrid>
                      <w:tr w:rsidR="007B38D3">
                        <w:trPr>
                          <w:cantSplit/>
                          <w:trHeight w:val="501"/>
                          <w:jc w:val="center"/>
                        </w:trPr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pct5" w:color="000000" w:fill="FFFFFF"/>
                            <w:vAlign w:val="center"/>
                          </w:tcPr>
                          <w:p w:rsidR="007B38D3" w:rsidRDefault="00C41FB0">
                            <w:pPr>
                              <w:pStyle w:val="Zkladntext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Počet kusů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pct5" w:color="000000" w:fill="FFFFFF"/>
                            <w:vAlign w:val="center"/>
                          </w:tcPr>
                          <w:p w:rsidR="007B38D3" w:rsidRDefault="00C41FB0">
                            <w:pPr>
                              <w:pStyle w:val="Zkladntext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Označení zboží</w:t>
                            </w:r>
                          </w:p>
                        </w:tc>
                      </w:tr>
                      <w:tr w:rsidR="007B38D3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B38D3" w:rsidRDefault="00C41FB0">
                            <w:pPr>
                              <w:pStyle w:val="Zkladntex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ks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B38D3" w:rsidRDefault="00C41FB0">
                            <w:pPr>
                              <w:pStyle w:val="Zkladntex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APC Smart-UPS SRT 10kVA</w:t>
                            </w:r>
                          </w:p>
                        </w:tc>
                      </w:tr>
                      <w:tr w:rsidR="007B38D3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B38D3" w:rsidRDefault="00C41FB0">
                            <w:pPr>
                              <w:pStyle w:val="Zkladntex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B38D3" w:rsidRDefault="00C41FB0">
                            <w:pPr>
                              <w:pStyle w:val="Zkladntex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APC Smart-UPS SRT 6000VA</w:t>
                            </w:r>
                          </w:p>
                        </w:tc>
                      </w:tr>
                    </w:tbl>
                    <w:p w:rsidR="007B38D3" w:rsidRDefault="007B38D3">
                      <w:pPr>
                        <w:pStyle w:val="Obsahrm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rPr>
          <w:rFonts w:cs="Arial"/>
        </w:rPr>
      </w:pPr>
    </w:p>
    <w:p w:rsidR="007B38D3" w:rsidRDefault="00C41FB0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oprávněná osoba předávajícího, že výše uvedený předmět </w:t>
      </w:r>
      <w:proofErr w:type="spellStart"/>
      <w:r>
        <w:rPr>
          <w:rFonts w:cs="Arial"/>
        </w:rPr>
        <w:t>přejmutí</w:t>
      </w:r>
      <w:proofErr w:type="spellEnd"/>
      <w:r>
        <w:rPr>
          <w:rFonts w:cs="Arial"/>
        </w:rPr>
        <w:t xml:space="preserve"> k uvedenému dni řádně předala oprávněné osobě přejímajícího. </w:t>
      </w:r>
    </w:p>
    <w:p w:rsidR="007B38D3" w:rsidRDefault="00C41FB0">
      <w:pPr>
        <w:rPr>
          <w:rFonts w:cs="Arial"/>
        </w:rPr>
      </w:pPr>
      <w:r>
        <w:rPr>
          <w:rFonts w:cs="Arial"/>
        </w:rPr>
        <w:t xml:space="preserve">Podpisem </w:t>
      </w:r>
      <w:r>
        <w:rPr>
          <w:rFonts w:cs="Arial"/>
        </w:rPr>
        <w:t xml:space="preserve">tohoto Předávacího protokolu potvrzuje oprávněná osoba přejímajícího, že uvedený předmět </w:t>
      </w:r>
      <w:proofErr w:type="spellStart"/>
      <w:r>
        <w:rPr>
          <w:rFonts w:cs="Arial"/>
        </w:rPr>
        <w:t>přejmutí</w:t>
      </w:r>
      <w:proofErr w:type="spellEnd"/>
      <w:r>
        <w:rPr>
          <w:rFonts w:cs="Arial"/>
        </w:rPr>
        <w:t xml:space="preserve"> k uvedenému dni řádně převzala v souladu s ustanoveními smlouvy.</w:t>
      </w: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C41FB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Praze, dne………………………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405"/>
        <w:gridCol w:w="3826"/>
        <w:gridCol w:w="2831"/>
      </w:tblGrid>
      <w:tr w:rsidR="007B38D3">
        <w:trPr>
          <w:trHeight w:val="496"/>
        </w:trPr>
        <w:tc>
          <w:tcPr>
            <w:tcW w:w="9062" w:type="dxa"/>
            <w:gridSpan w:val="3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7B38D3">
        <w:trPr>
          <w:trHeight w:val="276"/>
        </w:trPr>
        <w:tc>
          <w:tcPr>
            <w:tcW w:w="2405" w:type="dxa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826" w:type="dxa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831" w:type="dxa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7B38D3">
        <w:trPr>
          <w:trHeight w:val="554"/>
        </w:trPr>
        <w:tc>
          <w:tcPr>
            <w:tcW w:w="2405" w:type="dxa"/>
            <w:shd w:val="clear" w:color="auto" w:fill="auto"/>
          </w:tcPr>
          <w:p w:rsidR="007B38D3" w:rsidRDefault="007B38D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auto"/>
          </w:tcPr>
          <w:p w:rsidR="007B38D3" w:rsidRDefault="007B38D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:rsidR="007B38D3" w:rsidRDefault="007B38D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38D3" w:rsidRDefault="007B38D3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405"/>
        <w:gridCol w:w="3826"/>
        <w:gridCol w:w="2831"/>
      </w:tblGrid>
      <w:tr w:rsidR="007B38D3">
        <w:trPr>
          <w:trHeight w:val="496"/>
        </w:trPr>
        <w:tc>
          <w:tcPr>
            <w:tcW w:w="9062" w:type="dxa"/>
            <w:gridSpan w:val="3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Přejímající:</w:t>
            </w:r>
          </w:p>
        </w:tc>
      </w:tr>
      <w:tr w:rsidR="007B38D3">
        <w:trPr>
          <w:trHeight w:val="276"/>
        </w:trPr>
        <w:tc>
          <w:tcPr>
            <w:tcW w:w="2405" w:type="dxa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826" w:type="dxa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831" w:type="dxa"/>
            <w:shd w:val="clear" w:color="auto" w:fill="auto"/>
          </w:tcPr>
          <w:p w:rsidR="007B38D3" w:rsidRDefault="00C41FB0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7B38D3">
        <w:trPr>
          <w:trHeight w:val="554"/>
        </w:trPr>
        <w:tc>
          <w:tcPr>
            <w:tcW w:w="2405" w:type="dxa"/>
            <w:shd w:val="clear" w:color="auto" w:fill="auto"/>
            <w:vAlign w:val="center"/>
          </w:tcPr>
          <w:p w:rsidR="007B38D3" w:rsidRDefault="007B38D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26" w:type="dxa"/>
            <w:shd w:val="clear" w:color="auto" w:fill="auto"/>
            <w:vAlign w:val="center"/>
          </w:tcPr>
          <w:p w:rsidR="007B38D3" w:rsidRDefault="007B38D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:rsidR="007B38D3" w:rsidRDefault="007B38D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38D3" w:rsidRDefault="007B38D3">
      <w:pPr>
        <w:pStyle w:val="Zkladntextodsazen"/>
        <w:spacing w:after="0"/>
        <w:ind w:left="0"/>
        <w:jc w:val="both"/>
      </w:pPr>
    </w:p>
    <w:sectPr w:rsidR="007B38D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41FB0">
      <w:pPr>
        <w:spacing w:after="0"/>
      </w:pPr>
      <w:r>
        <w:separator/>
      </w:r>
    </w:p>
  </w:endnote>
  <w:endnote w:type="continuationSeparator" w:id="0">
    <w:p w:rsidR="00000000" w:rsidRDefault="00C41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6040000"/>
      <w:docPartObj>
        <w:docPartGallery w:val="Page Numbers (Bottom of Page)"/>
        <w:docPartUnique/>
      </w:docPartObj>
    </w:sdtPr>
    <w:sdtEndPr/>
    <w:sdtContent>
      <w:p w:rsidR="007B38D3" w:rsidRDefault="00C41FB0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38D3" w:rsidRDefault="007B38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D3" w:rsidRDefault="007B38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67350"/>
      <w:docPartObj>
        <w:docPartGallery w:val="Page Numbers (Bottom of Page)"/>
        <w:docPartUnique/>
      </w:docPartObj>
    </w:sdtPr>
    <w:sdtEndPr/>
    <w:sdtContent>
      <w:p w:rsidR="007B38D3" w:rsidRDefault="00C41FB0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7B38D3" w:rsidRDefault="007B38D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D3" w:rsidRDefault="007B38D3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994109"/>
      <w:docPartObj>
        <w:docPartGallery w:val="Page Numbers (Bottom of Page)"/>
        <w:docPartUnique/>
      </w:docPartObj>
    </w:sdtPr>
    <w:sdtEndPr/>
    <w:sdtContent>
      <w:p w:rsidR="007B38D3" w:rsidRDefault="00C41FB0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7B38D3" w:rsidRDefault="007B3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41FB0">
      <w:pPr>
        <w:spacing w:after="0"/>
      </w:pPr>
      <w:r>
        <w:separator/>
      </w:r>
    </w:p>
  </w:footnote>
  <w:footnote w:type="continuationSeparator" w:id="0">
    <w:p w:rsidR="00000000" w:rsidRDefault="00C41F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D3" w:rsidRDefault="00C41FB0">
    <w:pPr>
      <w:pStyle w:val="Zhlav"/>
      <w:rPr>
        <w:szCs w:val="20"/>
      </w:rPr>
    </w:pPr>
    <w:r>
      <w:rPr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D3" w:rsidRDefault="007B38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D3" w:rsidRDefault="00C41FB0">
    <w:pPr>
      <w:pStyle w:val="Zhlav"/>
    </w:pPr>
    <w:r>
      <w:rPr>
        <w:szCs w:val="1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D3" w:rsidRDefault="007B38D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D3" w:rsidRDefault="00C41FB0">
    <w:pPr>
      <w:pStyle w:val="Zhlav"/>
    </w:pPr>
    <w:r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7E4B"/>
    <w:multiLevelType w:val="multilevel"/>
    <w:tmpl w:val="8ABCF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2C1"/>
    <w:multiLevelType w:val="multilevel"/>
    <w:tmpl w:val="21200F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8720F"/>
    <w:multiLevelType w:val="multilevel"/>
    <w:tmpl w:val="0B10D688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FF4"/>
    <w:multiLevelType w:val="multilevel"/>
    <w:tmpl w:val="CADE4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1D34"/>
    <w:multiLevelType w:val="multilevel"/>
    <w:tmpl w:val="2472AA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D64F7"/>
    <w:multiLevelType w:val="multilevel"/>
    <w:tmpl w:val="3EB03472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E7C0179"/>
    <w:multiLevelType w:val="multilevel"/>
    <w:tmpl w:val="742C5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B33E0"/>
    <w:multiLevelType w:val="multilevel"/>
    <w:tmpl w:val="A6E67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27BD6"/>
    <w:multiLevelType w:val="multilevel"/>
    <w:tmpl w:val="4C4EC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E702B"/>
    <w:multiLevelType w:val="multilevel"/>
    <w:tmpl w:val="E760E60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B43AE"/>
    <w:multiLevelType w:val="multilevel"/>
    <w:tmpl w:val="5FCC8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8011C"/>
    <w:multiLevelType w:val="multilevel"/>
    <w:tmpl w:val="917240C8"/>
    <w:lvl w:ilvl="0">
      <w:start w:val="1"/>
      <w:numFmt w:val="decimal"/>
      <w:lvlText w:val="%1."/>
      <w:lvlJc w:val="left"/>
      <w:pPr>
        <w:ind w:left="1004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6280E12"/>
    <w:multiLevelType w:val="multilevel"/>
    <w:tmpl w:val="02BE8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6EFF"/>
    <w:multiLevelType w:val="multilevel"/>
    <w:tmpl w:val="E632B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1870F13"/>
    <w:multiLevelType w:val="multilevel"/>
    <w:tmpl w:val="03620A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D3"/>
    <w:rsid w:val="007B38D3"/>
    <w:rsid w:val="00C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CC76"/>
  <w15:docId w15:val="{246DFEFF-A30B-4AB7-A83E-B1CFDA9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B611C"/>
    <w:pPr>
      <w:keepNext/>
      <w:keepLines/>
      <w:tabs>
        <w:tab w:val="left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"/>
      <w:sz w:val="32"/>
      <w:szCs w:val="20"/>
      <w:lang w:eastAsia="cs-CZ"/>
    </w:rPr>
  </w:style>
  <w:style w:type="paragraph" w:styleId="Nadpis2">
    <w:name w:val="heading 2"/>
    <w:basedOn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611C"/>
    <w:pPr>
      <w:keepLines/>
      <w:tabs>
        <w:tab w:val="left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"/>
      <w:szCs w:val="20"/>
      <w:lang w:eastAsia="cs-CZ"/>
    </w:rPr>
  </w:style>
  <w:style w:type="paragraph" w:styleId="Nadpis4">
    <w:name w:val="heading 4"/>
    <w:basedOn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link w:val="Nadpis5Char"/>
    <w:qFormat/>
    <w:rsid w:val="00CB611C"/>
    <w:pPr>
      <w:tabs>
        <w:tab w:val="left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link w:val="Nadpis6Char"/>
    <w:qFormat/>
    <w:rsid w:val="00CB611C"/>
    <w:pPr>
      <w:keepNext/>
      <w:keepLines/>
      <w:tabs>
        <w:tab w:val="left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"/>
      <w:sz w:val="28"/>
      <w:szCs w:val="20"/>
      <w:lang w:eastAsia="cs-CZ"/>
    </w:rPr>
  </w:style>
  <w:style w:type="paragraph" w:styleId="Nadpis7">
    <w:name w:val="heading 7"/>
    <w:basedOn w:val="Normln"/>
    <w:link w:val="Nadpis7Char"/>
    <w:qFormat/>
    <w:rsid w:val="00CB611C"/>
    <w:pPr>
      <w:keepNext/>
      <w:keepLines/>
      <w:tabs>
        <w:tab w:val="left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"/>
      <w:szCs w:val="20"/>
      <w:lang w:eastAsia="cs-CZ"/>
    </w:rPr>
  </w:style>
  <w:style w:type="paragraph" w:styleId="Nadpis8">
    <w:name w:val="heading 8"/>
    <w:basedOn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CB611C"/>
    <w:pPr>
      <w:keepNext/>
      <w:keepLines/>
      <w:tabs>
        <w:tab w:val="left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96C2E"/>
  </w:style>
  <w:style w:type="character" w:customStyle="1" w:styleId="ZpatChar">
    <w:name w:val="Zápatí Char"/>
    <w:basedOn w:val="Standardnpsmoodstavce"/>
    <w:link w:val="Zpat"/>
    <w:uiPriority w:val="99"/>
    <w:qFormat/>
    <w:rsid w:val="00096C2E"/>
  </w:style>
  <w:style w:type="character" w:customStyle="1" w:styleId="Internetovodkaz">
    <w:name w:val="Internetový odkaz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qFormat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bublinyChar">
    <w:name w:val="Text bubliny Char"/>
    <w:link w:val="Textbubliny"/>
    <w:uiPriority w:val="99"/>
    <w:semiHidden/>
    <w:qFormat/>
    <w:rsid w:val="00B80BDD"/>
    <w:rPr>
      <w:rFonts w:ascii="Tahoma" w:hAnsi="Tahoma" w:cs="Tahoma"/>
      <w:sz w:val="16"/>
      <w:szCs w:val="16"/>
      <w:lang w:eastAsia="en-US"/>
    </w:rPr>
  </w:style>
  <w:style w:type="character" w:styleId="slostrnky">
    <w:name w:val="page number"/>
    <w:basedOn w:val="Standardnpsmoodstavce"/>
    <w:qFormat/>
    <w:rsid w:val="00AD22EF"/>
  </w:style>
  <w:style w:type="character" w:customStyle="1" w:styleId="ZkladntextodsazenChar">
    <w:name w:val="Základní text odsazený Char"/>
    <w:link w:val="Zkladntextodsazen"/>
    <w:qFormat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qFormat/>
    <w:rsid w:val="00B74AC9"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qFormat/>
    <w:rsid w:val="00CB611C"/>
    <w:rPr>
      <w:rFonts w:ascii="Arial" w:eastAsia="Times New Roman" w:hAnsi="Arial"/>
      <w:b/>
      <w:kern w:val="2"/>
      <w:sz w:val="32"/>
    </w:rPr>
  </w:style>
  <w:style w:type="character" w:customStyle="1" w:styleId="Nadpis3Char">
    <w:name w:val="Nadpis 3 Char"/>
    <w:basedOn w:val="Standardnpsmoodstavce"/>
    <w:link w:val="Nadpis3"/>
    <w:qFormat/>
    <w:rsid w:val="00CB611C"/>
    <w:rPr>
      <w:rFonts w:ascii="Times New Roman" w:eastAsia="Times New Roman" w:hAnsi="Times New Roman"/>
      <w:kern w:val="2"/>
      <w:sz w:val="22"/>
    </w:rPr>
  </w:style>
  <w:style w:type="character" w:customStyle="1" w:styleId="Nadpis5Char">
    <w:name w:val="Nadpis 5 Char"/>
    <w:basedOn w:val="Standardnpsmoodstavce"/>
    <w:link w:val="Nadpis5"/>
    <w:qFormat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basedOn w:val="Standardnpsmoodstavce"/>
    <w:link w:val="Nadpis6"/>
    <w:qFormat/>
    <w:rsid w:val="00CB611C"/>
    <w:rPr>
      <w:rFonts w:ascii="Arial" w:eastAsia="Times New Roman" w:hAnsi="Arial"/>
      <w:b/>
      <w:i/>
      <w:kern w:val="2"/>
      <w:sz w:val="28"/>
    </w:rPr>
  </w:style>
  <w:style w:type="character" w:customStyle="1" w:styleId="Nadpis7Char">
    <w:name w:val="Nadpis 7 Char"/>
    <w:basedOn w:val="Standardnpsmoodstavce"/>
    <w:link w:val="Nadpis7"/>
    <w:qFormat/>
    <w:rsid w:val="00CB611C"/>
    <w:rPr>
      <w:rFonts w:ascii="Times New Roman" w:eastAsia="Times New Roman" w:hAnsi="Times New Roman"/>
      <w:b/>
      <w:kern w:val="2"/>
      <w:sz w:val="22"/>
    </w:rPr>
  </w:style>
  <w:style w:type="character" w:customStyle="1" w:styleId="Nadpis9Char">
    <w:name w:val="Nadpis 9 Char"/>
    <w:basedOn w:val="Standardnpsmoodstavce"/>
    <w:link w:val="Nadpis9"/>
    <w:qFormat/>
    <w:rsid w:val="00CB611C"/>
    <w:rPr>
      <w:rFonts w:ascii="Times New Roman" w:eastAsia="Times New Roman" w:hAnsi="Times New Roman"/>
      <w:b/>
      <w:i/>
      <w:kern w:val="2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431C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431C8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431C8"/>
    <w:rPr>
      <w:b/>
      <w:bCs/>
      <w:lang w:eastAsia="en-US"/>
    </w:rPr>
  </w:style>
  <w:style w:type="character" w:customStyle="1" w:styleId="currency">
    <w:name w:val="currency"/>
    <w:basedOn w:val="Standardnpsmoodstavce"/>
    <w:qFormat/>
    <w:rsid w:val="006E317B"/>
  </w:style>
  <w:style w:type="character" w:styleId="Nevyeenzmnka">
    <w:name w:val="Unresolved Mention"/>
    <w:basedOn w:val="Standardnpsmoodstavce"/>
    <w:uiPriority w:val="99"/>
    <w:semiHidden/>
    <w:unhideWhenUsed/>
    <w:qFormat/>
    <w:rsid w:val="00DE18C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E18CA"/>
    <w:rPr>
      <w:color w:val="954F72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hAnsi="Arial"/>
      <w:b/>
      <w:sz w:val="20"/>
    </w:rPr>
  </w:style>
  <w:style w:type="character" w:customStyle="1" w:styleId="ListLabel7">
    <w:name w:val="ListLabel 7"/>
    <w:qFormat/>
    <w:rPr>
      <w:rFonts w:cs="Times New Roman"/>
      <w:b w:val="0"/>
      <w:i w:val="0"/>
      <w:sz w:val="24"/>
      <w:szCs w:val="24"/>
    </w:rPr>
  </w:style>
  <w:style w:type="character" w:customStyle="1" w:styleId="ListLabel8">
    <w:name w:val="ListLabel 8"/>
    <w:qFormat/>
    <w:rPr>
      <w:b w:val="0"/>
      <w:i w:val="0"/>
      <w:sz w:val="24"/>
    </w:rPr>
  </w:style>
  <w:style w:type="character" w:customStyle="1" w:styleId="ListLabel9">
    <w:name w:val="ListLabel 9"/>
    <w:qFormat/>
    <w:rPr>
      <w:b w:val="0"/>
      <w:i w:val="0"/>
      <w:sz w:val="24"/>
      <w:szCs w:val="24"/>
    </w:rPr>
  </w:style>
  <w:style w:type="character" w:customStyle="1" w:styleId="ListLabel10">
    <w:name w:val="ListLabel 10"/>
    <w:qFormat/>
    <w:rPr>
      <w:b w:val="0"/>
      <w:i w:val="0"/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sz w:val="24"/>
      <w:szCs w:val="24"/>
    </w:rPr>
  </w:style>
  <w:style w:type="character" w:customStyle="1" w:styleId="ListLabel15">
    <w:name w:val="ListLabel 15"/>
    <w:qFormat/>
    <w:rPr>
      <w:b w:val="0"/>
      <w:i w:val="0"/>
      <w:sz w:val="24"/>
      <w:szCs w:val="24"/>
    </w:rPr>
  </w:style>
  <w:style w:type="character" w:customStyle="1" w:styleId="ListLabel16">
    <w:name w:val="ListLabel 16"/>
    <w:qFormat/>
    <w:rPr>
      <w:b w:val="0"/>
      <w:i w:val="0"/>
      <w:sz w:val="24"/>
    </w:rPr>
  </w:style>
  <w:style w:type="character" w:customStyle="1" w:styleId="ListLabel17">
    <w:name w:val="ListLabel 17"/>
    <w:qFormat/>
    <w:rPr>
      <w:b w:val="0"/>
      <w:i w:val="0"/>
      <w:sz w:val="24"/>
      <w:szCs w:val="24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  <w:sz w:val="20"/>
    </w:rPr>
  </w:style>
  <w:style w:type="character" w:customStyle="1" w:styleId="ListLabel35">
    <w:name w:val="ListLabel 35"/>
    <w:qFormat/>
    <w:rPr>
      <w:b w:val="0"/>
      <w:i w:val="0"/>
      <w:sz w:val="24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ascii="Arial" w:hAnsi="Arial"/>
      <w:b/>
      <w:sz w:val="20"/>
    </w:rPr>
  </w:style>
  <w:style w:type="character" w:customStyle="1" w:styleId="ListLabel38">
    <w:name w:val="ListLabel 38"/>
    <w:qFormat/>
    <w:rPr>
      <w:b w:val="0"/>
      <w:i w:val="0"/>
      <w:sz w:val="24"/>
    </w:rPr>
  </w:style>
  <w:style w:type="character" w:customStyle="1" w:styleId="ListLabel39">
    <w:name w:val="ListLabel 39"/>
    <w:qFormat/>
    <w:rPr>
      <w:b w:val="0"/>
      <w:i w:val="0"/>
      <w:sz w:val="24"/>
    </w:rPr>
  </w:style>
  <w:style w:type="character" w:customStyle="1" w:styleId="ListLabel40">
    <w:name w:val="ListLabel 40"/>
    <w:qFormat/>
    <w:rPr>
      <w:b w:val="0"/>
      <w:i w:val="0"/>
      <w:sz w:val="24"/>
    </w:rPr>
  </w:style>
  <w:style w:type="character" w:customStyle="1" w:styleId="ListLabel41">
    <w:name w:val="ListLabel 41"/>
    <w:qFormat/>
    <w:rPr>
      <w:b w:val="0"/>
      <w:i w:val="0"/>
      <w:sz w:val="24"/>
    </w:rPr>
  </w:style>
  <w:style w:type="character" w:customStyle="1" w:styleId="ListLabel42">
    <w:name w:val="ListLabel 42"/>
    <w:qFormat/>
    <w:rPr>
      <w:b w:val="0"/>
      <w:i w:val="0"/>
      <w:sz w:val="20"/>
    </w:rPr>
  </w:style>
  <w:style w:type="character" w:customStyle="1" w:styleId="ListLabel43">
    <w:name w:val="ListLabel 43"/>
    <w:qFormat/>
    <w:rPr>
      <w:rFonts w:ascii="Arial" w:hAnsi="Arial"/>
      <w:b w:val="0"/>
      <w:i w:val="0"/>
      <w:sz w:val="20"/>
    </w:rPr>
  </w:style>
  <w:style w:type="character" w:customStyle="1" w:styleId="ListLabel44">
    <w:name w:val="ListLabel 44"/>
    <w:qFormat/>
    <w:rPr>
      <w:b w:val="0"/>
      <w:i w:val="0"/>
      <w:sz w:val="20"/>
    </w:rPr>
  </w:style>
  <w:style w:type="character" w:customStyle="1" w:styleId="ListLabel45">
    <w:name w:val="ListLabel 45"/>
    <w:qFormat/>
    <w:rPr>
      <w:b w:val="0"/>
      <w:i w:val="0"/>
      <w:sz w:val="20"/>
    </w:rPr>
  </w:style>
  <w:style w:type="character" w:customStyle="1" w:styleId="ListLabel46">
    <w:name w:val="ListLabel 46"/>
    <w:qFormat/>
    <w:rPr>
      <w:b w:val="0"/>
      <w:i w:val="0"/>
      <w:sz w:val="20"/>
    </w:rPr>
  </w:style>
  <w:style w:type="character" w:customStyle="1" w:styleId="ListLabel47">
    <w:name w:val="ListLabel 47"/>
    <w:qFormat/>
    <w:rPr>
      <w:rFonts w:ascii="Arial" w:hAnsi="Arial"/>
      <w:b w:val="0"/>
      <w:i w:val="0"/>
      <w:sz w:val="20"/>
    </w:rPr>
  </w:style>
  <w:style w:type="character" w:customStyle="1" w:styleId="ListLabel48">
    <w:name w:val="ListLabel 48"/>
    <w:qFormat/>
    <w:rPr>
      <w:rFonts w:ascii="Arial" w:hAnsi="Arial"/>
      <w:b w:val="0"/>
      <w:i w:val="0"/>
      <w:color w:val="auto"/>
      <w:sz w:val="20"/>
    </w:rPr>
  </w:style>
  <w:style w:type="character" w:customStyle="1" w:styleId="ListLabel49">
    <w:name w:val="ListLabel 49"/>
    <w:qFormat/>
    <w:rPr>
      <w:rFonts w:ascii="Arial" w:hAnsi="Arial" w:cs="Arial"/>
      <w:sz w:val="20"/>
      <w:szCs w:val="20"/>
    </w:rPr>
  </w:style>
  <w:style w:type="character" w:customStyle="1" w:styleId="ListLabel50">
    <w:name w:val="ListLabel 50"/>
    <w:qFormat/>
    <w:rPr>
      <w:rFonts w:ascii="Arial" w:hAnsi="Arial"/>
      <w:b/>
      <w:sz w:val="20"/>
    </w:rPr>
  </w:style>
  <w:style w:type="character" w:customStyle="1" w:styleId="ListLabel51">
    <w:name w:val="ListLabel 51"/>
    <w:qFormat/>
    <w:rPr>
      <w:rFonts w:ascii="Arial" w:hAnsi="Arial"/>
      <w:b/>
      <w:sz w:val="20"/>
    </w:rPr>
  </w:style>
  <w:style w:type="character" w:customStyle="1" w:styleId="ListLabel52">
    <w:name w:val="ListLabel 52"/>
    <w:qFormat/>
    <w:rPr>
      <w:rFonts w:ascii="Arial" w:hAnsi="Arial"/>
      <w:b/>
      <w:sz w:val="20"/>
    </w:rPr>
  </w:style>
  <w:style w:type="character" w:customStyle="1" w:styleId="ListLabel53">
    <w:name w:val="ListLabel 53"/>
    <w:qFormat/>
    <w:rPr>
      <w:rFonts w:ascii="Arial" w:hAnsi="Arial"/>
      <w:b w:val="0"/>
      <w:i w:val="0"/>
      <w:sz w:val="20"/>
    </w:rPr>
  </w:style>
  <w:style w:type="character" w:customStyle="1" w:styleId="ListLabel54">
    <w:name w:val="ListLabel 54"/>
    <w:qFormat/>
    <w:rPr>
      <w:rFonts w:ascii="Arial" w:hAnsi="Arial"/>
      <w:b w:val="0"/>
      <w:i w:val="0"/>
      <w:sz w:val="20"/>
    </w:rPr>
  </w:style>
  <w:style w:type="character" w:customStyle="1" w:styleId="ListLabel55">
    <w:name w:val="ListLabel 55"/>
    <w:qFormat/>
    <w:rPr>
      <w:rFonts w:ascii="Arial" w:hAnsi="Arial"/>
      <w:b w:val="0"/>
      <w:i w:val="0"/>
      <w:color w:val="auto"/>
      <w:sz w:val="20"/>
    </w:rPr>
  </w:style>
  <w:style w:type="character" w:customStyle="1" w:styleId="ListLabel56">
    <w:name w:val="ListLabel 56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paragraph" w:customStyle="1" w:styleId="PODPISYDATUM">
    <w:name w:val="PODPISY DATUM"/>
    <w:basedOn w:val="Normln"/>
    <w:qFormat/>
    <w:rsid w:val="00641D6B"/>
    <w:pPr>
      <w:keepNext/>
      <w:keepLines/>
      <w:suppressAutoHyphens/>
      <w:overflowPunct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qFormat/>
    <w:rsid w:val="00641D6B"/>
    <w:pPr>
      <w:tabs>
        <w:tab w:val="center" w:pos="2552"/>
        <w:tab w:val="center" w:pos="7371"/>
      </w:tabs>
      <w:suppressAutoHyphens/>
      <w:overflowPunct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80BDD"/>
    <w:pPr>
      <w:spacing w:after="0"/>
    </w:pPr>
    <w:rPr>
      <w:rFonts w:ascii="Tahoma" w:hAnsi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431C8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431C8"/>
    <w:rPr>
      <w:b/>
      <w:bCs/>
    </w:rPr>
  </w:style>
  <w:style w:type="paragraph" w:styleId="Revize">
    <w:name w:val="Revision"/>
    <w:uiPriority w:val="99"/>
    <w:semiHidden/>
    <w:qFormat/>
    <w:rsid w:val="008535F0"/>
    <w:rPr>
      <w:sz w:val="22"/>
      <w:szCs w:val="22"/>
      <w:lang w:eastAsia="en-US"/>
    </w:rPr>
  </w:style>
  <w:style w:type="paragraph" w:customStyle="1" w:styleId="sloupec-vlevo">
    <w:name w:val="sloupec-vlevo"/>
    <w:basedOn w:val="Normln"/>
    <w:qFormat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paragraph" w:customStyle="1" w:styleId="rtfbr">
    <w:name w:val="rtfbr"/>
    <w:basedOn w:val="Normln"/>
    <w:qFormat/>
    <w:rsid w:val="00F94BA1"/>
    <w:pPr>
      <w:spacing w:beforeAutospacing="1" w:afterAutospacing="1"/>
      <w:ind w:firstLine="0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msonormal0">
    <w:name w:val="msonormal"/>
    <w:basedOn w:val="Normln"/>
    <w:qFormat/>
    <w:rsid w:val="00DE18CA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qFormat/>
    <w:rsid w:val="00DE18CA"/>
    <w:pP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qFormat/>
    <w:rsid w:val="00DE18C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qFormat/>
    <w:rsid w:val="00DE18CA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qFormat/>
    <w:rsid w:val="00DE18C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qFormat/>
    <w:rsid w:val="00DE18C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qFormat/>
    <w:rsid w:val="00DE18C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qFormat/>
    <w:rsid w:val="00DE18C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qFormat/>
    <w:rsid w:val="00DE18C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qFormat/>
    <w:rsid w:val="00DE18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qFormat/>
    <w:rsid w:val="00DE18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qFormat/>
    <w:rsid w:val="00DE18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qFormat/>
    <w:rsid w:val="00DE18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qFormat/>
    <w:rsid w:val="00DE18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qFormat/>
    <w:rsid w:val="00DE18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qFormat/>
    <w:rsid w:val="00DE18C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qFormat/>
    <w:rsid w:val="00DE18CA"/>
    <w:pPr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qFormat/>
    <w:rsid w:val="00DE18C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qFormat/>
    <w:rsid w:val="00DE18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qFormat/>
    <w:rsid w:val="00DE18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qFormat/>
    <w:rsid w:val="00DE18C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qFormat/>
    <w:rsid w:val="00DE18CA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qFormat/>
    <w:rsid w:val="00DE18CA"/>
    <w:pP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qFormat/>
    <w:rsid w:val="00DE18CA"/>
    <w:pPr>
      <w:pBdr>
        <w:top w:val="single" w:sz="4" w:space="0" w:color="000000"/>
        <w:left w:val="single" w:sz="8" w:space="0" w:color="000000"/>
        <w:bottom w:val="double" w:sz="6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qFormat/>
    <w:rsid w:val="00DE18CA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qFormat/>
    <w:rsid w:val="00DE18CA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3">
    <w:name w:val="xl103"/>
    <w:basedOn w:val="Normln"/>
    <w:qFormat/>
    <w:rsid w:val="00DE18C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qFormat/>
    <w:rsid w:val="00DE18C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8">
    <w:name w:val="xl108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qFormat/>
    <w:rsid w:val="00DE18CA"/>
    <w:pPr>
      <w:pBdr>
        <w:top w:val="single" w:sz="8" w:space="0" w:color="000000"/>
      </w:pBd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customStyle="1" w:styleId="xl111">
    <w:name w:val="xl111"/>
    <w:basedOn w:val="Normln"/>
    <w:qFormat/>
    <w:rsid w:val="00DE18CA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customStyle="1" w:styleId="xl112">
    <w:name w:val="xl112"/>
    <w:basedOn w:val="Normln"/>
    <w:qFormat/>
    <w:rsid w:val="00DE18C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qFormat/>
    <w:rsid w:val="00DE18CA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4">
    <w:name w:val="xl114"/>
    <w:basedOn w:val="Normln"/>
    <w:qFormat/>
    <w:rsid w:val="00DE18CA"/>
    <w:pPr>
      <w:pBdr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qFormat/>
    <w:rsid w:val="00DE18CA"/>
    <w:pPr>
      <w:pBdr>
        <w:top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qFormat/>
    <w:rsid w:val="00DE18C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qFormat/>
    <w:rsid w:val="00DE1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8">
    <w:name w:val="xl118"/>
    <w:basedOn w:val="Normln"/>
    <w:qFormat/>
    <w:rsid w:val="00DE18C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qFormat/>
    <w:rsid w:val="00DE18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qFormat/>
    <w:rsid w:val="00DE18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qFormat/>
    <w:rsid w:val="00DE18C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qFormat/>
    <w:rsid w:val="00DE18C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qFormat/>
    <w:rsid w:val="00DE18CA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qFormat/>
    <w:rsid w:val="00DE18CA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5">
    <w:name w:val="xl125"/>
    <w:basedOn w:val="Normln"/>
    <w:qFormat/>
    <w:rsid w:val="00DE18C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qFormat/>
    <w:rsid w:val="00DE18CA"/>
    <w:pPr>
      <w:pBdr>
        <w:left w:val="single" w:sz="8" w:space="0" w:color="000000"/>
        <w:bottom w:val="single" w:sz="8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qFormat/>
    <w:rsid w:val="00DE18CA"/>
    <w:pPr>
      <w:pBdr>
        <w:bottom w:val="single" w:sz="8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8">
    <w:name w:val="xl128"/>
    <w:basedOn w:val="Normln"/>
    <w:qFormat/>
    <w:rsid w:val="00DE18CA"/>
    <w:pPr>
      <w:pBdr>
        <w:bottom w:val="single" w:sz="8" w:space="0" w:color="000000"/>
        <w:right w:val="single" w:sz="8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D07AB-02EB-4EFE-AE0F-3C22020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3932</Words>
  <Characters>23201</Characters>
  <Application>Microsoft Office Word</Application>
  <DocSecurity>0</DocSecurity>
  <Lines>193</Lines>
  <Paragraphs>54</Paragraphs>
  <ScaleCrop>false</ScaleCrop>
  <Company>Policie ČR</Company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ladislav.mesiarik</dc:creator>
  <dc:description/>
  <cp:lastModifiedBy>Sokoltová Lenka, Ing., MBA</cp:lastModifiedBy>
  <cp:revision>31</cp:revision>
  <cp:lastPrinted>2013-11-28T10:25:00Z</cp:lastPrinted>
  <dcterms:created xsi:type="dcterms:W3CDTF">2020-10-06T15:14:00Z</dcterms:created>
  <dcterms:modified xsi:type="dcterms:W3CDTF">2020-11-19T15:58:00Z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Policie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