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EB4" w:rsidRDefault="00112EB4" w:rsidP="00112EB4">
      <w:pPr>
        <w:jc w:val="center"/>
        <w:rPr>
          <w:b/>
        </w:rPr>
      </w:pPr>
      <w:bookmarkStart w:id="0" w:name="_GoBack"/>
      <w:bookmarkEnd w:id="0"/>
      <w:r w:rsidRPr="00007BDD">
        <w:rPr>
          <w:b/>
        </w:rPr>
        <w:t xml:space="preserve">PŘÍLOHA Č. </w:t>
      </w:r>
      <w:r>
        <w:rPr>
          <w:b/>
        </w:rPr>
        <w:t>1</w:t>
      </w:r>
      <w:r w:rsidRPr="00007BDD">
        <w:rPr>
          <w:b/>
        </w:rPr>
        <w:t xml:space="preserve"> – TECHNICKÁ A VĚCNÁ SPECIFIKACE</w:t>
      </w:r>
      <w:r>
        <w:rPr>
          <w:b/>
        </w:rPr>
        <w:t xml:space="preserve"> PŘEDMĚTU PLNĚNÍ</w:t>
      </w:r>
    </w:p>
    <w:p w:rsidR="00112EB4" w:rsidRDefault="00112EB4" w:rsidP="00112EB4">
      <w:pPr>
        <w:jc w:val="left"/>
        <w:rPr>
          <w:b/>
        </w:rPr>
      </w:pPr>
    </w:p>
    <w:p w:rsidR="00377A44" w:rsidRDefault="004A3E97" w:rsidP="00377A44">
      <w:pPr>
        <w:pStyle w:val="Nadpis1"/>
        <w:spacing w:after="120"/>
      </w:pPr>
      <w:r>
        <w:t>PROCES KONTROLY OZNÁMENÍ</w:t>
      </w:r>
    </w:p>
    <w:p w:rsidR="00377A44" w:rsidRDefault="00377A44" w:rsidP="00377A44">
      <w:r>
        <w:t>Procesem kontroly oznámení je myšlena k</w:t>
      </w:r>
      <w:r w:rsidRPr="00377A44">
        <w:t>ontrola splnění oznamovací povinnosti veřejnými funkcionáři podle § 12 odst. 2 zákona č. 159/2006 Sb., o střetu zájmů, ve znění pozdějších předpisů s termínem pro podání tzv. průběžného oznámení</w:t>
      </w:r>
      <w:r>
        <w:t xml:space="preserve"> ke stanovenému datu. Tato oznámení jsou následně ručně zpracovávána pracovníky Ministerstva spravedlnosti. Jedná se o opakující se činnost, která je popsatelná a </w:t>
      </w:r>
      <w:proofErr w:type="spellStart"/>
      <w:r>
        <w:t>algoritmizovatelná</w:t>
      </w:r>
      <w:proofErr w:type="spellEnd"/>
      <w:r>
        <w:t>, je tedy vhodná pro robotizaci.</w:t>
      </w:r>
    </w:p>
    <w:p w:rsidR="00377A44" w:rsidRPr="00377A44" w:rsidRDefault="00377A44" w:rsidP="00377A44">
      <w:r>
        <w:t xml:space="preserve">Cílem je automatizovat agendu zpracování oznámení formou softwarové robotizace. Robot vyhodnotí, zda je daná osoba, která nepodala hlášení, veřejným funkcionářem v daném kraji a </w:t>
      </w:r>
      <w:r w:rsidRPr="00377A44">
        <w:t>následně vygeneruje podle předem definovaných pravidel dopisy pro příslušné správní orgány.</w:t>
      </w:r>
    </w:p>
    <w:p w:rsidR="00377A44" w:rsidRPr="00377A44" w:rsidRDefault="00377A44" w:rsidP="00377A44">
      <w:r w:rsidRPr="00377A44">
        <w:t>Proces se skládá ze dvou částí:</w:t>
      </w:r>
    </w:p>
    <w:p w:rsidR="00377A44" w:rsidRDefault="00377A44" w:rsidP="00377A44">
      <w:pPr>
        <w:pStyle w:val="Odstavecseseznamem"/>
        <w:numPr>
          <w:ilvl w:val="0"/>
          <w:numId w:val="10"/>
        </w:numPr>
        <w:rPr>
          <w:rFonts w:ascii="Times New Roman" w:hAnsi="Times New Roman"/>
          <w:sz w:val="24"/>
          <w:szCs w:val="24"/>
        </w:rPr>
      </w:pPr>
      <w:r>
        <w:rPr>
          <w:rFonts w:ascii="Times New Roman" w:hAnsi="Times New Roman"/>
          <w:sz w:val="24"/>
          <w:szCs w:val="24"/>
        </w:rPr>
        <w:t>v</w:t>
      </w:r>
      <w:r w:rsidRPr="00377A44">
        <w:rPr>
          <w:rFonts w:ascii="Times New Roman" w:hAnsi="Times New Roman"/>
          <w:sz w:val="24"/>
          <w:szCs w:val="24"/>
        </w:rPr>
        <w:t>ytvoření seznamu veřejných funkcionářů, kteří průběžné oznámení nepodali, nebo podali špatně</w:t>
      </w:r>
      <w:r w:rsidR="004A3E97">
        <w:rPr>
          <w:rFonts w:ascii="Times New Roman" w:hAnsi="Times New Roman"/>
          <w:sz w:val="24"/>
          <w:szCs w:val="24"/>
        </w:rPr>
        <w:t>,</w:t>
      </w:r>
    </w:p>
    <w:p w:rsidR="00377A44" w:rsidRPr="00377A44" w:rsidRDefault="00377A44" w:rsidP="00377A44">
      <w:pPr>
        <w:pStyle w:val="Odstavecseseznamem"/>
        <w:numPr>
          <w:ilvl w:val="0"/>
          <w:numId w:val="10"/>
        </w:numPr>
        <w:rPr>
          <w:rFonts w:ascii="Times New Roman" w:hAnsi="Times New Roman"/>
          <w:sz w:val="24"/>
          <w:szCs w:val="24"/>
        </w:rPr>
      </w:pPr>
      <w:r>
        <w:rPr>
          <w:rFonts w:ascii="Times New Roman" w:hAnsi="Times New Roman"/>
          <w:sz w:val="24"/>
          <w:szCs w:val="24"/>
        </w:rPr>
        <w:t>t</w:t>
      </w:r>
      <w:r w:rsidRPr="00377A44">
        <w:rPr>
          <w:rFonts w:ascii="Times New Roman" w:hAnsi="Times New Roman"/>
          <w:sz w:val="24"/>
          <w:szCs w:val="24"/>
        </w:rPr>
        <w:t>vorba dopisů správním orgánům</w:t>
      </w:r>
      <w:r w:rsidR="004A3E97">
        <w:rPr>
          <w:rFonts w:ascii="Times New Roman" w:hAnsi="Times New Roman"/>
          <w:sz w:val="24"/>
          <w:szCs w:val="24"/>
        </w:rPr>
        <w:t>.</w:t>
      </w:r>
    </w:p>
    <w:p w:rsidR="00377A44" w:rsidRDefault="00377A44" w:rsidP="00377A44"/>
    <w:p w:rsidR="00112EB4" w:rsidRDefault="004A3E97" w:rsidP="00112EB4">
      <w:pPr>
        <w:pStyle w:val="Nadpis1"/>
        <w:spacing w:after="120"/>
      </w:pPr>
      <w:r>
        <w:t>SPECIFIKACE SEZNAMU VEŘEJNÝCH FUNKCIONÁŘŮ</w:t>
      </w:r>
    </w:p>
    <w:p w:rsidR="00112EB4" w:rsidRDefault="00112EB4" w:rsidP="00112EB4">
      <w:pPr>
        <w:pStyle w:val="Normlnweb"/>
        <w:numPr>
          <w:ilvl w:val="0"/>
          <w:numId w:val="9"/>
        </w:numPr>
        <w:spacing w:before="0" w:beforeAutospacing="0" w:after="0" w:afterAutospacing="0"/>
        <w:jc w:val="both"/>
      </w:pPr>
      <w:r>
        <w:rPr>
          <w:b/>
        </w:rPr>
        <w:t>Do seznamu vyber osoby, které neučinili do 30. 6. 2020 druh oznámení průběžné oznámení (případně výstupní oznámení</w:t>
      </w:r>
      <w:r>
        <w:rPr>
          <w:rStyle w:val="Znakapoznpodarou"/>
          <w:b/>
        </w:rPr>
        <w:footnoteReference w:id="1"/>
      </w:r>
      <w:r>
        <w:rPr>
          <w:b/>
        </w:rPr>
        <w:t xml:space="preserve">) oznámení za období výkonu funkce v roce 2019, tj. funkci zahájili v roce 2019 a dříve a zároveň jejich funkce pokračuje nebo byla ukončena v roce 2020 (tj. nedošlo k ukončení výkonu funkce v kalendářním roce 2019 nebo dříve). </w:t>
      </w:r>
      <w:r>
        <w:t xml:space="preserve">Týká se i osob, které byly do Centrálního registru zapsány v roce 2020, ale funkci již započali vykonávat v roce 2019 případně dříve. </w:t>
      </w:r>
    </w:p>
    <w:p w:rsidR="00112EB4" w:rsidRDefault="00112EB4" w:rsidP="00112EB4">
      <w:pPr>
        <w:pStyle w:val="Normlnweb"/>
        <w:numPr>
          <w:ilvl w:val="0"/>
          <w:numId w:val="9"/>
        </w:numPr>
        <w:spacing w:before="0" w:beforeAutospacing="0" w:after="0" w:afterAutospacing="0"/>
        <w:jc w:val="both"/>
      </w:pPr>
      <w:r w:rsidRPr="00112EB4">
        <w:rPr>
          <w:b/>
          <w:bCs/>
          <w:color w:val="030303"/>
        </w:rPr>
        <w:t xml:space="preserve">Pokud osoba vykonávala funkci po celý kalendářní rok 2019, je rozhodným </w:t>
      </w:r>
      <w:r w:rsidRPr="00112EB4">
        <w:rPr>
          <w:color w:val="030303"/>
        </w:rPr>
        <w:t>(oznamovacím)</w:t>
      </w:r>
      <w:r w:rsidRPr="00112EB4">
        <w:rPr>
          <w:b/>
          <w:bCs/>
          <w:color w:val="030303"/>
        </w:rPr>
        <w:t xml:space="preserve"> obdobím celý tento rok, tj. období od 1. 1. 2019 do 31. 12. 2019</w:t>
      </w:r>
      <w:r w:rsidRPr="00112EB4">
        <w:rPr>
          <w:color w:val="030303"/>
        </w:rPr>
        <w:t xml:space="preserve">. </w:t>
      </w:r>
      <w:r w:rsidRPr="00112EB4">
        <w:rPr>
          <w:b/>
          <w:bCs/>
          <w:color w:val="030303"/>
        </w:rPr>
        <w:t xml:space="preserve">Pokud osoba vykonávala funkci pouze po část kalendářního roku 2019, je rozhodným </w:t>
      </w:r>
      <w:r w:rsidRPr="00112EB4">
        <w:rPr>
          <w:color w:val="030303"/>
        </w:rPr>
        <w:t xml:space="preserve">(oznamovacím) </w:t>
      </w:r>
      <w:r w:rsidRPr="00112EB4">
        <w:rPr>
          <w:b/>
          <w:bCs/>
          <w:color w:val="030303"/>
        </w:rPr>
        <w:t>obdobím tato část roku, tj. období od data zahájení výkonu funkce do 31. 12. 2019</w:t>
      </w:r>
      <w:r w:rsidRPr="00112EB4">
        <w:rPr>
          <w:color w:val="030303"/>
        </w:rPr>
        <w:t>.</w:t>
      </w:r>
    </w:p>
    <w:p w:rsidR="00112EB4" w:rsidRDefault="00112EB4" w:rsidP="00112EB4">
      <w:pPr>
        <w:pStyle w:val="Normlnweb"/>
        <w:numPr>
          <w:ilvl w:val="0"/>
          <w:numId w:val="9"/>
        </w:numPr>
        <w:spacing w:before="0" w:beforeAutospacing="0" w:after="0" w:afterAutospacing="0"/>
        <w:jc w:val="both"/>
      </w:pPr>
      <w:r>
        <w:t xml:space="preserve">Pokud byl veřejný funkcionář zapsán v Centrálním registru oznámení v roce 2019 a dříve a k zápisu ukončení výkonu funkce došlo od 1. 1. 2020 do 31. 5. 2020 včetně, přičemž k ukončení výkonu funkce došlo v roce 2019, pak zahrň takovou osobu do kontroly splnění oznamovací povinnosti (podání průběžného oznámení do 30. 6. 2020). </w:t>
      </w:r>
    </w:p>
    <w:p w:rsidR="00112EB4" w:rsidRDefault="00112EB4" w:rsidP="00112EB4">
      <w:pPr>
        <w:pStyle w:val="Normlnweb"/>
        <w:numPr>
          <w:ilvl w:val="0"/>
          <w:numId w:val="9"/>
        </w:numPr>
        <w:spacing w:before="0" w:beforeAutospacing="0" w:after="0" w:afterAutospacing="0"/>
        <w:jc w:val="both"/>
      </w:pPr>
      <w:r>
        <w:t>Pokud byl veřejný funkcionář, který funkci vykonával s přesahem do roku 2019 zapsán v Centrálním registru oznámení až dodatečně od 1. 6. 2020 do 30. 6. 2020, pak takovou osobu označ hnědou barvou a vyluč ji z výsledného oznámení správnímu orgánu.</w:t>
      </w:r>
    </w:p>
    <w:p w:rsidR="00112EB4" w:rsidRDefault="00112EB4" w:rsidP="00112EB4">
      <w:pPr>
        <w:pStyle w:val="Normlnweb"/>
        <w:numPr>
          <w:ilvl w:val="0"/>
          <w:numId w:val="9"/>
        </w:numPr>
        <w:spacing w:before="0" w:beforeAutospacing="0" w:after="0" w:afterAutospacing="0"/>
        <w:jc w:val="both"/>
      </w:pPr>
      <w:r>
        <w:t>V případě, že osoba uvedená v seznamu učiní průběžné oznámení v zákonem stanovené lhůtě do 30. 6. 2020 a za správné rozhodné období výkonu funkce v roce 2019, ale v oznámení zadá chybnou funkci, případně neuvede všechny funkce, za které by měl oznámení učinit, označ ji zelenou barvou, neboť oznamovací povinnost splnila. Zelenou barvou označ i osobu, která splnila oznamovací povinnost v zákonem stanovené lhůtě do 30. 6. 2020 podáním výstupního oznámení za správné rozhodné období. Tyto osoby vyluč z výsledného oznámení správnímu orgánu.</w:t>
      </w:r>
    </w:p>
    <w:p w:rsidR="00112EB4" w:rsidRDefault="00112EB4" w:rsidP="00112EB4">
      <w:pPr>
        <w:pStyle w:val="Normlnweb"/>
        <w:numPr>
          <w:ilvl w:val="0"/>
          <w:numId w:val="9"/>
        </w:numPr>
        <w:spacing w:before="0" w:beforeAutospacing="0" w:after="0" w:afterAutospacing="0"/>
        <w:jc w:val="both"/>
      </w:pPr>
      <w:r>
        <w:lastRenderedPageBreak/>
        <w:t>Osobu, která bude mít v seznamu v organizaci uvedeno „Základní škola“, „Mateřská škola“, „ZŠ“, „MŠ“ nebo kombinaci těchto slov a nebude mít povinnost učinit oznámení za jinou funkci, označ modrou barvou a vyluč ji z výsledného oznámení správnímu orgánu.</w:t>
      </w:r>
    </w:p>
    <w:p w:rsidR="00112EB4" w:rsidRDefault="00112EB4" w:rsidP="00112EB4">
      <w:pPr>
        <w:pStyle w:val="Normlnweb"/>
        <w:numPr>
          <w:ilvl w:val="0"/>
          <w:numId w:val="9"/>
        </w:numPr>
        <w:spacing w:before="0" w:beforeAutospacing="0" w:after="0" w:afterAutospacing="0"/>
        <w:jc w:val="both"/>
      </w:pPr>
      <w:r>
        <w:t>Osobu, která bude mít v seznamu „člen zastupitelstva“ a v poli „uvolněnost“ údaj „</w:t>
      </w:r>
      <w:r w:rsidRPr="00112EB4">
        <w:rPr>
          <w:i/>
        </w:rPr>
        <w:t>neuvolněný</w:t>
      </w:r>
      <w:r>
        <w:t xml:space="preserve">“, označ modrou barvou a vyluč ji z výsledného oznámení správnímu orgánu. </w:t>
      </w:r>
    </w:p>
    <w:p w:rsidR="004A3E97" w:rsidRDefault="00112EB4" w:rsidP="004A3E97">
      <w:pPr>
        <w:pStyle w:val="Normlnweb"/>
        <w:numPr>
          <w:ilvl w:val="0"/>
          <w:numId w:val="9"/>
        </w:numPr>
        <w:spacing w:before="0" w:beforeAutospacing="0" w:after="0" w:afterAutospacing="0"/>
        <w:jc w:val="both"/>
      </w:pPr>
      <w:r>
        <w:t>Na kartě veřejného funkcionáře, který nepodal průběžné oznámení do 30. 6. 2020 nebo jej nepodal za celé období výkonu funkce v roce 2019, použij v oddílu „Adresa trvalého pobytu“ tlačítko „ZÍSKAT“ nebo „AKTUALIZOVAT“ a zadej do tabulky údaje o trvalém pobytu veřejného funkcionáře.</w:t>
      </w:r>
    </w:p>
    <w:p w:rsidR="004A3E97" w:rsidRDefault="00112EB4" w:rsidP="004A3E97">
      <w:pPr>
        <w:pStyle w:val="Normlnweb"/>
        <w:numPr>
          <w:ilvl w:val="0"/>
          <w:numId w:val="9"/>
        </w:numPr>
        <w:spacing w:before="0" w:beforeAutospacing="0" w:after="0" w:afterAutospacing="0"/>
        <w:jc w:val="both"/>
      </w:pPr>
      <w:r>
        <w:t>Ve sloupci „ORP“ doplň aktualizovaný údaje o ORP, který se zobrazí na kartě veřejného funkcionáře spolu s údaji o trvalém pobytu. V této souvislosti upozorňuji, že údaj o ORP se v Centrálním registru oznámení nezobrazí ihned spolu s adresou trvalého pobytu, nicméně je nezbytné z karty vyjít (o krok zpět) a následně si ji znovu otevřít.</w:t>
      </w:r>
    </w:p>
    <w:p w:rsidR="004A3E97" w:rsidRDefault="00112EB4" w:rsidP="004A3E97">
      <w:pPr>
        <w:pStyle w:val="Normlnweb"/>
        <w:numPr>
          <w:ilvl w:val="0"/>
          <w:numId w:val="9"/>
        </w:numPr>
        <w:spacing w:before="0" w:beforeAutospacing="0" w:after="0" w:afterAutospacing="0"/>
        <w:jc w:val="both"/>
      </w:pPr>
      <w:r>
        <w:t xml:space="preserve">V případě, že bude v položce „ORP“ uvedeno „Hl. m. Praha“ přiřaď a uveď příslušný správní orgán, konkrétně Úřad městské části Praha </w:t>
      </w:r>
      <w:proofErr w:type="gramStart"/>
      <w:r>
        <w:t>1 – 22</w:t>
      </w:r>
      <w:proofErr w:type="gramEnd"/>
      <w:r>
        <w:t xml:space="preserve"> podle správního obvodu dle adresy trvalého pobytu.</w:t>
      </w:r>
    </w:p>
    <w:p w:rsidR="004A3E97" w:rsidRDefault="00112EB4" w:rsidP="004A3E97">
      <w:pPr>
        <w:pStyle w:val="Normlnweb"/>
        <w:numPr>
          <w:ilvl w:val="0"/>
          <w:numId w:val="9"/>
        </w:numPr>
        <w:spacing w:before="0" w:beforeAutospacing="0" w:after="0" w:afterAutospacing="0"/>
        <w:jc w:val="both"/>
      </w:pPr>
      <w:r>
        <w:t>Seznam osob seřaď podle abecedy dle ORP.</w:t>
      </w:r>
    </w:p>
    <w:p w:rsidR="004A3E97" w:rsidRDefault="00112EB4" w:rsidP="004A3E97">
      <w:pPr>
        <w:pStyle w:val="Normlnweb"/>
        <w:numPr>
          <w:ilvl w:val="0"/>
          <w:numId w:val="9"/>
        </w:numPr>
        <w:spacing w:before="0" w:beforeAutospacing="0" w:after="0" w:afterAutospacing="0"/>
        <w:jc w:val="both"/>
      </w:pPr>
      <w:r>
        <w:t>Pokud nejde získat nebo aktualizovat údaj o trvalém pobytu a v položce „Ztotožněn“ není „fajfka“, označ osobu červenou barvou a vyluč ji z výsledného oznámení správnímu orgánu.</w:t>
      </w:r>
    </w:p>
    <w:p w:rsidR="004A3E97" w:rsidRDefault="00112EB4" w:rsidP="004A3E97">
      <w:pPr>
        <w:pStyle w:val="Normlnweb"/>
        <w:numPr>
          <w:ilvl w:val="0"/>
          <w:numId w:val="9"/>
        </w:numPr>
        <w:spacing w:before="0" w:beforeAutospacing="0" w:after="0" w:afterAutospacing="0"/>
        <w:jc w:val="both"/>
      </w:pPr>
      <w:r>
        <w:t xml:space="preserve">Na kartě veřejného funkcionáře, který nepodal průběžné oznámení do 30. 6. 2020 nebo jej nepodal za celé období výkonu funkce v roce 2019, ověř v oddílu „Funkcionář/Editace funkcionáře“ datum úmrtí v položce „Datum úmrtí“. Pokud bude údaj o úmrtí uveden, označ osobu v řádku šedou barvou a vyluč ji z výsledného oznámení správnímu orgánu. </w:t>
      </w:r>
    </w:p>
    <w:p w:rsidR="004A3E97" w:rsidRDefault="00112EB4" w:rsidP="004A3E97">
      <w:pPr>
        <w:pStyle w:val="Normlnweb"/>
        <w:numPr>
          <w:ilvl w:val="0"/>
          <w:numId w:val="9"/>
        </w:numPr>
        <w:spacing w:before="0" w:beforeAutospacing="0" w:after="0" w:afterAutospacing="0"/>
        <w:jc w:val="both"/>
      </w:pPr>
      <w:r>
        <w:t>Osobu, u níž je uvedena funkce „státní zástupce“ označ fialovou barvou, nedošlo-li k ukončení výkonu této funkce a vyluč ji z výsledného oznámení správnímu orgánu.</w:t>
      </w:r>
    </w:p>
    <w:p w:rsidR="004A3E97" w:rsidRDefault="00112EB4" w:rsidP="004A3E97">
      <w:pPr>
        <w:pStyle w:val="Normlnweb"/>
        <w:numPr>
          <w:ilvl w:val="0"/>
          <w:numId w:val="9"/>
        </w:numPr>
        <w:spacing w:before="0" w:beforeAutospacing="0" w:after="0" w:afterAutospacing="0"/>
        <w:jc w:val="both"/>
      </w:pPr>
      <w:r>
        <w:t>Ověř osoby v seznamu „zdravotně nezpůsobilých podat oznámení“</w:t>
      </w:r>
      <w:r>
        <w:rPr>
          <w:rStyle w:val="Znakapoznpodarou"/>
        </w:rPr>
        <w:footnoteReference w:id="2"/>
      </w:r>
      <w:r>
        <w:t>; v případě, že se zde bude osoba nacházet, označ ji zelenou barvou a vyluč ji z výsledného oznámení správnímu orgánu.</w:t>
      </w:r>
    </w:p>
    <w:p w:rsidR="004A3E97" w:rsidRDefault="00112EB4" w:rsidP="004A3E97">
      <w:pPr>
        <w:pStyle w:val="Normlnweb"/>
        <w:numPr>
          <w:ilvl w:val="0"/>
          <w:numId w:val="9"/>
        </w:numPr>
        <w:spacing w:before="0" w:beforeAutospacing="0" w:after="0" w:afterAutospacing="0"/>
        <w:jc w:val="both"/>
      </w:pPr>
      <w:r>
        <w:t>Ověř osoby v seznamu „příslušníků Policie ČR“</w:t>
      </w:r>
      <w:r>
        <w:rPr>
          <w:rStyle w:val="Znakapoznpodarou"/>
        </w:rPr>
        <w:footnoteReference w:id="3"/>
      </w:r>
      <w:r>
        <w:t>; pokud se zde bude osoba nacházet, označ ji žlutou barvou a ve sloupci „Mimo“ uveď text „</w:t>
      </w:r>
      <w:r w:rsidRPr="004A3E97">
        <w:rPr>
          <w:i/>
        </w:rPr>
        <w:t>Policejní prezidium České republiky“</w:t>
      </w:r>
      <w:r>
        <w:t>.</w:t>
      </w:r>
      <w:r w:rsidRPr="004A3E97">
        <w:rPr>
          <w:i/>
        </w:rPr>
        <w:t xml:space="preserve"> </w:t>
      </w:r>
    </w:p>
    <w:p w:rsidR="004A3E97" w:rsidRDefault="00112EB4" w:rsidP="004A3E97">
      <w:pPr>
        <w:pStyle w:val="Normlnweb"/>
        <w:numPr>
          <w:ilvl w:val="0"/>
          <w:numId w:val="9"/>
        </w:numPr>
        <w:spacing w:before="0" w:beforeAutospacing="0" w:after="0" w:afterAutospacing="0"/>
        <w:jc w:val="both"/>
      </w:pPr>
      <w:r>
        <w:t>Ve sloupci ustanovení, které bylo porušeno uveď text „§ 12 odst. 2 zákona o střetu zájmů“</w:t>
      </w:r>
    </w:p>
    <w:p w:rsidR="004A3E97" w:rsidRDefault="00112EB4" w:rsidP="004A3E97">
      <w:pPr>
        <w:pStyle w:val="Normlnweb"/>
        <w:numPr>
          <w:ilvl w:val="0"/>
          <w:numId w:val="9"/>
        </w:numPr>
        <w:spacing w:before="0" w:beforeAutospacing="0" w:after="0" w:afterAutospacing="0"/>
        <w:jc w:val="both"/>
      </w:pPr>
      <w:r>
        <w:t>Ve sloupci právní kvalifikace přestupku uveď text „§ 23 odst. 1 písm. f) zákona o střetu zájmů“</w:t>
      </w:r>
    </w:p>
    <w:p w:rsidR="00112EB4" w:rsidRDefault="00112EB4" w:rsidP="004A3E97">
      <w:pPr>
        <w:pStyle w:val="Normlnweb"/>
        <w:numPr>
          <w:ilvl w:val="0"/>
          <w:numId w:val="9"/>
        </w:numPr>
        <w:spacing w:before="0" w:beforeAutospacing="0" w:after="0" w:afterAutospacing="0"/>
        <w:jc w:val="both"/>
      </w:pPr>
      <w:r>
        <w:t>Ve sloupci s poznámkou uveď vybraný vzor textu a doplň dle povahy údaje, které jsou dostupné v Centrálním registru oznámení na kartě veřejného funkcionáře (označeno žlutě).</w:t>
      </w:r>
    </w:p>
    <w:p w:rsidR="00112EB4" w:rsidRDefault="00112EB4" w:rsidP="004A3E97">
      <w:pPr>
        <w:pStyle w:val="Normlnweb"/>
        <w:numPr>
          <w:ilvl w:val="0"/>
          <w:numId w:val="13"/>
        </w:numPr>
        <w:spacing w:before="0" w:beforeAutospacing="0" w:after="0" w:afterAutospacing="0"/>
        <w:jc w:val="both"/>
      </w:pPr>
      <w:r>
        <w:t>V případě, že veřejný funkcionář průběžné oznámení učinil dodatečně, tj. po 30. 6. 2020, uveď „</w:t>
      </w:r>
      <w:r>
        <w:rPr>
          <w:i/>
        </w:rPr>
        <w:t>Oznamovací povinnost splněna dodatečně dne</w:t>
      </w:r>
      <w:proofErr w:type="gramStart"/>
      <w:r>
        <w:rPr>
          <w:i/>
        </w:rPr>
        <w:t xml:space="preserve"> </w:t>
      </w:r>
      <w:r>
        <w:rPr>
          <w:i/>
          <w:highlight w:val="yellow"/>
        </w:rPr>
        <w:t>..</w:t>
      </w:r>
      <w:proofErr w:type="gramEnd"/>
      <w:r>
        <w:rPr>
          <w:i/>
          <w:highlight w:val="yellow"/>
        </w:rPr>
        <w:t xml:space="preserve"> .. ….</w:t>
      </w:r>
      <w:r>
        <w:rPr>
          <w:i/>
        </w:rPr>
        <w:t>.“</w:t>
      </w:r>
      <w:r>
        <w:rPr>
          <w:color w:val="FF0000"/>
        </w:rPr>
        <w:t xml:space="preserve"> </w:t>
      </w:r>
      <w:r>
        <w:lastRenderedPageBreak/>
        <w:t>(údaj vyber na kartě veřejného funkcionáře z oddílu „Oznámení“ ze sloupce „Datum podání oznámení“ u příslušného oznámení).</w:t>
      </w:r>
    </w:p>
    <w:p w:rsidR="00112EB4" w:rsidRDefault="00112EB4" w:rsidP="004A3E97">
      <w:pPr>
        <w:pStyle w:val="Normlnweb"/>
        <w:numPr>
          <w:ilvl w:val="0"/>
          <w:numId w:val="13"/>
        </w:numPr>
        <w:spacing w:before="0" w:beforeAutospacing="0" w:after="0" w:afterAutospacing="0"/>
        <w:jc w:val="both"/>
        <w:rPr>
          <w:i/>
        </w:rPr>
      </w:pPr>
      <w:r>
        <w:t>V případě, že veřejný funkcionář průběžné oznámení učinil dodatečně a zároveň nepokrývá celé rozhodné (oznamovací) období výkonu funkce v roce 2019, uveď „</w:t>
      </w:r>
      <w:r>
        <w:rPr>
          <w:i/>
        </w:rPr>
        <w:t xml:space="preserve">Oznamovací povinnost splněna dodatečně dne </w:t>
      </w:r>
      <w:r>
        <w:rPr>
          <w:i/>
          <w:highlight w:val="yellow"/>
        </w:rPr>
        <w:t>………</w:t>
      </w:r>
      <w:r>
        <w:rPr>
          <w:i/>
        </w:rPr>
        <w:t xml:space="preserve">, nepokrývá však celé rozhodné období od </w:t>
      </w:r>
      <w:r>
        <w:rPr>
          <w:i/>
          <w:highlight w:val="yellow"/>
        </w:rPr>
        <w:t>1</w:t>
      </w:r>
      <w:r>
        <w:rPr>
          <w:i/>
        </w:rPr>
        <w:t xml:space="preserve">. </w:t>
      </w:r>
      <w:r>
        <w:rPr>
          <w:i/>
          <w:highlight w:val="yellow"/>
        </w:rPr>
        <w:t>1</w:t>
      </w:r>
      <w:r>
        <w:rPr>
          <w:i/>
        </w:rPr>
        <w:t xml:space="preserve">. 2019 do </w:t>
      </w:r>
      <w:r>
        <w:rPr>
          <w:i/>
          <w:highlight w:val="yellow"/>
        </w:rPr>
        <w:t>31</w:t>
      </w:r>
      <w:r>
        <w:rPr>
          <w:i/>
        </w:rPr>
        <w:t xml:space="preserve">. </w:t>
      </w:r>
      <w:r>
        <w:rPr>
          <w:i/>
          <w:highlight w:val="yellow"/>
        </w:rPr>
        <w:t>12</w:t>
      </w:r>
      <w:r>
        <w:rPr>
          <w:i/>
        </w:rPr>
        <w:t>. 2019.“</w:t>
      </w:r>
      <w:r>
        <w:t xml:space="preserve"> (údaj vyber z karty veřejného funkcionáře z oddílu „Oznámení“ ze sloupců „Datum podání“, „Období od“ a „Období do“ u příslušného oznámení).</w:t>
      </w:r>
    </w:p>
    <w:p w:rsidR="00112EB4" w:rsidRDefault="00112EB4" w:rsidP="004A3E97">
      <w:pPr>
        <w:pStyle w:val="Normlnweb"/>
        <w:numPr>
          <w:ilvl w:val="0"/>
          <w:numId w:val="13"/>
        </w:numPr>
        <w:spacing w:before="0" w:beforeAutospacing="0" w:after="0" w:afterAutospacing="0"/>
        <w:jc w:val="both"/>
        <w:rPr>
          <w:i/>
        </w:rPr>
      </w:pPr>
      <w:r>
        <w:t>V případě, že veřejný funkcionář průběžné oznámení učinil v zákonem stanovené lhůtě do 30. 6. 2020, nicméně nepokrývá celé rozhodné (oznamovací) období výkonu funkce v roce 2019, uveď</w:t>
      </w:r>
      <w:r>
        <w:rPr>
          <w:i/>
        </w:rPr>
        <w:t xml:space="preserve"> „Oznamovací povinnost splněna v zákonem stanovené lhůtě, nepokrývá však celé rozhodné období od </w:t>
      </w:r>
      <w:r>
        <w:rPr>
          <w:i/>
          <w:highlight w:val="yellow"/>
        </w:rPr>
        <w:t>1</w:t>
      </w:r>
      <w:r>
        <w:rPr>
          <w:i/>
        </w:rPr>
        <w:t>. </w:t>
      </w:r>
      <w:r>
        <w:rPr>
          <w:i/>
          <w:highlight w:val="yellow"/>
        </w:rPr>
        <w:t>1</w:t>
      </w:r>
      <w:r>
        <w:rPr>
          <w:i/>
        </w:rPr>
        <w:t xml:space="preserve">. 2019 do </w:t>
      </w:r>
      <w:r>
        <w:rPr>
          <w:i/>
          <w:highlight w:val="yellow"/>
        </w:rPr>
        <w:t>31</w:t>
      </w:r>
      <w:r>
        <w:rPr>
          <w:i/>
        </w:rPr>
        <w:t xml:space="preserve">. </w:t>
      </w:r>
      <w:r>
        <w:rPr>
          <w:i/>
          <w:highlight w:val="yellow"/>
        </w:rPr>
        <w:t>12</w:t>
      </w:r>
      <w:r>
        <w:rPr>
          <w:i/>
        </w:rPr>
        <w:t xml:space="preserve">. 2019, ale pouze období od </w:t>
      </w:r>
      <w:r>
        <w:rPr>
          <w:i/>
          <w:highlight w:val="yellow"/>
        </w:rPr>
        <w:t>12. 5.</w:t>
      </w:r>
      <w:r>
        <w:rPr>
          <w:i/>
        </w:rPr>
        <w:t xml:space="preserve"> </w:t>
      </w:r>
      <w:r>
        <w:rPr>
          <w:i/>
          <w:highlight w:val="yellow"/>
        </w:rPr>
        <w:t>2019</w:t>
      </w:r>
      <w:r>
        <w:rPr>
          <w:i/>
        </w:rPr>
        <w:t xml:space="preserve"> do </w:t>
      </w:r>
      <w:r>
        <w:rPr>
          <w:i/>
          <w:highlight w:val="yellow"/>
        </w:rPr>
        <w:t>15. 11. 2019</w:t>
      </w:r>
      <w:r>
        <w:rPr>
          <w:i/>
        </w:rPr>
        <w:t xml:space="preserve">.“ </w:t>
      </w:r>
      <w:r>
        <w:t>(první údaje o rozhodném období vyber z karty veřejného funkcionáře z oddílu „Funkce</w:t>
      </w:r>
      <w:proofErr w:type="gramStart"/>
      <w:r>
        <w:t>“  a</w:t>
      </w:r>
      <w:proofErr w:type="gramEnd"/>
      <w:r>
        <w:t xml:space="preserve"> ze sloupců „Začátek“ a „Konec“ – údaje budou bez „závorkového data“, dále pak v období, za které bylo oznámení podáno, vyber údaj z karty veřejného funkcionáře z oddílu „Oznámení“ a ze sloupců „Období od“ a „Období do“ u příslušného oznámení</w:t>
      </w:r>
      <w:r>
        <w:rPr>
          <w:i/>
        </w:rPr>
        <w:t>).</w:t>
      </w:r>
    </w:p>
    <w:p w:rsidR="00112EB4" w:rsidRDefault="00112EB4" w:rsidP="004A3E97">
      <w:pPr>
        <w:pStyle w:val="Normlnweb"/>
        <w:numPr>
          <w:ilvl w:val="0"/>
          <w:numId w:val="13"/>
        </w:numPr>
        <w:spacing w:before="0" w:beforeAutospacing="0" w:after="0" w:afterAutospacing="0"/>
        <w:jc w:val="both"/>
      </w:pPr>
      <w:r>
        <w:t>V případě, že veřejný funkcionář učinil v zákonem stanovené lhůtě do 30. 6. 2020 namísto oznámení průběžného oznámení výstupní a toto nepokrývá celé rozhodné (oznamovací) období, uveď „</w:t>
      </w:r>
      <w:r>
        <w:rPr>
          <w:i/>
        </w:rPr>
        <w:t xml:space="preserve">Oznamovací povinnost splněna ve lhůtě podáním výstupního oznámení ze dne </w:t>
      </w:r>
      <w:proofErr w:type="gramStart"/>
      <w:r>
        <w:rPr>
          <w:i/>
          <w:highlight w:val="yellow"/>
        </w:rPr>
        <w:t>…….</w:t>
      </w:r>
      <w:proofErr w:type="gramEnd"/>
      <w:r>
        <w:rPr>
          <w:i/>
        </w:rPr>
        <w:t xml:space="preserve">, nepokrývá však celé rozhodné období výkonu funkce v roce 2019, tj. od </w:t>
      </w:r>
      <w:r>
        <w:rPr>
          <w:i/>
          <w:highlight w:val="yellow"/>
        </w:rPr>
        <w:t>1</w:t>
      </w:r>
      <w:r>
        <w:rPr>
          <w:i/>
        </w:rPr>
        <w:t xml:space="preserve">. </w:t>
      </w:r>
      <w:r>
        <w:rPr>
          <w:i/>
          <w:highlight w:val="yellow"/>
        </w:rPr>
        <w:t>1</w:t>
      </w:r>
      <w:r>
        <w:rPr>
          <w:i/>
        </w:rPr>
        <w:t xml:space="preserve">. 2019 do </w:t>
      </w:r>
      <w:r>
        <w:rPr>
          <w:i/>
          <w:highlight w:val="yellow"/>
        </w:rPr>
        <w:t>31</w:t>
      </w:r>
      <w:r>
        <w:rPr>
          <w:i/>
        </w:rPr>
        <w:t xml:space="preserve">. </w:t>
      </w:r>
      <w:r>
        <w:rPr>
          <w:i/>
          <w:highlight w:val="yellow"/>
        </w:rPr>
        <w:t>12</w:t>
      </w:r>
      <w:r>
        <w:rPr>
          <w:i/>
        </w:rPr>
        <w:t xml:space="preserve">. 2019, ale pouze období od </w:t>
      </w:r>
      <w:r>
        <w:rPr>
          <w:i/>
          <w:highlight w:val="yellow"/>
        </w:rPr>
        <w:t>12. 5. 2019</w:t>
      </w:r>
      <w:r>
        <w:rPr>
          <w:i/>
        </w:rPr>
        <w:t xml:space="preserve"> </w:t>
      </w:r>
      <w:r>
        <w:rPr>
          <w:i/>
          <w:highlight w:val="yellow"/>
        </w:rPr>
        <w:t>do 15. 11. 2019</w:t>
      </w:r>
      <w:r>
        <w:rPr>
          <w:i/>
        </w:rPr>
        <w:t>.“</w:t>
      </w:r>
      <w:r>
        <w:t xml:space="preserve"> (údaje vyber z karty veřejného funkcionáře z oddílu „Oznámení“ a sloupce „Datum podání“, z oddílu „Funkce a ze sloupců „Začátek“ a „Konec“ – údaje budou bez „závorkového data“, dále pak v období, za které bylo oznámení podáno, vyber údaj z karty veřejného funkcionáře z oddílu „Oznámení“ a ze sloupců „Období od“ a „Období do“ u příslušného oznámení</w:t>
      </w:r>
      <w:r>
        <w:rPr>
          <w:i/>
        </w:rPr>
        <w:t>).</w:t>
      </w:r>
    </w:p>
    <w:p w:rsidR="00112EB4" w:rsidRDefault="00112EB4" w:rsidP="004A3E97">
      <w:pPr>
        <w:pStyle w:val="Normlnweb"/>
        <w:numPr>
          <w:ilvl w:val="0"/>
          <w:numId w:val="13"/>
        </w:numPr>
        <w:spacing w:before="0" w:beforeAutospacing="0" w:after="0" w:afterAutospacing="0"/>
        <w:jc w:val="both"/>
      </w:pPr>
      <w:r>
        <w:t>V případě, že veřejný funkcionář učiní oznámení dodatečně po 30. 6. 2020 a namísto průběžného oznámení učinil oznámení výstupní, uveď „</w:t>
      </w:r>
      <w:r>
        <w:rPr>
          <w:i/>
        </w:rPr>
        <w:t>Oznamovací povinnost splněna dodatečně podáním výstupního oznámení dne</w:t>
      </w:r>
      <w:proofErr w:type="gramStart"/>
      <w:r>
        <w:rPr>
          <w:i/>
        </w:rPr>
        <w:t xml:space="preserve"> </w:t>
      </w:r>
      <w:r>
        <w:rPr>
          <w:i/>
          <w:highlight w:val="yellow"/>
        </w:rPr>
        <w:t>..</w:t>
      </w:r>
      <w:proofErr w:type="gramEnd"/>
      <w:r>
        <w:rPr>
          <w:i/>
          <w:highlight w:val="yellow"/>
        </w:rPr>
        <w:t xml:space="preserve"> .. ….</w:t>
      </w:r>
      <w:r>
        <w:rPr>
          <w:i/>
        </w:rPr>
        <w:t xml:space="preserve">.“ </w:t>
      </w:r>
      <w:r>
        <w:t xml:space="preserve">(údaj vyber z karty veřejného funkcionáře z oddílu „Oznámení“ ze sloupce „Datum podání“ u příslušného oznámení. </w:t>
      </w:r>
    </w:p>
    <w:p w:rsidR="00112EB4" w:rsidRDefault="00112EB4" w:rsidP="004A3E97">
      <w:pPr>
        <w:pStyle w:val="Normlnweb"/>
        <w:numPr>
          <w:ilvl w:val="0"/>
          <w:numId w:val="13"/>
        </w:numPr>
        <w:spacing w:before="0" w:beforeAutospacing="0" w:after="0" w:afterAutospacing="0"/>
        <w:jc w:val="both"/>
      </w:pPr>
      <w:r>
        <w:t>V případě, že veřejný funkcionář učiní oznámení dodatečně po 30. 6. 2020, namísto průběžného oznámení učinil oznámení výstupní a toto nepokrývá celé rozhodné období, uveď „</w:t>
      </w:r>
      <w:r>
        <w:rPr>
          <w:i/>
        </w:rPr>
        <w:t xml:space="preserve">Oznamovací povinnost splněna dodatečně podáním výstupního oznámení ze dne </w:t>
      </w:r>
      <w:proofErr w:type="gramStart"/>
      <w:r>
        <w:rPr>
          <w:i/>
          <w:highlight w:val="yellow"/>
        </w:rPr>
        <w:t>…….</w:t>
      </w:r>
      <w:proofErr w:type="gramEnd"/>
      <w:r>
        <w:rPr>
          <w:i/>
        </w:rPr>
        <w:t xml:space="preserve">, nepokrývá však celé rozhodné období výkonu funkce v roce 2019, tj. od </w:t>
      </w:r>
      <w:r>
        <w:rPr>
          <w:i/>
          <w:highlight w:val="yellow"/>
        </w:rPr>
        <w:t>1</w:t>
      </w:r>
      <w:r>
        <w:rPr>
          <w:i/>
        </w:rPr>
        <w:t xml:space="preserve">. </w:t>
      </w:r>
      <w:r>
        <w:rPr>
          <w:i/>
          <w:highlight w:val="yellow"/>
        </w:rPr>
        <w:t>1</w:t>
      </w:r>
      <w:r>
        <w:rPr>
          <w:i/>
        </w:rPr>
        <w:t xml:space="preserve">. 2019 do </w:t>
      </w:r>
      <w:r>
        <w:rPr>
          <w:i/>
          <w:highlight w:val="yellow"/>
        </w:rPr>
        <w:t>31</w:t>
      </w:r>
      <w:r>
        <w:rPr>
          <w:i/>
        </w:rPr>
        <w:t xml:space="preserve">. </w:t>
      </w:r>
      <w:r>
        <w:rPr>
          <w:i/>
          <w:highlight w:val="yellow"/>
        </w:rPr>
        <w:t>12</w:t>
      </w:r>
      <w:r>
        <w:rPr>
          <w:i/>
        </w:rPr>
        <w:t xml:space="preserve">. 2019, ale pouze období od </w:t>
      </w:r>
      <w:r>
        <w:rPr>
          <w:i/>
          <w:highlight w:val="yellow"/>
        </w:rPr>
        <w:t>12. 5. 2019</w:t>
      </w:r>
      <w:r>
        <w:rPr>
          <w:i/>
        </w:rPr>
        <w:t xml:space="preserve"> do </w:t>
      </w:r>
      <w:r>
        <w:rPr>
          <w:i/>
          <w:highlight w:val="yellow"/>
        </w:rPr>
        <w:t>15. 11. 2019</w:t>
      </w:r>
      <w:r>
        <w:rPr>
          <w:i/>
        </w:rPr>
        <w:t xml:space="preserve">.“ </w:t>
      </w:r>
      <w:r>
        <w:t>(údaje vyber z karty veřejného funkcionáře z oddílu „Oznámení“ a sloupce „Datum podání“, z oddílu „Funkce a ze sloupců „Začátek“ a „Konec“ – údaje budou bez „závorkového data“, dále pak v období, za které bylo oznámení podáno, vyber údaj z karty veřejného funkcionáře z oddílu „Oznámení“ a ze sloupců „Období od“ a „Období do“ u příslušného oznámení</w:t>
      </w:r>
      <w:r>
        <w:rPr>
          <w:i/>
        </w:rPr>
        <w:t>.</w:t>
      </w:r>
    </w:p>
    <w:p w:rsidR="004A3E97" w:rsidRDefault="00112EB4" w:rsidP="004A3E97">
      <w:pPr>
        <w:pStyle w:val="Normlnweb"/>
        <w:numPr>
          <w:ilvl w:val="0"/>
          <w:numId w:val="9"/>
        </w:numPr>
        <w:spacing w:before="0" w:beforeAutospacing="0" w:after="0" w:afterAutospacing="0"/>
        <w:jc w:val="both"/>
      </w:pPr>
      <w:r>
        <w:t>Vyfiltruj osoby za funkce „voják z povolání“, „vedoucí příslušník bezpečnostního sboru 1. řídící úrovně“ a „vedoucí příslušník bezpečnostního sboru 2. řídící úrovně“; pokud osoba ve funkci pokračuje, označ ji žlutou barvou a do sloupce „Mimo“ zadej odpovídající text.</w:t>
      </w:r>
    </w:p>
    <w:p w:rsidR="004A3E97" w:rsidRDefault="00112EB4" w:rsidP="004A3E97">
      <w:pPr>
        <w:pStyle w:val="Normlnweb"/>
        <w:numPr>
          <w:ilvl w:val="1"/>
          <w:numId w:val="9"/>
        </w:numPr>
        <w:spacing w:before="0" w:beforeAutospacing="0" w:after="0" w:afterAutospacing="0"/>
        <w:jc w:val="both"/>
      </w:pPr>
      <w:r>
        <w:t xml:space="preserve">V případě, že osoba má ve sloupci funkce „voják z povolání“, ve sloupci organizace organizaci „Ministerstvo obrany“, uveď do sloupce „Mimo“ – „Ministerstvo obrany České republiky“. </w:t>
      </w:r>
    </w:p>
    <w:p w:rsidR="004A3E97" w:rsidRDefault="00112EB4" w:rsidP="004A3E97">
      <w:pPr>
        <w:pStyle w:val="Normlnweb"/>
        <w:numPr>
          <w:ilvl w:val="1"/>
          <w:numId w:val="9"/>
        </w:numPr>
        <w:spacing w:before="0" w:beforeAutospacing="0" w:after="0" w:afterAutospacing="0"/>
        <w:jc w:val="both"/>
      </w:pPr>
      <w:r>
        <w:lastRenderedPageBreak/>
        <w:t>V případě, že osoba</w:t>
      </w:r>
      <w:r w:rsidRPr="004A3E97">
        <w:rPr>
          <w:i/>
        </w:rPr>
        <w:t xml:space="preserve"> </w:t>
      </w:r>
      <w:r>
        <w:t>má ve sloupci funkce „vedoucí příslušník bezpečnostního sboru 1. řídící úrovně“ nebo „vedoucí příslušník bezpečnostního sboru 2. řídící úrovně“, ve sloupci organizace „Policie ČR“, uveď do sloupce „Mimo“ -</w:t>
      </w:r>
      <w:r w:rsidRPr="004A3E97">
        <w:rPr>
          <w:i/>
        </w:rPr>
        <w:t xml:space="preserve"> „Policejní prezidium České republiky“</w:t>
      </w:r>
      <w:r>
        <w:t>.</w:t>
      </w:r>
    </w:p>
    <w:p w:rsidR="004A3E97" w:rsidRDefault="00112EB4" w:rsidP="004A3E97">
      <w:pPr>
        <w:pStyle w:val="Normlnweb"/>
        <w:numPr>
          <w:ilvl w:val="1"/>
          <w:numId w:val="9"/>
        </w:numPr>
        <w:spacing w:before="0" w:beforeAutospacing="0" w:after="0" w:afterAutospacing="0"/>
        <w:jc w:val="both"/>
      </w:pPr>
      <w:r>
        <w:t>V případě, že osoba má ve sloupci funkce „vedoucí příslušník bezpečnostního sboru 1. řídící úrovně“ nebo „vedoucí příslušník bezpečnostního sboru 2. řídící úrovně</w:t>
      </w:r>
      <w:proofErr w:type="gramStart"/>
      <w:r>
        <w:t xml:space="preserve">“, </w:t>
      </w:r>
      <w:r w:rsidRPr="004A3E97">
        <w:rPr>
          <w:i/>
        </w:rPr>
        <w:t xml:space="preserve"> </w:t>
      </w:r>
      <w:r>
        <w:t>ve</w:t>
      </w:r>
      <w:proofErr w:type="gramEnd"/>
      <w:r>
        <w:t xml:space="preserve"> sloupci organizace HZS nebo HZS ČR …. (případně dalším textem doplňujícím název organizace), uveď do sloupce „Mimo“ - </w:t>
      </w:r>
      <w:r w:rsidRPr="004A3E97">
        <w:rPr>
          <w:i/>
        </w:rPr>
        <w:t>„Generální ředitelství Hasičského záchranného sboru České republiky“</w:t>
      </w:r>
      <w:r>
        <w:t>.</w:t>
      </w:r>
    </w:p>
    <w:p w:rsidR="004A3E97" w:rsidRDefault="00112EB4" w:rsidP="004A3E97">
      <w:pPr>
        <w:pStyle w:val="Normlnweb"/>
        <w:numPr>
          <w:ilvl w:val="1"/>
          <w:numId w:val="9"/>
        </w:numPr>
        <w:spacing w:before="0" w:beforeAutospacing="0" w:after="0" w:afterAutospacing="0"/>
        <w:jc w:val="both"/>
      </w:pPr>
      <w:r>
        <w:t>V případě, že osoba má ve sloupci funkce funkci „vedoucí příslušník bezpečnostního sboru 1. řídící úrovně“ nebo „vedoucí příslušník bezpečnostního sboru 2. řídící úrovně“,</w:t>
      </w:r>
      <w:r w:rsidRPr="004A3E97">
        <w:rPr>
          <w:i/>
        </w:rPr>
        <w:t xml:space="preserve"> </w:t>
      </w:r>
      <w:r>
        <w:t>ve sloupci organizace organizaci „Celní správa ČR“, uveď do sloupce „Mimo“ -</w:t>
      </w:r>
      <w:r w:rsidRPr="004A3E97">
        <w:rPr>
          <w:i/>
        </w:rPr>
        <w:t xml:space="preserve"> „Celní správa ČR“</w:t>
      </w:r>
      <w:r>
        <w:t>.</w:t>
      </w:r>
    </w:p>
    <w:p w:rsidR="004A3E97" w:rsidRDefault="004A3E97" w:rsidP="004A3E97">
      <w:pPr>
        <w:pStyle w:val="Normlnweb"/>
        <w:numPr>
          <w:ilvl w:val="1"/>
          <w:numId w:val="9"/>
        </w:numPr>
        <w:spacing w:before="0" w:beforeAutospacing="0" w:after="0" w:afterAutospacing="0"/>
        <w:jc w:val="both"/>
      </w:pPr>
      <w:r>
        <w:t xml:space="preserve">V </w:t>
      </w:r>
      <w:r w:rsidR="00112EB4">
        <w:t>případě, že osoba má ve sloupci „funkce „vedoucí příslušník bezpečnostního sboru 1. řídící úrovně“ nebo „vedoucí příslušník bezpečnostního sboru 2. řídící úrovně</w:t>
      </w:r>
      <w:proofErr w:type="gramStart"/>
      <w:r w:rsidR="00112EB4">
        <w:t xml:space="preserve">“, </w:t>
      </w:r>
      <w:r w:rsidR="00112EB4" w:rsidRPr="004A3E97">
        <w:rPr>
          <w:i/>
        </w:rPr>
        <w:t xml:space="preserve"> </w:t>
      </w:r>
      <w:r w:rsidR="00112EB4">
        <w:t>ve</w:t>
      </w:r>
      <w:proofErr w:type="gramEnd"/>
      <w:r w:rsidR="00112EB4">
        <w:t xml:space="preserve"> sloupci „organizace organizaci „Generální inspekce bezpečnostních sborů“, uveď do sloupce „Mimo“ - </w:t>
      </w:r>
      <w:r w:rsidR="00112EB4" w:rsidRPr="004A3E97">
        <w:rPr>
          <w:i/>
        </w:rPr>
        <w:t>„Generální inspekce bezpečnostních sborů“</w:t>
      </w:r>
      <w:r w:rsidR="00112EB4">
        <w:t>.</w:t>
      </w:r>
    </w:p>
    <w:p w:rsidR="00112EB4" w:rsidRDefault="00112EB4" w:rsidP="004A3E97">
      <w:pPr>
        <w:pStyle w:val="Normlnweb"/>
        <w:numPr>
          <w:ilvl w:val="1"/>
          <w:numId w:val="9"/>
        </w:numPr>
        <w:spacing w:before="0" w:beforeAutospacing="0" w:after="0" w:afterAutospacing="0"/>
        <w:jc w:val="both"/>
      </w:pPr>
      <w:r>
        <w:t>V případě, že osoba má ve sloupci funkce „vedoucí příslušník bezpečnostního sboru 1. řídící úrovně“ nebo „vedoucí příslušník bezpečnostního sboru 2. řídící úrovně</w:t>
      </w:r>
      <w:proofErr w:type="gramStart"/>
      <w:r>
        <w:t xml:space="preserve">“, </w:t>
      </w:r>
      <w:r w:rsidRPr="004A3E97">
        <w:rPr>
          <w:i/>
        </w:rPr>
        <w:t xml:space="preserve"> </w:t>
      </w:r>
      <w:r>
        <w:t>ve</w:t>
      </w:r>
      <w:proofErr w:type="gramEnd"/>
      <w:r>
        <w:t> sloupci organizace Vězeňská služba (případně doplněná určením místa výkonu), uveď do sloupce „Mimo“ -</w:t>
      </w:r>
      <w:r w:rsidRPr="004A3E97">
        <w:rPr>
          <w:i/>
        </w:rPr>
        <w:t xml:space="preserve"> „Vězeňská služba ČR“</w:t>
      </w:r>
      <w:r>
        <w:t>.</w:t>
      </w:r>
    </w:p>
    <w:p w:rsidR="00112EB4" w:rsidRDefault="00112EB4" w:rsidP="004A3E97">
      <w:pPr>
        <w:pStyle w:val="Normlnweb"/>
        <w:numPr>
          <w:ilvl w:val="0"/>
          <w:numId w:val="9"/>
        </w:numPr>
        <w:spacing w:before="0" w:beforeAutospacing="0" w:after="0" w:afterAutospacing="0"/>
        <w:jc w:val="both"/>
      </w:pPr>
      <w:r>
        <w:t xml:space="preserve">U všech veřejných funkcionářů, kteří nesplnili řádně oznamovací povinnosti do 30. 6. 2020 (vůbec, dodatečně či za špatné období) a mají být předáni na „ORP“ (tj. nebyly z oznámení správním orgánům vyloučeni dle předchozích bodů) a ve sloupci „Mimo“ nemají uvedeno „Ministerstvo obrany České republiky“, „Policejní prezidium České republiky“, „Generální ředitelství Hasičského záchranného sboru České republiky“, „Celní správa ČR“, „Generální inspekce bezpečnostních sborů“ nebo „Vězeňská služba ČR“, ověř, zda nejsou členem zastupitelstva ORP, kam mají být předáni a zároveň, zda nejsou členy zastupitelstva příslušného krajského úřadu jakožto odvolacího orgánu daného ORP. </w:t>
      </w:r>
    </w:p>
    <w:p w:rsidR="00112EB4" w:rsidRDefault="00112EB4" w:rsidP="004A3E97">
      <w:pPr>
        <w:pStyle w:val="Normlnweb"/>
        <w:numPr>
          <w:ilvl w:val="0"/>
          <w:numId w:val="9"/>
        </w:numPr>
        <w:spacing w:before="0" w:beforeAutospacing="0" w:after="0" w:afterAutospacing="0"/>
        <w:jc w:val="both"/>
      </w:pPr>
      <w:r>
        <w:t xml:space="preserve">Pokud je osoba v době kontroly členem zastupitelstva ORP nebo Městské části Hlavního města Prahy </w:t>
      </w:r>
      <w:proofErr w:type="gramStart"/>
      <w:r>
        <w:t>1 – 22</w:t>
      </w:r>
      <w:proofErr w:type="gramEnd"/>
      <w:r>
        <w:t>, označ osobu oranžově a do sloupce „Mimo“ uveď název nadřazeného krajského úřadu. K oznámení možného přestupku využij dopis na krajský úřad.</w:t>
      </w:r>
    </w:p>
    <w:p w:rsidR="00112EB4" w:rsidRDefault="00112EB4" w:rsidP="004A3E97">
      <w:pPr>
        <w:pStyle w:val="Normlnweb"/>
        <w:numPr>
          <w:ilvl w:val="0"/>
          <w:numId w:val="9"/>
        </w:numPr>
        <w:spacing w:before="0" w:beforeAutospacing="0" w:after="0" w:afterAutospacing="0"/>
        <w:jc w:val="both"/>
      </w:pPr>
      <w:r>
        <w:t>Pokud je osoba v době postoupení v zastupitelstvu kraje (popř. hlavního města Prahy), označ osobu žlutou barvou a vyhledej nejbližší ORP ve vedlejším kraji, jehož sídlo je nejblíže trvalému pobytu osoby veřejného funkcionáře. K oznámení možného přestupku využij usnesení. Usnesení se zasílá kromě daného ORP na vědomí krajskému úřadu ve správním obvodu, kde se dané ORP nachází.</w:t>
      </w:r>
    </w:p>
    <w:p w:rsidR="00112EB4" w:rsidRDefault="00112EB4" w:rsidP="004A3E97">
      <w:pPr>
        <w:pStyle w:val="Normlnweb"/>
        <w:numPr>
          <w:ilvl w:val="0"/>
          <w:numId w:val="9"/>
        </w:numPr>
        <w:spacing w:before="0" w:beforeAutospacing="0" w:after="0" w:afterAutospacing="0"/>
        <w:jc w:val="both"/>
      </w:pPr>
      <w:r>
        <w:t>Do sloupce číslo spisu uveď číslo spisu a číslo písemnosti, pod kterou výsledný dopis odejde na správní orgán datovou zprávou.</w:t>
      </w:r>
    </w:p>
    <w:p w:rsidR="004A3E97" w:rsidRDefault="004A3E97" w:rsidP="004A3E97">
      <w:pPr>
        <w:pStyle w:val="Normlnweb"/>
        <w:spacing w:before="0" w:beforeAutospacing="0" w:after="0" w:afterAutospacing="0"/>
        <w:jc w:val="both"/>
      </w:pPr>
    </w:p>
    <w:p w:rsidR="004A3E97" w:rsidRDefault="004A3E97" w:rsidP="004A3E97">
      <w:pPr>
        <w:pStyle w:val="Nadpis2"/>
      </w:pPr>
      <w:r>
        <w:t>Specifikace seznamu veřejných funkcionářů</w:t>
      </w:r>
    </w:p>
    <w:p w:rsidR="004A3E97" w:rsidRDefault="004A3E97" w:rsidP="004A3E97">
      <w:pPr>
        <w:spacing w:after="0"/>
      </w:pPr>
      <w:r>
        <w:t>Pro účely zákona o střetu zájmů se veřejným funkcionářem konkrétně rozumí následující osoby:</w:t>
      </w:r>
    </w:p>
    <w:p w:rsidR="004A3E97" w:rsidRDefault="004A3E97" w:rsidP="004A3E97">
      <w:pPr>
        <w:rPr>
          <w:b/>
        </w:rPr>
      </w:pPr>
      <w:r>
        <w:rPr>
          <w:b/>
        </w:rPr>
        <w:tab/>
        <w:t>1/ § 2 odst. 1 zákona o střetu zájmů</w:t>
      </w:r>
    </w:p>
    <w:p w:rsidR="004A3E97" w:rsidRDefault="004A3E97" w:rsidP="004A3E97">
      <w:pPr>
        <w:pStyle w:val="l51"/>
        <w:numPr>
          <w:ilvl w:val="0"/>
          <w:numId w:val="14"/>
        </w:numPr>
        <w:spacing w:line="276" w:lineRule="auto"/>
        <w:rPr>
          <w:color w:val="000000"/>
        </w:rPr>
      </w:pPr>
      <w:r>
        <w:rPr>
          <w:color w:val="000000"/>
        </w:rPr>
        <w:lastRenderedPageBreak/>
        <w:t>poslanec Poslanecké sněmovny Parlamentu České republiky (dále jen "poslanec"),</w:t>
      </w:r>
    </w:p>
    <w:p w:rsidR="004A3E97" w:rsidRDefault="004A3E97" w:rsidP="004A3E97">
      <w:pPr>
        <w:pStyle w:val="l51"/>
        <w:numPr>
          <w:ilvl w:val="0"/>
          <w:numId w:val="14"/>
        </w:numPr>
        <w:spacing w:line="276" w:lineRule="auto"/>
        <w:rPr>
          <w:color w:val="000000"/>
        </w:rPr>
      </w:pPr>
      <w:r>
        <w:rPr>
          <w:color w:val="000000"/>
        </w:rPr>
        <w:t>senátor Senátu Parlamentu České republiky (dále jen "senátor"),</w:t>
      </w:r>
    </w:p>
    <w:p w:rsidR="004A3E97" w:rsidRDefault="004A3E97" w:rsidP="004A3E97">
      <w:pPr>
        <w:pStyle w:val="l51"/>
        <w:numPr>
          <w:ilvl w:val="0"/>
          <w:numId w:val="14"/>
        </w:numPr>
        <w:spacing w:line="276" w:lineRule="auto"/>
        <w:rPr>
          <w:color w:val="000000"/>
        </w:rPr>
      </w:pPr>
      <w:r>
        <w:rPr>
          <w:color w:val="000000"/>
        </w:rPr>
        <w:t>člen vlády nebo vedoucí jiného ústředního správního úřadu, v jehož čele není člen vlády,</w:t>
      </w:r>
    </w:p>
    <w:p w:rsidR="004A3E97" w:rsidRDefault="004A3E97" w:rsidP="004A3E97">
      <w:pPr>
        <w:pStyle w:val="l51"/>
        <w:numPr>
          <w:ilvl w:val="0"/>
          <w:numId w:val="14"/>
        </w:numPr>
        <w:spacing w:line="276" w:lineRule="auto"/>
        <w:rPr>
          <w:color w:val="000000"/>
        </w:rPr>
      </w:pPr>
      <w:r>
        <w:rPr>
          <w:color w:val="000000"/>
        </w:rPr>
        <w:t>náměstek člena vlády nebo náměstek ministra vnitra pro státní službu,</w:t>
      </w:r>
    </w:p>
    <w:p w:rsidR="004A3E97" w:rsidRDefault="004A3E97" w:rsidP="004A3E97">
      <w:pPr>
        <w:pStyle w:val="l51"/>
        <w:numPr>
          <w:ilvl w:val="0"/>
          <w:numId w:val="14"/>
        </w:numPr>
        <w:spacing w:line="276" w:lineRule="auto"/>
        <w:rPr>
          <w:color w:val="000000"/>
        </w:rPr>
      </w:pPr>
      <w:r>
        <w:rPr>
          <w:color w:val="000000"/>
        </w:rPr>
        <w:t>vedoucí Kanceláře Poslanecké sněmovny, vedoucí Kanceláře Senátu nebo vedoucí Kanceláře prezidenta republiky,</w:t>
      </w:r>
    </w:p>
    <w:p w:rsidR="004A3E97" w:rsidRDefault="004A3E97" w:rsidP="004A3E97">
      <w:pPr>
        <w:pStyle w:val="l51"/>
        <w:numPr>
          <w:ilvl w:val="0"/>
          <w:numId w:val="14"/>
        </w:numPr>
        <w:spacing w:line="276" w:lineRule="auto"/>
        <w:rPr>
          <w:color w:val="000000"/>
        </w:rPr>
      </w:pPr>
      <w:r>
        <w:rPr>
          <w:color w:val="000000"/>
        </w:rPr>
        <w:t>inspektor Úřadu pro ochranu osobních údajů,</w:t>
      </w:r>
    </w:p>
    <w:p w:rsidR="004A3E97" w:rsidRDefault="004A3E97" w:rsidP="004A3E97">
      <w:pPr>
        <w:pStyle w:val="l51"/>
        <w:numPr>
          <w:ilvl w:val="0"/>
          <w:numId w:val="14"/>
        </w:numPr>
        <w:spacing w:line="276" w:lineRule="auto"/>
        <w:rPr>
          <w:color w:val="000000"/>
        </w:rPr>
      </w:pPr>
      <w:r>
        <w:rPr>
          <w:color w:val="000000"/>
        </w:rPr>
        <w:t>předseda Úřadu pro technickou normalizaci, metrologii a státní zkušebnictví,</w:t>
      </w:r>
    </w:p>
    <w:p w:rsidR="004A3E97" w:rsidRDefault="004A3E97" w:rsidP="004A3E97">
      <w:pPr>
        <w:pStyle w:val="l51"/>
        <w:numPr>
          <w:ilvl w:val="0"/>
          <w:numId w:val="14"/>
        </w:numPr>
        <w:spacing w:line="276" w:lineRule="auto"/>
        <w:rPr>
          <w:color w:val="000000"/>
        </w:rPr>
      </w:pPr>
      <w:r>
        <w:rPr>
          <w:color w:val="000000"/>
        </w:rPr>
        <w:t>člen Rady Českého telekomunikačního úřadu,</w:t>
      </w:r>
    </w:p>
    <w:p w:rsidR="004A3E97" w:rsidRDefault="004A3E97" w:rsidP="004A3E97">
      <w:pPr>
        <w:pStyle w:val="l51"/>
        <w:numPr>
          <w:ilvl w:val="0"/>
          <w:numId w:val="14"/>
        </w:numPr>
        <w:spacing w:line="276" w:lineRule="auto"/>
        <w:rPr>
          <w:color w:val="000000"/>
        </w:rPr>
      </w:pPr>
      <w:r>
        <w:rPr>
          <w:color w:val="000000"/>
        </w:rPr>
        <w:t>člen Rady Energetického regulačního úřadu,</w:t>
      </w:r>
    </w:p>
    <w:p w:rsidR="004A3E97" w:rsidRDefault="004A3E97" w:rsidP="004A3E97">
      <w:pPr>
        <w:pStyle w:val="l51"/>
        <w:numPr>
          <w:ilvl w:val="0"/>
          <w:numId w:val="14"/>
        </w:numPr>
        <w:spacing w:line="276" w:lineRule="auto"/>
        <w:rPr>
          <w:color w:val="000000"/>
        </w:rPr>
      </w:pPr>
      <w:r>
        <w:rPr>
          <w:color w:val="000000"/>
        </w:rPr>
        <w:t>člen bankovní rady České národní banky,</w:t>
      </w:r>
    </w:p>
    <w:p w:rsidR="004A3E97" w:rsidRDefault="004A3E97" w:rsidP="004A3E97">
      <w:pPr>
        <w:pStyle w:val="l51"/>
        <w:numPr>
          <w:ilvl w:val="0"/>
          <w:numId w:val="14"/>
        </w:numPr>
        <w:spacing w:line="276" w:lineRule="auto"/>
        <w:rPr>
          <w:color w:val="000000"/>
        </w:rPr>
      </w:pPr>
      <w:r>
        <w:rPr>
          <w:color w:val="000000"/>
        </w:rPr>
        <w:t>prezident, viceprezident a člen Nejvyššího kontrolního úřadu,</w:t>
      </w:r>
    </w:p>
    <w:p w:rsidR="004A3E97" w:rsidRDefault="004A3E97" w:rsidP="004A3E97">
      <w:pPr>
        <w:pStyle w:val="l51"/>
        <w:numPr>
          <w:ilvl w:val="0"/>
          <w:numId w:val="14"/>
        </w:numPr>
        <w:spacing w:line="276" w:lineRule="auto"/>
        <w:rPr>
          <w:color w:val="000000"/>
        </w:rPr>
      </w:pPr>
      <w:r>
        <w:rPr>
          <w:color w:val="000000"/>
        </w:rPr>
        <w:t>předseda nebo člen Úřadu pro dohled nad hospodařením politických stran a politických hnutí,</w:t>
      </w:r>
    </w:p>
    <w:p w:rsidR="004A3E97" w:rsidRDefault="004A3E97" w:rsidP="004A3E97">
      <w:pPr>
        <w:pStyle w:val="l51"/>
        <w:numPr>
          <w:ilvl w:val="0"/>
          <w:numId w:val="14"/>
        </w:numPr>
        <w:spacing w:line="276" w:lineRule="auto"/>
        <w:rPr>
          <w:color w:val="000000"/>
        </w:rPr>
      </w:pPr>
      <w:r>
        <w:rPr>
          <w:color w:val="000000"/>
        </w:rPr>
        <w:t>veřejný ochránce práv a jeho zástupce,</w:t>
      </w:r>
    </w:p>
    <w:p w:rsidR="004A3E97" w:rsidRDefault="004A3E97" w:rsidP="004A3E97">
      <w:pPr>
        <w:pStyle w:val="l51"/>
        <w:numPr>
          <w:ilvl w:val="0"/>
          <w:numId w:val="14"/>
        </w:numPr>
        <w:spacing w:line="276" w:lineRule="auto"/>
        <w:rPr>
          <w:color w:val="000000"/>
        </w:rPr>
      </w:pPr>
      <w:r>
        <w:rPr>
          <w:color w:val="000000"/>
        </w:rPr>
        <w:t>člen Rady pro rozhlasové a televizní vysílání,</w:t>
      </w:r>
    </w:p>
    <w:p w:rsidR="004A3E97" w:rsidRDefault="004A3E97" w:rsidP="004A3E97">
      <w:pPr>
        <w:pStyle w:val="l51"/>
        <w:numPr>
          <w:ilvl w:val="0"/>
          <w:numId w:val="14"/>
        </w:numPr>
        <w:spacing w:line="276" w:lineRule="auto"/>
        <w:rPr>
          <w:color w:val="000000"/>
        </w:rPr>
      </w:pPr>
      <w:r>
        <w:rPr>
          <w:color w:val="000000"/>
        </w:rPr>
        <w:t>člen zastupitelstva kraje nebo člen Zastupitelstva hlavního města Prahy, který je pro výkon funkce dlouhodobě uvolněn nebo který před svým zvolením do funkce člena zastupitelstva nebyl v pracovním poměru, ale vykonává funkce ve stejném rozsahu jako člen zastupitelstva, který je pro výkon funkce dlouhodobě uvolněn,</w:t>
      </w:r>
    </w:p>
    <w:p w:rsidR="004A3E97" w:rsidRDefault="004A3E97" w:rsidP="004A3E97">
      <w:pPr>
        <w:pStyle w:val="l51"/>
        <w:numPr>
          <w:ilvl w:val="0"/>
          <w:numId w:val="14"/>
        </w:numPr>
        <w:spacing w:line="276" w:lineRule="auto"/>
        <w:rPr>
          <w:color w:val="000000"/>
        </w:rPr>
      </w:pPr>
      <w:r>
        <w:rPr>
          <w:color w:val="000000"/>
        </w:rPr>
        <w:t>člen zastupitelstva obce, městské části nebo městského obvodu územně členěného statutárního města nebo městské části hlavního města Prahy, který je pro výkon funkce dlouhodobě uvolněn nebo který před svým zvolením do funkce člena zastupitelstva nebyl v pracovním poměru, ale vykonává funkce ve stejném rozsahu jako člen zastupitelstva, který je pro výkon funkce dlouhodobě uvolněn, nebo</w:t>
      </w:r>
    </w:p>
    <w:p w:rsidR="004A3E97" w:rsidRDefault="004A3E97" w:rsidP="004A3E97">
      <w:pPr>
        <w:pStyle w:val="l51"/>
        <w:numPr>
          <w:ilvl w:val="0"/>
          <w:numId w:val="14"/>
        </w:numPr>
        <w:spacing w:after="0" w:line="276" w:lineRule="auto"/>
        <w:rPr>
          <w:color w:val="000000"/>
        </w:rPr>
      </w:pPr>
      <w:r>
        <w:rPr>
          <w:color w:val="000000"/>
        </w:rPr>
        <w:t>starosta obce, městské části nebo městského obvodu územně členěného statutárního města nebo městské části hlavního města Prahy, místostarosta obce, městské části nebo městského obvodu územně členěného statutárního města, zástupce starosty městské části hlavního města Prahy nebo členové rady obce, městské části nebo městského obvodu územně členěného statutárního města, městské části hlavního města Prahy, kraje nebo hlavního města Prahy, kteří nejsou pro výkon funkce dlouhodobě uvolněni.</w:t>
      </w:r>
    </w:p>
    <w:p w:rsidR="004A3E97" w:rsidRDefault="004A3E97" w:rsidP="004A3E97">
      <w:pPr>
        <w:keepNext/>
        <w:rPr>
          <w:b/>
        </w:rPr>
      </w:pPr>
      <w:r>
        <w:rPr>
          <w:b/>
        </w:rPr>
        <w:lastRenderedPageBreak/>
        <w:t>2/ § 2 odst. 2 zákona o střetu zájmů:</w:t>
      </w:r>
    </w:p>
    <w:p w:rsidR="004A3E97" w:rsidRDefault="004A3E97" w:rsidP="004A3E97">
      <w:pPr>
        <w:pStyle w:val="l51"/>
        <w:numPr>
          <w:ilvl w:val="0"/>
          <w:numId w:val="16"/>
        </w:numPr>
        <w:spacing w:after="0" w:line="276" w:lineRule="auto"/>
        <w:rPr>
          <w:color w:val="000000"/>
        </w:rPr>
      </w:pPr>
      <w:r>
        <w:rPr>
          <w:color w:val="000000"/>
        </w:rPr>
        <w:t>ředitel bezpečnostního sboru a vedoucí příslušník bezpečnostního sboru 1. a 2. řídicí úrovně podle zvláštního právního předpisu v bezpečnostním sboru, s výjimkou příslušníků zpravodajských služeb,</w:t>
      </w:r>
    </w:p>
    <w:p w:rsidR="004A3E97" w:rsidRDefault="004A3E97" w:rsidP="004A3E97">
      <w:pPr>
        <w:pStyle w:val="l51"/>
        <w:numPr>
          <w:ilvl w:val="0"/>
          <w:numId w:val="16"/>
        </w:numPr>
        <w:spacing w:after="0" w:line="276" w:lineRule="auto"/>
        <w:rPr>
          <w:color w:val="000000"/>
        </w:rPr>
      </w:pPr>
      <w:r w:rsidRPr="004A3E97">
        <w:rPr>
          <w:color w:val="000000"/>
        </w:rPr>
        <w:t>b)</w:t>
      </w:r>
      <w:r>
        <w:rPr>
          <w:color w:val="000000"/>
        </w:rPr>
        <w:t xml:space="preserve"> člen statutárního orgánu, člen řídicího, dozorčího nebo kontrolního orgánu právnické osoby zřízené zákonem, státní příspěvkové organizace, příspěvkové organizace územního samosprávného celku, s výjimkou členů správních rad veřejných vysokých škol a statutárního orgánu nebo členů statutárního orgánu, členů řídicího, dozorčího nebo kontrolního orgánu samosprávných stavovských organizací zřízených zákonem,</w:t>
      </w:r>
    </w:p>
    <w:p w:rsidR="004A3E97" w:rsidRDefault="004A3E97" w:rsidP="004A3E97">
      <w:pPr>
        <w:pStyle w:val="l51"/>
        <w:numPr>
          <w:ilvl w:val="0"/>
          <w:numId w:val="16"/>
        </w:numPr>
        <w:spacing w:after="0" w:line="276" w:lineRule="auto"/>
        <w:rPr>
          <w:color w:val="000000"/>
        </w:rPr>
      </w:pPr>
      <w:r w:rsidRPr="004A3E97">
        <w:rPr>
          <w:color w:val="000000"/>
        </w:rPr>
        <w:t>c)</w:t>
      </w:r>
      <w:r>
        <w:rPr>
          <w:color w:val="000000"/>
        </w:rPr>
        <w:t xml:space="preserve"> vedoucí zaměstnanec 2. až 4. stupně řízení podle zvláštního právního předpisu právnické osoby zřízené zákonem, státní příspěvkové organizace, příspěvkové organizace územního samosprávného celku, s výjimkou právnických osob vykonávajících činnost školy nebo školského zařízení,</w:t>
      </w:r>
    </w:p>
    <w:p w:rsidR="004A3E97" w:rsidRDefault="004A3E97" w:rsidP="004A3E97">
      <w:pPr>
        <w:pStyle w:val="l51"/>
        <w:numPr>
          <w:ilvl w:val="0"/>
          <w:numId w:val="16"/>
        </w:numPr>
        <w:spacing w:after="0" w:line="276" w:lineRule="auto"/>
        <w:rPr>
          <w:color w:val="000000"/>
        </w:rPr>
      </w:pPr>
      <w:r w:rsidRPr="004A3E97">
        <w:rPr>
          <w:color w:val="000000"/>
        </w:rPr>
        <w:t>d)</w:t>
      </w:r>
      <w:r>
        <w:rPr>
          <w:color w:val="000000"/>
        </w:rPr>
        <w:t xml:space="preserve"> vedoucí organizační složky státu, vedoucí zaměstnanec 2. až 4. stupně řízení podle zvláštního právního předpisu v organizační složce státu, s výjimkou zpravodajské služby, nebo představený podle zákona o státní službě, nejde-li o vedoucího oddělení nebo o příslušníka zpravodajské služby,</w:t>
      </w:r>
    </w:p>
    <w:p w:rsidR="004A3E97" w:rsidRDefault="004A3E97" w:rsidP="004A3E97">
      <w:pPr>
        <w:pStyle w:val="l51"/>
        <w:numPr>
          <w:ilvl w:val="0"/>
          <w:numId w:val="16"/>
        </w:numPr>
        <w:spacing w:after="0" w:line="276" w:lineRule="auto"/>
        <w:rPr>
          <w:color w:val="000000"/>
        </w:rPr>
      </w:pPr>
      <w:r w:rsidRPr="004A3E97">
        <w:rPr>
          <w:color w:val="000000"/>
        </w:rPr>
        <w:t>e)</w:t>
      </w:r>
      <w:r>
        <w:rPr>
          <w:color w:val="000000"/>
        </w:rPr>
        <w:t xml:space="preserve"> vedoucí úředník územního samosprávného celku podílející se na výkonu správních činností zařazený do obecního úřadu, do úřadu městského obvodu nebo úřadu městské části územně členěného statutárního města, do krajského úřadu, do Magistrátu hlavního města Prahy nebo úřadu městské části hlavního města Prahy,</w:t>
      </w:r>
    </w:p>
    <w:p w:rsidR="004A3E97" w:rsidRDefault="004A3E97" w:rsidP="004A3E97">
      <w:pPr>
        <w:pStyle w:val="l51"/>
        <w:numPr>
          <w:ilvl w:val="0"/>
          <w:numId w:val="16"/>
        </w:numPr>
        <w:spacing w:after="0" w:line="276" w:lineRule="auto"/>
        <w:rPr>
          <w:color w:val="000000"/>
        </w:rPr>
      </w:pPr>
      <w:r w:rsidRPr="004A3E97">
        <w:rPr>
          <w:color w:val="000000"/>
        </w:rPr>
        <w:t>f)</w:t>
      </w:r>
      <w:r>
        <w:rPr>
          <w:color w:val="000000"/>
        </w:rPr>
        <w:t xml:space="preserve"> soudce,</w:t>
      </w:r>
    </w:p>
    <w:p w:rsidR="004A3E97" w:rsidRDefault="004A3E97" w:rsidP="004A3E97">
      <w:pPr>
        <w:pStyle w:val="l51"/>
        <w:numPr>
          <w:ilvl w:val="0"/>
          <w:numId w:val="16"/>
        </w:numPr>
        <w:spacing w:after="0" w:line="276" w:lineRule="auto"/>
        <w:rPr>
          <w:color w:val="000000"/>
        </w:rPr>
      </w:pPr>
      <w:r w:rsidRPr="004A3E97">
        <w:rPr>
          <w:color w:val="000000"/>
        </w:rPr>
        <w:t>g)</w:t>
      </w:r>
      <w:r>
        <w:rPr>
          <w:color w:val="000000"/>
        </w:rPr>
        <w:t xml:space="preserve"> státní zástupce,</w:t>
      </w:r>
    </w:p>
    <w:p w:rsidR="004A3E97" w:rsidRDefault="004A3E97" w:rsidP="004A3E97">
      <w:pPr>
        <w:pStyle w:val="l51"/>
        <w:numPr>
          <w:ilvl w:val="0"/>
          <w:numId w:val="16"/>
        </w:numPr>
        <w:spacing w:after="0" w:line="276" w:lineRule="auto"/>
        <w:rPr>
          <w:color w:val="000000"/>
        </w:rPr>
      </w:pPr>
      <w:r w:rsidRPr="004A3E97">
        <w:rPr>
          <w:color w:val="000000"/>
        </w:rPr>
        <w:t>h)</w:t>
      </w:r>
      <w:r>
        <w:rPr>
          <w:color w:val="000000"/>
        </w:rPr>
        <w:t xml:space="preserve"> voják z povolání ve vojenské hodnosti podplukovník a vyšší vojenské hodnosti, s výjimkou příslušníků zpravodajských služeb, nebo</w:t>
      </w:r>
    </w:p>
    <w:p w:rsidR="004A3E97" w:rsidRDefault="004A3E97" w:rsidP="004A3E97">
      <w:pPr>
        <w:pStyle w:val="l51"/>
        <w:numPr>
          <w:ilvl w:val="0"/>
          <w:numId w:val="16"/>
        </w:numPr>
        <w:spacing w:after="0" w:line="276" w:lineRule="auto"/>
        <w:rPr>
          <w:color w:val="000000"/>
        </w:rPr>
      </w:pPr>
      <w:r w:rsidRPr="004A3E97">
        <w:rPr>
          <w:color w:val="000000"/>
        </w:rPr>
        <w:t>i)</w:t>
      </w:r>
      <w:r>
        <w:rPr>
          <w:color w:val="000000"/>
        </w:rPr>
        <w:t xml:space="preserve"> ředitel veřejné výzkumné instituce podle zákona o veřejných výzkumných institucích.</w:t>
      </w:r>
    </w:p>
    <w:p w:rsidR="004A3E97" w:rsidRDefault="004A3E97" w:rsidP="004A3E97"/>
    <w:p w:rsidR="004A3E97" w:rsidRDefault="004A3E97" w:rsidP="004A3E97">
      <w:pPr>
        <w:pStyle w:val="Nadpis1"/>
      </w:pPr>
      <w:r>
        <w:t>SPECIFIKACE TVORBY</w:t>
      </w:r>
      <w:r w:rsidRPr="004A3E97">
        <w:t xml:space="preserve"> DOPISŮ SPRÁVNÍM ORGÁNŮM</w:t>
      </w:r>
    </w:p>
    <w:p w:rsidR="004A3E97" w:rsidRDefault="004A3E97" w:rsidP="004A3E97"/>
    <w:p w:rsidR="004A3E97" w:rsidRDefault="004A3E97" w:rsidP="004A3E97">
      <w:pPr>
        <w:rPr>
          <w:u w:val="single"/>
        </w:rPr>
      </w:pPr>
      <w:r>
        <w:rPr>
          <w:u w:val="single"/>
        </w:rPr>
        <w:t>ORP</w:t>
      </w:r>
    </w:p>
    <w:p w:rsidR="004A3E97" w:rsidRDefault="004A3E97" w:rsidP="004A3E97">
      <w:pPr>
        <w:pStyle w:val="Odstavecseseznamem"/>
        <w:numPr>
          <w:ilvl w:val="0"/>
          <w:numId w:val="17"/>
        </w:numPr>
        <w:spacing w:line="240" w:lineRule="auto"/>
        <w:jc w:val="both"/>
        <w:rPr>
          <w:rFonts w:ascii="Times New Roman" w:hAnsi="Times New Roman"/>
          <w:sz w:val="24"/>
          <w:szCs w:val="24"/>
        </w:rPr>
      </w:pPr>
      <w:r>
        <w:rPr>
          <w:rFonts w:ascii="Times New Roman" w:hAnsi="Times New Roman"/>
          <w:sz w:val="24"/>
          <w:szCs w:val="24"/>
        </w:rPr>
        <w:t>Osoby, které jsou v tabulce bez barevného označení, vyjmi do samostatných tabulek ORP s názvem příslušného ORP</w:t>
      </w:r>
    </w:p>
    <w:p w:rsidR="004A3E97" w:rsidRDefault="004A3E97" w:rsidP="004A3E97">
      <w:pPr>
        <w:pStyle w:val="Odstavecseseznamem"/>
        <w:numPr>
          <w:ilvl w:val="0"/>
          <w:numId w:val="17"/>
        </w:numPr>
        <w:spacing w:line="240" w:lineRule="auto"/>
        <w:jc w:val="both"/>
        <w:rPr>
          <w:rFonts w:ascii="Times New Roman" w:hAnsi="Times New Roman"/>
          <w:sz w:val="24"/>
          <w:szCs w:val="24"/>
        </w:rPr>
      </w:pPr>
      <w:r>
        <w:rPr>
          <w:rFonts w:ascii="Times New Roman" w:hAnsi="Times New Roman"/>
          <w:sz w:val="24"/>
          <w:szCs w:val="24"/>
        </w:rPr>
        <w:t>Použij dopis na ORP</w:t>
      </w:r>
    </w:p>
    <w:p w:rsidR="004A3E97" w:rsidRDefault="004A3E97" w:rsidP="004A3E97">
      <w:pPr>
        <w:pStyle w:val="Odstavecseseznamem"/>
        <w:numPr>
          <w:ilvl w:val="0"/>
          <w:numId w:val="17"/>
        </w:numPr>
        <w:spacing w:line="240" w:lineRule="auto"/>
        <w:jc w:val="both"/>
        <w:rPr>
          <w:rFonts w:ascii="Times New Roman" w:hAnsi="Times New Roman"/>
          <w:sz w:val="24"/>
          <w:szCs w:val="24"/>
        </w:rPr>
      </w:pPr>
      <w:r>
        <w:rPr>
          <w:rFonts w:ascii="Times New Roman" w:hAnsi="Times New Roman"/>
          <w:sz w:val="24"/>
          <w:szCs w:val="24"/>
        </w:rPr>
        <w:t>Zadej adresu ORP, ID datové schránky, počet příloh 1, číslo jednací, údaje o osobě, která vyřizuje písemnost včetně telefonní čísla a e-mailu</w:t>
      </w:r>
    </w:p>
    <w:p w:rsidR="004A3E97" w:rsidRDefault="004A3E97" w:rsidP="004A3E97">
      <w:pPr>
        <w:pStyle w:val="Odstavecseseznamem"/>
        <w:numPr>
          <w:ilvl w:val="0"/>
          <w:numId w:val="17"/>
        </w:numPr>
        <w:spacing w:line="240" w:lineRule="auto"/>
        <w:jc w:val="both"/>
        <w:rPr>
          <w:rFonts w:ascii="Times New Roman" w:hAnsi="Times New Roman"/>
          <w:sz w:val="24"/>
          <w:szCs w:val="24"/>
        </w:rPr>
      </w:pPr>
      <w:r>
        <w:rPr>
          <w:rFonts w:ascii="Times New Roman" w:hAnsi="Times New Roman"/>
          <w:sz w:val="24"/>
          <w:szCs w:val="24"/>
        </w:rPr>
        <w:lastRenderedPageBreak/>
        <w:t>Přiřaď přílohu v excelu příslušného ORP s názvem „Oznámení přestupků dle § 23 odst. 1 písm. f) zákona o střetu zájmů“</w:t>
      </w:r>
    </w:p>
    <w:p w:rsidR="004A3E97" w:rsidRDefault="004A3E97" w:rsidP="004A3E97">
      <w:pPr>
        <w:rPr>
          <w:u w:val="single"/>
        </w:rPr>
      </w:pPr>
      <w:r>
        <w:rPr>
          <w:u w:val="single"/>
        </w:rPr>
        <w:t>Krajské úřady</w:t>
      </w:r>
    </w:p>
    <w:p w:rsidR="004A3E97" w:rsidRDefault="004A3E97" w:rsidP="004A3E97">
      <w:pPr>
        <w:pStyle w:val="Odstavecseseznamem"/>
        <w:numPr>
          <w:ilvl w:val="0"/>
          <w:numId w:val="18"/>
        </w:numPr>
        <w:spacing w:line="240" w:lineRule="auto"/>
        <w:jc w:val="both"/>
        <w:rPr>
          <w:rFonts w:ascii="Times New Roman" w:hAnsi="Times New Roman"/>
          <w:sz w:val="24"/>
          <w:szCs w:val="24"/>
        </w:rPr>
      </w:pPr>
      <w:r>
        <w:rPr>
          <w:rFonts w:ascii="Times New Roman" w:hAnsi="Times New Roman"/>
          <w:sz w:val="24"/>
          <w:szCs w:val="24"/>
        </w:rPr>
        <w:t>U osob, které jsou v tabulce označeny oranžovou barvou, použij dopis na krajský úřad</w:t>
      </w:r>
    </w:p>
    <w:p w:rsidR="004A3E97" w:rsidRDefault="004A3E97" w:rsidP="004A3E97">
      <w:pPr>
        <w:pStyle w:val="Odstavecseseznamem"/>
        <w:numPr>
          <w:ilvl w:val="0"/>
          <w:numId w:val="18"/>
        </w:numPr>
        <w:spacing w:line="240" w:lineRule="auto"/>
        <w:jc w:val="both"/>
        <w:rPr>
          <w:rFonts w:ascii="Times New Roman" w:hAnsi="Times New Roman"/>
          <w:sz w:val="24"/>
          <w:szCs w:val="24"/>
        </w:rPr>
      </w:pPr>
      <w:r>
        <w:rPr>
          <w:rFonts w:ascii="Times New Roman" w:hAnsi="Times New Roman"/>
          <w:sz w:val="24"/>
          <w:szCs w:val="24"/>
        </w:rPr>
        <w:t>Zadej adresu krajského úřadu, ID datové schránky, počet příloh 0, číslo jednací, údaje o osobě, která vyřizuje písemnost včetně telefonní čísla a e-mailu</w:t>
      </w:r>
    </w:p>
    <w:p w:rsidR="004A3E97" w:rsidRDefault="004A3E97" w:rsidP="004A3E97">
      <w:pPr>
        <w:rPr>
          <w:u w:val="single"/>
        </w:rPr>
      </w:pPr>
      <w:r>
        <w:rPr>
          <w:u w:val="single"/>
        </w:rPr>
        <w:t>Policejní prezidium České republiky</w:t>
      </w:r>
    </w:p>
    <w:p w:rsidR="004A3E97" w:rsidRDefault="004A3E97" w:rsidP="004A3E97">
      <w:pPr>
        <w:pStyle w:val="Odstavecseseznamem"/>
        <w:numPr>
          <w:ilvl w:val="0"/>
          <w:numId w:val="19"/>
        </w:numPr>
        <w:spacing w:line="240" w:lineRule="auto"/>
        <w:jc w:val="both"/>
        <w:rPr>
          <w:rFonts w:ascii="Times New Roman" w:hAnsi="Times New Roman"/>
          <w:sz w:val="24"/>
          <w:szCs w:val="24"/>
          <w:u w:val="single"/>
        </w:rPr>
      </w:pPr>
      <w:r>
        <w:rPr>
          <w:rFonts w:ascii="Times New Roman" w:hAnsi="Times New Roman"/>
          <w:sz w:val="24"/>
          <w:szCs w:val="24"/>
        </w:rPr>
        <w:t>Osoby, které jsou v tabulce označeny žlutou barvou a ve sloupci „Mimo“ mají uvedeno „Policejní prezidium České republiky“, vyjmi do samostatné tabulky s názvem Policejní prezidium České republiky</w:t>
      </w:r>
    </w:p>
    <w:p w:rsidR="004A3E97" w:rsidRDefault="004A3E97" w:rsidP="004A3E97">
      <w:pPr>
        <w:pStyle w:val="Odstavecseseznamem"/>
        <w:numPr>
          <w:ilvl w:val="0"/>
          <w:numId w:val="20"/>
        </w:numPr>
        <w:spacing w:line="240" w:lineRule="auto"/>
        <w:jc w:val="both"/>
        <w:rPr>
          <w:rFonts w:ascii="Times New Roman" w:hAnsi="Times New Roman"/>
          <w:sz w:val="24"/>
          <w:szCs w:val="24"/>
        </w:rPr>
      </w:pPr>
      <w:r>
        <w:rPr>
          <w:rFonts w:ascii="Times New Roman" w:hAnsi="Times New Roman"/>
          <w:sz w:val="24"/>
          <w:szCs w:val="24"/>
        </w:rPr>
        <w:t>Použij dopis na Policejní prezidium</w:t>
      </w:r>
    </w:p>
    <w:p w:rsidR="004A3E97" w:rsidRDefault="004A3E97" w:rsidP="004A3E97">
      <w:pPr>
        <w:pStyle w:val="Odstavecseseznamem"/>
        <w:numPr>
          <w:ilvl w:val="0"/>
          <w:numId w:val="20"/>
        </w:numPr>
        <w:spacing w:line="240" w:lineRule="auto"/>
        <w:jc w:val="both"/>
        <w:rPr>
          <w:rFonts w:ascii="Times New Roman" w:hAnsi="Times New Roman"/>
          <w:sz w:val="24"/>
          <w:szCs w:val="24"/>
        </w:rPr>
      </w:pPr>
      <w:r>
        <w:rPr>
          <w:rFonts w:ascii="Times New Roman" w:hAnsi="Times New Roman"/>
          <w:sz w:val="24"/>
          <w:szCs w:val="24"/>
        </w:rPr>
        <w:t>Zadej adresu Policejního prezidia České republiky, ID datové schránky, počet příloh 1, číslo jednací, údaje o osobě, která vyřizuje písemnost včetně telefonní čísla a e-mailu</w:t>
      </w:r>
    </w:p>
    <w:p w:rsidR="004A3E97" w:rsidRDefault="004A3E97" w:rsidP="004A3E97">
      <w:pPr>
        <w:pStyle w:val="Odstavecseseznamem"/>
        <w:numPr>
          <w:ilvl w:val="0"/>
          <w:numId w:val="20"/>
        </w:numPr>
        <w:spacing w:line="240" w:lineRule="auto"/>
        <w:jc w:val="both"/>
        <w:rPr>
          <w:rFonts w:ascii="Times New Roman" w:hAnsi="Times New Roman"/>
          <w:sz w:val="24"/>
          <w:szCs w:val="24"/>
        </w:rPr>
      </w:pPr>
      <w:r>
        <w:rPr>
          <w:rFonts w:ascii="Times New Roman" w:hAnsi="Times New Roman"/>
          <w:sz w:val="24"/>
          <w:szCs w:val="24"/>
        </w:rPr>
        <w:t>K dopisu přiřaď přílohu k Policejnímu prezidiu České republiky s názvem „Oznámení jednání, které má znaky přestupku dle § 23 odst. 1 písm. f) zákona o střetu zájmů“</w:t>
      </w:r>
    </w:p>
    <w:p w:rsidR="004A3E97" w:rsidRDefault="004A3E97" w:rsidP="004A3E97">
      <w:pPr>
        <w:rPr>
          <w:u w:val="single"/>
        </w:rPr>
      </w:pPr>
      <w:r>
        <w:rPr>
          <w:u w:val="single"/>
        </w:rPr>
        <w:t>Generální ředitelství Hasičského záchranného sboru České republiky</w:t>
      </w:r>
    </w:p>
    <w:p w:rsidR="004A3E97" w:rsidRDefault="004A3E97" w:rsidP="004A3E97">
      <w:pPr>
        <w:pStyle w:val="Odstavecseseznamem"/>
        <w:numPr>
          <w:ilvl w:val="0"/>
          <w:numId w:val="19"/>
        </w:numPr>
        <w:spacing w:line="240" w:lineRule="auto"/>
        <w:jc w:val="both"/>
        <w:rPr>
          <w:rFonts w:ascii="Times New Roman" w:hAnsi="Times New Roman"/>
          <w:sz w:val="24"/>
          <w:szCs w:val="24"/>
          <w:u w:val="single"/>
        </w:rPr>
      </w:pPr>
      <w:r>
        <w:rPr>
          <w:rFonts w:ascii="Times New Roman" w:hAnsi="Times New Roman"/>
          <w:sz w:val="24"/>
          <w:szCs w:val="24"/>
        </w:rPr>
        <w:t>Osoby, které jsou v tabulce označeny žlutou barvou a ve sloupci „Mimo“ mají uvedeno „Generální ředitelství Hasičského záchranného sboru České republiky“, vyjmi do samostatné tabulky s názvem Generální ředitelství Hasičského záchranného sboru České republiky</w:t>
      </w:r>
    </w:p>
    <w:p w:rsidR="004A3E97" w:rsidRDefault="004A3E97" w:rsidP="004A3E97">
      <w:pPr>
        <w:pStyle w:val="Odstavecseseznamem"/>
        <w:numPr>
          <w:ilvl w:val="0"/>
          <w:numId w:val="20"/>
        </w:numPr>
        <w:spacing w:line="240" w:lineRule="auto"/>
        <w:jc w:val="both"/>
        <w:rPr>
          <w:rFonts w:ascii="Times New Roman" w:hAnsi="Times New Roman"/>
          <w:sz w:val="24"/>
          <w:szCs w:val="24"/>
        </w:rPr>
      </w:pPr>
      <w:r>
        <w:rPr>
          <w:rFonts w:ascii="Times New Roman" w:hAnsi="Times New Roman"/>
          <w:sz w:val="24"/>
          <w:szCs w:val="24"/>
        </w:rPr>
        <w:t>Použij dopis na Generální ředitelství Hasičského záchranného sboru České republiky</w:t>
      </w:r>
    </w:p>
    <w:p w:rsidR="004A3E97" w:rsidRDefault="004A3E97" w:rsidP="004A3E97">
      <w:pPr>
        <w:pStyle w:val="Odstavecseseznamem"/>
        <w:numPr>
          <w:ilvl w:val="0"/>
          <w:numId w:val="20"/>
        </w:numPr>
        <w:spacing w:line="240" w:lineRule="auto"/>
        <w:jc w:val="both"/>
        <w:rPr>
          <w:rFonts w:ascii="Times New Roman" w:hAnsi="Times New Roman"/>
          <w:sz w:val="24"/>
          <w:szCs w:val="24"/>
        </w:rPr>
      </w:pPr>
      <w:r>
        <w:rPr>
          <w:rFonts w:ascii="Times New Roman" w:hAnsi="Times New Roman"/>
          <w:sz w:val="24"/>
          <w:szCs w:val="24"/>
        </w:rPr>
        <w:t>Zadej adresu Generálního ředitelství Hasičského záchranného sboru České republiky, ID datové schránky, počet příloh 1, číslo jednací, údaje o osobě, která vyřizuje písemnost včetně telefonní čísla a e-mailu</w:t>
      </w:r>
    </w:p>
    <w:p w:rsidR="004A3E97" w:rsidRDefault="004A3E97" w:rsidP="004A3E97">
      <w:pPr>
        <w:pStyle w:val="Odstavecseseznamem"/>
        <w:numPr>
          <w:ilvl w:val="0"/>
          <w:numId w:val="20"/>
        </w:numPr>
        <w:spacing w:line="240" w:lineRule="auto"/>
        <w:jc w:val="both"/>
        <w:rPr>
          <w:rFonts w:ascii="Times New Roman" w:hAnsi="Times New Roman"/>
          <w:sz w:val="24"/>
          <w:szCs w:val="24"/>
        </w:rPr>
      </w:pPr>
      <w:r>
        <w:rPr>
          <w:rFonts w:ascii="Times New Roman" w:hAnsi="Times New Roman"/>
          <w:sz w:val="24"/>
          <w:szCs w:val="24"/>
        </w:rPr>
        <w:t>K dopisu přiřaď přílohu ke Generálnímu ředitelství Hasičského záchranného sboru České republiky s názvem „Oznámení jednání, které má znaky přestupku dle § 23 odst. 1 písm. f) zákona o střetu zájmů“</w:t>
      </w:r>
    </w:p>
    <w:p w:rsidR="004A3E97" w:rsidRDefault="004A3E97" w:rsidP="004A3E97">
      <w:pPr>
        <w:rPr>
          <w:u w:val="single"/>
        </w:rPr>
      </w:pPr>
      <w:r>
        <w:rPr>
          <w:u w:val="single"/>
        </w:rPr>
        <w:t>Celní správa ČR</w:t>
      </w:r>
    </w:p>
    <w:p w:rsidR="004A3E97" w:rsidRDefault="004A3E97" w:rsidP="004A3E97">
      <w:pPr>
        <w:pStyle w:val="Odstavecseseznamem"/>
        <w:numPr>
          <w:ilvl w:val="0"/>
          <w:numId w:val="19"/>
        </w:numPr>
        <w:spacing w:line="240" w:lineRule="auto"/>
        <w:jc w:val="both"/>
        <w:rPr>
          <w:rFonts w:ascii="Times New Roman" w:hAnsi="Times New Roman"/>
          <w:sz w:val="24"/>
          <w:szCs w:val="24"/>
          <w:u w:val="single"/>
        </w:rPr>
      </w:pPr>
      <w:r>
        <w:rPr>
          <w:rFonts w:ascii="Times New Roman" w:hAnsi="Times New Roman"/>
          <w:sz w:val="24"/>
          <w:szCs w:val="24"/>
        </w:rPr>
        <w:t>Osoby, které jsou v tabulce označeny žlutou barvou a ve sloupci „Mimo“ mají uvedeno „Celní správa ČR“, vyjmi do samostatné tabulky s názvem Celní správa ČR</w:t>
      </w:r>
    </w:p>
    <w:p w:rsidR="004A3E97" w:rsidRDefault="004A3E97" w:rsidP="004A3E97">
      <w:pPr>
        <w:pStyle w:val="Odstavecseseznamem"/>
        <w:numPr>
          <w:ilvl w:val="0"/>
          <w:numId w:val="20"/>
        </w:numPr>
        <w:spacing w:line="240" w:lineRule="auto"/>
        <w:jc w:val="both"/>
        <w:rPr>
          <w:rFonts w:ascii="Times New Roman" w:hAnsi="Times New Roman"/>
          <w:sz w:val="24"/>
          <w:szCs w:val="24"/>
        </w:rPr>
      </w:pPr>
      <w:r>
        <w:rPr>
          <w:rFonts w:ascii="Times New Roman" w:hAnsi="Times New Roman"/>
          <w:sz w:val="24"/>
          <w:szCs w:val="24"/>
        </w:rPr>
        <w:t>Použij dopis na Celní správu ČR</w:t>
      </w:r>
    </w:p>
    <w:p w:rsidR="004A3E97" w:rsidRDefault="004A3E97" w:rsidP="004A3E97">
      <w:pPr>
        <w:pStyle w:val="Odstavecseseznamem"/>
        <w:numPr>
          <w:ilvl w:val="0"/>
          <w:numId w:val="20"/>
        </w:numPr>
        <w:spacing w:line="240" w:lineRule="auto"/>
        <w:jc w:val="both"/>
        <w:rPr>
          <w:rFonts w:ascii="Times New Roman" w:hAnsi="Times New Roman"/>
          <w:sz w:val="24"/>
          <w:szCs w:val="24"/>
        </w:rPr>
      </w:pPr>
      <w:r>
        <w:rPr>
          <w:rFonts w:ascii="Times New Roman" w:hAnsi="Times New Roman"/>
          <w:sz w:val="24"/>
          <w:szCs w:val="24"/>
        </w:rPr>
        <w:t>Zadej adresu Celní správy ČR, ID datové schránky, počet příloh 1, číslo jednací, údaje o osobě, která vyřizuje písemnost včetně telefonní čísla a e-mailu</w:t>
      </w:r>
    </w:p>
    <w:p w:rsidR="004A3E97" w:rsidRDefault="004A3E97" w:rsidP="004A3E97">
      <w:pPr>
        <w:pStyle w:val="Odstavecseseznamem"/>
        <w:numPr>
          <w:ilvl w:val="0"/>
          <w:numId w:val="20"/>
        </w:numPr>
        <w:tabs>
          <w:tab w:val="left" w:pos="7230"/>
        </w:tabs>
        <w:spacing w:line="240" w:lineRule="auto"/>
        <w:jc w:val="both"/>
        <w:rPr>
          <w:rFonts w:ascii="Times New Roman" w:hAnsi="Times New Roman"/>
          <w:sz w:val="24"/>
          <w:szCs w:val="24"/>
        </w:rPr>
      </w:pPr>
      <w:r>
        <w:rPr>
          <w:rFonts w:ascii="Times New Roman" w:hAnsi="Times New Roman"/>
          <w:sz w:val="24"/>
          <w:szCs w:val="24"/>
        </w:rPr>
        <w:t>K dopisu přiřaď přílohu k Celní správě ČR s názvem „Oznámení jednání, které má znaky přestupku dle § 23 odst. 1 písm. f) zákona o střetu zájmů“</w:t>
      </w:r>
    </w:p>
    <w:p w:rsidR="004A3E97" w:rsidRDefault="004A3E97" w:rsidP="004A3E97">
      <w:pPr>
        <w:rPr>
          <w:u w:val="single"/>
        </w:rPr>
      </w:pPr>
      <w:r>
        <w:rPr>
          <w:u w:val="single"/>
        </w:rPr>
        <w:t>Generální inspekce bezpečnostních sborů</w:t>
      </w:r>
    </w:p>
    <w:p w:rsidR="004A3E97" w:rsidRDefault="004A3E97" w:rsidP="004A3E97">
      <w:pPr>
        <w:pStyle w:val="Odstavecseseznamem"/>
        <w:numPr>
          <w:ilvl w:val="0"/>
          <w:numId w:val="19"/>
        </w:numPr>
        <w:spacing w:line="240" w:lineRule="auto"/>
        <w:jc w:val="both"/>
        <w:rPr>
          <w:rFonts w:ascii="Times New Roman" w:hAnsi="Times New Roman"/>
          <w:sz w:val="24"/>
          <w:szCs w:val="24"/>
          <w:u w:val="single"/>
        </w:rPr>
      </w:pPr>
      <w:r>
        <w:rPr>
          <w:rFonts w:ascii="Times New Roman" w:hAnsi="Times New Roman"/>
          <w:sz w:val="24"/>
          <w:szCs w:val="24"/>
        </w:rPr>
        <w:t>Osoby, které jsou v tabulce označeny žlutou barvou a ve sloupci „Mimo“ mají uvedeno „Generální inspekce bezpečnostních sborů“, vyjmi do samostatné tabulky s názvem Generální inspekce bezpečnostních sborů</w:t>
      </w:r>
    </w:p>
    <w:p w:rsidR="004A3E97" w:rsidRDefault="004A3E97" w:rsidP="004A3E97">
      <w:pPr>
        <w:pStyle w:val="Odstavecseseznamem"/>
        <w:numPr>
          <w:ilvl w:val="0"/>
          <w:numId w:val="20"/>
        </w:numPr>
        <w:spacing w:line="240" w:lineRule="auto"/>
        <w:jc w:val="both"/>
        <w:rPr>
          <w:rFonts w:ascii="Times New Roman" w:hAnsi="Times New Roman"/>
          <w:sz w:val="24"/>
          <w:szCs w:val="24"/>
        </w:rPr>
      </w:pPr>
      <w:r>
        <w:rPr>
          <w:rFonts w:ascii="Times New Roman" w:hAnsi="Times New Roman"/>
          <w:sz w:val="24"/>
          <w:szCs w:val="24"/>
        </w:rPr>
        <w:t>Použij dopis na Generální inspekci bezpečnostních sborů</w:t>
      </w:r>
    </w:p>
    <w:p w:rsidR="004A3E97" w:rsidRDefault="004A3E97" w:rsidP="004A3E97">
      <w:pPr>
        <w:pStyle w:val="Odstavecseseznamem"/>
        <w:numPr>
          <w:ilvl w:val="0"/>
          <w:numId w:val="20"/>
        </w:numPr>
        <w:spacing w:line="240" w:lineRule="auto"/>
        <w:jc w:val="both"/>
        <w:rPr>
          <w:rFonts w:ascii="Times New Roman" w:hAnsi="Times New Roman"/>
          <w:sz w:val="24"/>
          <w:szCs w:val="24"/>
        </w:rPr>
      </w:pPr>
      <w:r>
        <w:rPr>
          <w:rFonts w:ascii="Times New Roman" w:hAnsi="Times New Roman"/>
          <w:sz w:val="24"/>
          <w:szCs w:val="24"/>
        </w:rPr>
        <w:t>Zadej adresu Generální inspekce bezpečnostních sborů, ID datové schránky, počet příloh 1, číslo jednací, údaje o osobě, která vyřizuje písemnost včetně telefonní čísla a e-mailu</w:t>
      </w:r>
    </w:p>
    <w:p w:rsidR="004A3E97" w:rsidRDefault="004A3E97" w:rsidP="004A3E97">
      <w:pPr>
        <w:pStyle w:val="Odstavecseseznamem"/>
        <w:numPr>
          <w:ilvl w:val="0"/>
          <w:numId w:val="20"/>
        </w:numPr>
        <w:spacing w:line="240" w:lineRule="auto"/>
        <w:jc w:val="both"/>
        <w:rPr>
          <w:rFonts w:ascii="Times New Roman" w:hAnsi="Times New Roman"/>
          <w:sz w:val="24"/>
          <w:szCs w:val="24"/>
        </w:rPr>
      </w:pPr>
      <w:r>
        <w:rPr>
          <w:rFonts w:ascii="Times New Roman" w:hAnsi="Times New Roman"/>
          <w:sz w:val="24"/>
          <w:szCs w:val="24"/>
        </w:rPr>
        <w:lastRenderedPageBreak/>
        <w:t>K dopisu přiřaď přílohu ke Generální inspekci bezpečnostních sborů s názvem „Oznámení jednání, které má znaky přestupku dle § 23 odst. 1 písm. f) zákona o střetu zájmů“</w:t>
      </w:r>
    </w:p>
    <w:p w:rsidR="004A3E97" w:rsidRDefault="004A3E97" w:rsidP="004A3E97">
      <w:pPr>
        <w:rPr>
          <w:u w:val="single"/>
        </w:rPr>
      </w:pPr>
      <w:r>
        <w:rPr>
          <w:u w:val="single"/>
        </w:rPr>
        <w:t>Vězeňská služba ČR</w:t>
      </w:r>
    </w:p>
    <w:p w:rsidR="004A3E97" w:rsidRDefault="004A3E97" w:rsidP="004A3E97">
      <w:pPr>
        <w:pStyle w:val="Odstavecseseznamem"/>
        <w:numPr>
          <w:ilvl w:val="0"/>
          <w:numId w:val="19"/>
        </w:numPr>
        <w:spacing w:line="240" w:lineRule="auto"/>
        <w:jc w:val="both"/>
        <w:rPr>
          <w:rFonts w:ascii="Times New Roman" w:hAnsi="Times New Roman"/>
          <w:sz w:val="24"/>
          <w:szCs w:val="24"/>
          <w:u w:val="single"/>
        </w:rPr>
      </w:pPr>
      <w:r>
        <w:rPr>
          <w:rFonts w:ascii="Times New Roman" w:hAnsi="Times New Roman"/>
          <w:sz w:val="24"/>
          <w:szCs w:val="24"/>
        </w:rPr>
        <w:t>Osoby, které jsou v tabulce označeny žlutou barvou a ve sloupci „Mimo“ mají uvedeno „Vězeňská služba ČR“, vyjmi do samostatné tabulky s názvem Generální ředitelství Vězeňské služby České republiky</w:t>
      </w:r>
    </w:p>
    <w:p w:rsidR="004A3E97" w:rsidRDefault="004A3E97" w:rsidP="004A3E97">
      <w:pPr>
        <w:pStyle w:val="Odstavecseseznamem"/>
        <w:numPr>
          <w:ilvl w:val="0"/>
          <w:numId w:val="20"/>
        </w:numPr>
        <w:spacing w:line="240" w:lineRule="auto"/>
        <w:jc w:val="both"/>
        <w:rPr>
          <w:rFonts w:ascii="Times New Roman" w:hAnsi="Times New Roman"/>
          <w:sz w:val="24"/>
          <w:szCs w:val="24"/>
        </w:rPr>
      </w:pPr>
      <w:r>
        <w:rPr>
          <w:rFonts w:ascii="Times New Roman" w:hAnsi="Times New Roman"/>
          <w:sz w:val="24"/>
          <w:szCs w:val="24"/>
        </w:rPr>
        <w:t>Použij dopis na Generální ředitelství Vězeňské služby České republiky</w:t>
      </w:r>
    </w:p>
    <w:p w:rsidR="004A3E97" w:rsidRDefault="004A3E97" w:rsidP="004A3E97">
      <w:pPr>
        <w:pStyle w:val="Odstavecseseznamem"/>
        <w:numPr>
          <w:ilvl w:val="0"/>
          <w:numId w:val="20"/>
        </w:numPr>
        <w:spacing w:line="240" w:lineRule="auto"/>
        <w:jc w:val="both"/>
        <w:rPr>
          <w:rFonts w:ascii="Times New Roman" w:hAnsi="Times New Roman"/>
          <w:sz w:val="24"/>
          <w:szCs w:val="24"/>
        </w:rPr>
      </w:pPr>
      <w:r>
        <w:rPr>
          <w:rFonts w:ascii="Times New Roman" w:hAnsi="Times New Roman"/>
          <w:sz w:val="24"/>
          <w:szCs w:val="24"/>
        </w:rPr>
        <w:t>Zadej adresu Generálního ředitelství Vězeňské služby České republiky, ID datové schránky, počet příloh 1, číslo jednací, údaje o osobě, která vyřizuje písemnost včetně telefonní čísla a e-mailu</w:t>
      </w:r>
    </w:p>
    <w:p w:rsidR="004A3E97" w:rsidRDefault="004A3E97" w:rsidP="004A3E97">
      <w:pPr>
        <w:pStyle w:val="Odstavecseseznamem"/>
        <w:numPr>
          <w:ilvl w:val="0"/>
          <w:numId w:val="20"/>
        </w:numPr>
        <w:spacing w:line="240" w:lineRule="auto"/>
        <w:jc w:val="both"/>
        <w:rPr>
          <w:rFonts w:ascii="Times New Roman" w:hAnsi="Times New Roman"/>
          <w:sz w:val="24"/>
          <w:szCs w:val="24"/>
        </w:rPr>
      </w:pPr>
      <w:r>
        <w:rPr>
          <w:rFonts w:ascii="Times New Roman" w:hAnsi="Times New Roman"/>
          <w:sz w:val="24"/>
          <w:szCs w:val="24"/>
        </w:rPr>
        <w:t>K dopisu přiřaď přílohu ke Generálnímu ředitelství Vězeňské služby České republiky s názvem „Oznámení jednání, které má znaky přestupku dle § 23 odst. 1 písm. f) zákona o střetu zájmů“</w:t>
      </w:r>
    </w:p>
    <w:p w:rsidR="004A3E97" w:rsidRDefault="004A3E97" w:rsidP="004A3E97">
      <w:pPr>
        <w:rPr>
          <w:u w:val="single"/>
        </w:rPr>
      </w:pPr>
      <w:r>
        <w:rPr>
          <w:u w:val="single"/>
        </w:rPr>
        <w:t>Ministerstvo obrany České republiky</w:t>
      </w:r>
    </w:p>
    <w:p w:rsidR="004A3E97" w:rsidRDefault="004A3E97" w:rsidP="004A3E97">
      <w:pPr>
        <w:pStyle w:val="Odstavecseseznamem"/>
        <w:numPr>
          <w:ilvl w:val="0"/>
          <w:numId w:val="19"/>
        </w:numPr>
        <w:spacing w:line="240" w:lineRule="auto"/>
        <w:jc w:val="both"/>
        <w:rPr>
          <w:rFonts w:ascii="Times New Roman" w:hAnsi="Times New Roman"/>
          <w:sz w:val="24"/>
          <w:szCs w:val="24"/>
          <w:u w:val="single"/>
        </w:rPr>
      </w:pPr>
      <w:r>
        <w:rPr>
          <w:rFonts w:ascii="Times New Roman" w:hAnsi="Times New Roman"/>
          <w:sz w:val="24"/>
          <w:szCs w:val="24"/>
        </w:rPr>
        <w:t>Osoby, které jsou v tabulce označeny žlutou barvou a ve sloupci „Mimo“ mají uvedeno „Ministerstvo obrany České republiky“, vyjmi do samostatné tabulky s názvem Ministerstvo obrany České republiky</w:t>
      </w:r>
    </w:p>
    <w:p w:rsidR="004A3E97" w:rsidRDefault="004A3E97" w:rsidP="004A3E97">
      <w:pPr>
        <w:pStyle w:val="Odstavecseseznamem"/>
        <w:numPr>
          <w:ilvl w:val="0"/>
          <w:numId w:val="20"/>
        </w:numPr>
        <w:spacing w:line="240" w:lineRule="auto"/>
        <w:jc w:val="both"/>
        <w:rPr>
          <w:rFonts w:ascii="Times New Roman" w:hAnsi="Times New Roman"/>
          <w:sz w:val="24"/>
          <w:szCs w:val="24"/>
        </w:rPr>
      </w:pPr>
      <w:r>
        <w:rPr>
          <w:rFonts w:ascii="Times New Roman" w:hAnsi="Times New Roman"/>
          <w:sz w:val="24"/>
          <w:szCs w:val="24"/>
        </w:rPr>
        <w:t>Použij dopis na Ministerstvo obrany České republiky</w:t>
      </w:r>
    </w:p>
    <w:p w:rsidR="004A3E97" w:rsidRDefault="004A3E97" w:rsidP="004A3E97">
      <w:pPr>
        <w:pStyle w:val="Odstavecseseznamem"/>
        <w:numPr>
          <w:ilvl w:val="0"/>
          <w:numId w:val="20"/>
        </w:numPr>
        <w:spacing w:line="240" w:lineRule="auto"/>
        <w:jc w:val="both"/>
        <w:rPr>
          <w:rFonts w:ascii="Times New Roman" w:hAnsi="Times New Roman"/>
          <w:sz w:val="24"/>
          <w:szCs w:val="24"/>
        </w:rPr>
      </w:pPr>
      <w:r>
        <w:rPr>
          <w:rFonts w:ascii="Times New Roman" w:hAnsi="Times New Roman"/>
          <w:sz w:val="24"/>
          <w:szCs w:val="24"/>
        </w:rPr>
        <w:t>Zadej adresu Ministerstva obrany České republiky, ID datové schránky, počet příloh 1, číslo jednací, údaje o osobě, která vyřizuje písemnost včetně telefonní čísla a e-mailu</w:t>
      </w:r>
    </w:p>
    <w:p w:rsidR="004A3E97" w:rsidRDefault="004A3E97" w:rsidP="004A3E97">
      <w:pPr>
        <w:pStyle w:val="Odstavecseseznamem"/>
        <w:numPr>
          <w:ilvl w:val="0"/>
          <w:numId w:val="20"/>
        </w:numPr>
        <w:spacing w:line="240" w:lineRule="auto"/>
        <w:jc w:val="both"/>
        <w:rPr>
          <w:rFonts w:ascii="Times New Roman" w:hAnsi="Times New Roman"/>
          <w:sz w:val="24"/>
          <w:szCs w:val="24"/>
        </w:rPr>
      </w:pPr>
      <w:r>
        <w:rPr>
          <w:rFonts w:ascii="Times New Roman" w:hAnsi="Times New Roman"/>
          <w:sz w:val="24"/>
          <w:szCs w:val="24"/>
        </w:rPr>
        <w:t>K dopisu přiřaď přílohu k Ministerstvu obrany České republiky s názvem „Oznámení jednání, které má znaky přestupku dle § 23 odst. 1 písm. f) zákona o střetu zájmů“</w:t>
      </w:r>
    </w:p>
    <w:p w:rsidR="004A3E97" w:rsidRDefault="004A3E97" w:rsidP="004A3E97"/>
    <w:p w:rsidR="00BC348E" w:rsidRPr="004A3E97" w:rsidRDefault="00BC348E" w:rsidP="004A3E97">
      <w:r>
        <w:t>Vzory dopisů budou předány po podpisu Smlouvy.</w:t>
      </w:r>
    </w:p>
    <w:p w:rsidR="004A3E97" w:rsidRDefault="004A3E97" w:rsidP="004A3E97"/>
    <w:p w:rsidR="00CF1245" w:rsidRDefault="00CF1245"/>
    <w:sectPr w:rsidR="00CF12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EB4" w:rsidRDefault="00112EB4" w:rsidP="00112EB4">
      <w:pPr>
        <w:spacing w:after="0"/>
      </w:pPr>
      <w:r>
        <w:separator/>
      </w:r>
    </w:p>
  </w:endnote>
  <w:endnote w:type="continuationSeparator" w:id="0">
    <w:p w:rsidR="00112EB4" w:rsidRDefault="00112EB4" w:rsidP="00112E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EB4" w:rsidRDefault="00112EB4" w:rsidP="00112EB4">
      <w:pPr>
        <w:spacing w:after="0"/>
      </w:pPr>
      <w:r>
        <w:separator/>
      </w:r>
    </w:p>
  </w:footnote>
  <w:footnote w:type="continuationSeparator" w:id="0">
    <w:p w:rsidR="00112EB4" w:rsidRDefault="00112EB4" w:rsidP="00112EB4">
      <w:pPr>
        <w:spacing w:after="0"/>
      </w:pPr>
      <w:r>
        <w:continuationSeparator/>
      </w:r>
    </w:p>
  </w:footnote>
  <w:footnote w:id="1">
    <w:p w:rsidR="00112EB4" w:rsidRDefault="00112EB4" w:rsidP="00112EB4">
      <w:pPr>
        <w:pStyle w:val="Textpoznpodarou"/>
      </w:pPr>
      <w:r>
        <w:rPr>
          <w:rStyle w:val="Znakapoznpodarou"/>
        </w:rPr>
        <w:footnoteRef/>
      </w:r>
      <w:r>
        <w:t xml:space="preserve"> Záměna druhů oznámení – průběžné za </w:t>
      </w:r>
      <w:r w:rsidR="00377A44">
        <w:t>výstupní,</w:t>
      </w:r>
      <w:r>
        <w:t xml:space="preserve"> a naopak je platná pro celý tento dokument.</w:t>
      </w:r>
    </w:p>
  </w:footnote>
  <w:footnote w:id="2">
    <w:p w:rsidR="00112EB4" w:rsidRDefault="00112EB4" w:rsidP="00112EB4">
      <w:pPr>
        <w:pStyle w:val="Textpoznpodarou"/>
        <w:jc w:val="both"/>
        <w:rPr>
          <w:rFonts w:ascii="Times New Roman" w:hAnsi="Times New Roman"/>
        </w:rPr>
      </w:pPr>
      <w:r>
        <w:rPr>
          <w:rStyle w:val="Znakapoznpodarou"/>
        </w:rPr>
        <w:footnoteRef/>
      </w:r>
      <w:r>
        <w:t xml:space="preserve"> </w:t>
      </w:r>
      <w:r>
        <w:rPr>
          <w:rFonts w:ascii="Times New Roman" w:hAnsi="Times New Roman"/>
        </w:rPr>
        <w:t xml:space="preserve">Zde bude dodán přehled osob v excelu s uvedením jména, příjmení, data narození, funkce a organizace, v níž působí. Přidání dalších identifikačních údajů ke správnému napárování je možné na základě domluvy. </w:t>
      </w:r>
    </w:p>
  </w:footnote>
  <w:footnote w:id="3">
    <w:p w:rsidR="00112EB4" w:rsidRDefault="00112EB4" w:rsidP="00112EB4">
      <w:pPr>
        <w:pStyle w:val="Textpoznpodarou"/>
        <w:jc w:val="both"/>
        <w:rPr>
          <w:rFonts w:ascii="Times New Roman" w:hAnsi="Times New Roman"/>
        </w:rPr>
      </w:pPr>
      <w:r>
        <w:rPr>
          <w:rStyle w:val="Znakapoznpodarou"/>
          <w:rFonts w:ascii="Times New Roman" w:hAnsi="Times New Roman"/>
        </w:rPr>
        <w:footnoteRef/>
      </w:r>
      <w:r>
        <w:rPr>
          <w:rFonts w:ascii="Times New Roman" w:hAnsi="Times New Roman"/>
        </w:rPr>
        <w:t xml:space="preserve"> Zde bude dodán přehled osob v excelu s uvedením jména, příjmení, data narození, funkce a organizace, v níž působí. Přidání dalších identifikačních údajů ke správném napárování je možné na základě domluvy.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4B26"/>
    <w:multiLevelType w:val="hybridMultilevel"/>
    <w:tmpl w:val="47DC149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8B11BA1"/>
    <w:multiLevelType w:val="multilevel"/>
    <w:tmpl w:val="A29A8FE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4B23298"/>
    <w:multiLevelType w:val="hybridMultilevel"/>
    <w:tmpl w:val="47920518"/>
    <w:lvl w:ilvl="0" w:tplc="6646F93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254190"/>
    <w:multiLevelType w:val="hybridMultilevel"/>
    <w:tmpl w:val="D69CBEDA"/>
    <w:lvl w:ilvl="0" w:tplc="3FD2C5C0">
      <w:start w:val="1"/>
      <w:numFmt w:val="lowerLetter"/>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F336C94"/>
    <w:multiLevelType w:val="hybridMultilevel"/>
    <w:tmpl w:val="860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450FB5"/>
    <w:multiLevelType w:val="hybridMultilevel"/>
    <w:tmpl w:val="99C0FC5A"/>
    <w:lvl w:ilvl="0" w:tplc="04050003">
      <w:start w:val="1"/>
      <w:numFmt w:val="bullet"/>
      <w:lvlText w:val="o"/>
      <w:lvlJc w:val="left"/>
      <w:pPr>
        <w:ind w:left="1068" w:hanging="360"/>
      </w:pPr>
      <w:rPr>
        <w:rFonts w:ascii="Courier New" w:hAnsi="Courier New" w:cs="Courier New" w:hint="default"/>
        <w:i w: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6" w15:restartNumberingAfterBreak="0">
    <w:nsid w:val="3D8B48D8"/>
    <w:multiLevelType w:val="hybridMultilevel"/>
    <w:tmpl w:val="6B02C412"/>
    <w:lvl w:ilvl="0" w:tplc="04050003">
      <w:start w:val="1"/>
      <w:numFmt w:val="bullet"/>
      <w:lvlText w:val="o"/>
      <w:lvlJc w:val="left"/>
      <w:pPr>
        <w:ind w:left="717" w:hanging="360"/>
      </w:pPr>
      <w:rPr>
        <w:rFonts w:ascii="Courier New" w:hAnsi="Courier New" w:cs="Courier New"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7" w15:restartNumberingAfterBreak="0">
    <w:nsid w:val="42463C2F"/>
    <w:multiLevelType w:val="hybridMultilevel"/>
    <w:tmpl w:val="1660DA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38D362A"/>
    <w:multiLevelType w:val="hybridMultilevel"/>
    <w:tmpl w:val="C5560AE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520A0EF4"/>
    <w:multiLevelType w:val="hybridMultilevel"/>
    <w:tmpl w:val="C5560AE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5D154909"/>
    <w:multiLevelType w:val="hybridMultilevel"/>
    <w:tmpl w:val="39D06A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5E4247AB"/>
    <w:multiLevelType w:val="hybridMultilevel"/>
    <w:tmpl w:val="4F0E27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21D43BC"/>
    <w:multiLevelType w:val="hybridMultilevel"/>
    <w:tmpl w:val="188038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5083FEC"/>
    <w:multiLevelType w:val="hybridMultilevel"/>
    <w:tmpl w:val="F84ABB9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4" w15:restartNumberingAfterBreak="0">
    <w:nsid w:val="6F34614B"/>
    <w:multiLevelType w:val="hybridMultilevel"/>
    <w:tmpl w:val="D104FC02"/>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71FA5BA3"/>
    <w:multiLevelType w:val="hybridMultilevel"/>
    <w:tmpl w:val="78C235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46A6707"/>
    <w:multiLevelType w:val="hybridMultilevel"/>
    <w:tmpl w:val="881036C4"/>
    <w:lvl w:ilvl="0" w:tplc="04050001">
      <w:start w:val="1"/>
      <w:numFmt w:val="bullet"/>
      <w:lvlText w:val=""/>
      <w:lvlJc w:val="left"/>
      <w:pPr>
        <w:ind w:left="1068" w:hanging="360"/>
      </w:pPr>
      <w:rPr>
        <w:rFonts w:ascii="Symbol" w:hAnsi="Symbol" w:hint="default"/>
        <w:i w: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
  </w:num>
  <w:num w:numId="7">
    <w:abstractNumId w:val="6"/>
  </w:num>
  <w:num w:numId="8">
    <w:abstractNumId w:val="0"/>
  </w:num>
  <w:num w:numId="9">
    <w:abstractNumId w:val="4"/>
  </w:num>
  <w:num w:numId="10">
    <w:abstractNumId w:val="14"/>
  </w:num>
  <w:num w:numId="11">
    <w:abstractNumId w:val="3"/>
  </w:num>
  <w:num w:numId="12">
    <w:abstractNumId w:val="16"/>
  </w:num>
  <w:num w:numId="13">
    <w:abstractNumId w:val="5"/>
  </w:num>
  <w:num w:numId="14">
    <w:abstractNumId w:val="9"/>
  </w:num>
  <w:num w:numId="15">
    <w:abstractNumId w:val="2"/>
  </w:num>
  <w:num w:numId="16">
    <w:abstractNumId w:val="8"/>
  </w:num>
  <w:num w:numId="17">
    <w:abstractNumId w:val="11"/>
  </w:num>
  <w:num w:numId="18">
    <w:abstractNumId w:val="15"/>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B4"/>
    <w:rsid w:val="00112EB4"/>
    <w:rsid w:val="00191561"/>
    <w:rsid w:val="00363818"/>
    <w:rsid w:val="00377A44"/>
    <w:rsid w:val="004A3E97"/>
    <w:rsid w:val="00765815"/>
    <w:rsid w:val="00AC3E93"/>
    <w:rsid w:val="00BC348E"/>
    <w:rsid w:val="00CF1245"/>
    <w:rsid w:val="00E25C39"/>
    <w:rsid w:val="00FD2B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2EB4"/>
    <w:pPr>
      <w:spacing w:line="240" w:lineRule="auto"/>
      <w:ind w:firstLine="284"/>
      <w:jc w:val="both"/>
    </w:pPr>
    <w:rPr>
      <w:rFonts w:ascii="Times New Roman" w:eastAsia="Calibri" w:hAnsi="Times New Roman" w:cs="Times New Roman"/>
      <w:sz w:val="24"/>
      <w:szCs w:val="24"/>
    </w:rPr>
  </w:style>
  <w:style w:type="paragraph" w:styleId="Nadpis1">
    <w:name w:val="heading 1"/>
    <w:basedOn w:val="Normln"/>
    <w:next w:val="Normln"/>
    <w:link w:val="Nadpis1Char"/>
    <w:uiPriority w:val="9"/>
    <w:qFormat/>
    <w:rsid w:val="00112EB4"/>
    <w:pPr>
      <w:keepNext/>
      <w:numPr>
        <w:numId w:val="6"/>
      </w:numPr>
      <w:spacing w:before="60" w:after="0"/>
      <w:ind w:left="357" w:hanging="357"/>
      <w:outlineLvl w:val="0"/>
    </w:pPr>
    <w:rPr>
      <w:rFonts w:eastAsia="Times New Roman"/>
      <w:b/>
      <w:bCs/>
      <w:kern w:val="32"/>
    </w:rPr>
  </w:style>
  <w:style w:type="paragraph" w:styleId="Nadpis2">
    <w:name w:val="heading 2"/>
    <w:basedOn w:val="Normln"/>
    <w:next w:val="Normln"/>
    <w:link w:val="Nadpis2Char"/>
    <w:uiPriority w:val="9"/>
    <w:unhideWhenUsed/>
    <w:qFormat/>
    <w:rsid w:val="00112EB4"/>
    <w:pPr>
      <w:keepNext/>
      <w:numPr>
        <w:ilvl w:val="1"/>
        <w:numId w:val="6"/>
      </w:numPr>
      <w:spacing w:before="240" w:after="60"/>
      <w:outlineLvl w:val="1"/>
    </w:pPr>
    <w:rPr>
      <w:rFonts w:eastAsia="Times New Roman"/>
      <w:b/>
      <w:bCs/>
      <w:i/>
      <w:iCs/>
      <w:szCs w:val="28"/>
    </w:rPr>
  </w:style>
  <w:style w:type="paragraph" w:styleId="Nadpis3">
    <w:name w:val="heading 3"/>
    <w:basedOn w:val="Normln"/>
    <w:next w:val="Normln"/>
    <w:link w:val="Nadpis3Char"/>
    <w:uiPriority w:val="9"/>
    <w:unhideWhenUsed/>
    <w:qFormat/>
    <w:rsid w:val="00112EB4"/>
    <w:pPr>
      <w:keepNext/>
      <w:keepLines/>
      <w:numPr>
        <w:ilvl w:val="2"/>
        <w:numId w:val="6"/>
      </w:numPr>
      <w:spacing w:before="40" w:after="0"/>
      <w:outlineLvl w:val="2"/>
    </w:pPr>
    <w:rPr>
      <w:rFonts w:eastAsiaTheme="majorEastAsia"/>
      <w:i/>
    </w:rPr>
  </w:style>
  <w:style w:type="paragraph" w:styleId="Nadpis4">
    <w:name w:val="heading 4"/>
    <w:basedOn w:val="Normln"/>
    <w:next w:val="Normln"/>
    <w:link w:val="Nadpis4Char"/>
    <w:uiPriority w:val="9"/>
    <w:semiHidden/>
    <w:unhideWhenUsed/>
    <w:qFormat/>
    <w:rsid w:val="00112EB4"/>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12EB4"/>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12EB4"/>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12EB4"/>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12EB4"/>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12EB4"/>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12EB4"/>
    <w:pPr>
      <w:tabs>
        <w:tab w:val="center" w:pos="4536"/>
        <w:tab w:val="right" w:pos="9072"/>
      </w:tabs>
      <w:spacing w:after="0"/>
    </w:pPr>
  </w:style>
  <w:style w:type="character" w:customStyle="1" w:styleId="ZhlavChar">
    <w:name w:val="Záhlaví Char"/>
    <w:basedOn w:val="Standardnpsmoodstavce"/>
    <w:link w:val="Zhlav"/>
    <w:uiPriority w:val="99"/>
    <w:rsid w:val="00112EB4"/>
  </w:style>
  <w:style w:type="paragraph" w:styleId="Zpat">
    <w:name w:val="footer"/>
    <w:basedOn w:val="Normln"/>
    <w:link w:val="ZpatChar"/>
    <w:uiPriority w:val="99"/>
    <w:unhideWhenUsed/>
    <w:rsid w:val="00112EB4"/>
    <w:pPr>
      <w:tabs>
        <w:tab w:val="center" w:pos="4536"/>
        <w:tab w:val="right" w:pos="9072"/>
      </w:tabs>
      <w:spacing w:after="0"/>
    </w:pPr>
  </w:style>
  <w:style w:type="character" w:customStyle="1" w:styleId="ZpatChar">
    <w:name w:val="Zápatí Char"/>
    <w:basedOn w:val="Standardnpsmoodstavce"/>
    <w:link w:val="Zpat"/>
    <w:uiPriority w:val="99"/>
    <w:rsid w:val="00112EB4"/>
  </w:style>
  <w:style w:type="paragraph" w:styleId="Bezmezer">
    <w:name w:val="No Spacing"/>
    <w:uiPriority w:val="99"/>
    <w:qFormat/>
    <w:rsid w:val="00112EB4"/>
    <w:pPr>
      <w:tabs>
        <w:tab w:val="num" w:pos="0"/>
      </w:tabs>
      <w:suppressAutoHyphens/>
      <w:spacing w:after="0" w:line="240" w:lineRule="auto"/>
      <w:jc w:val="both"/>
    </w:pPr>
    <w:rPr>
      <w:rFonts w:ascii="Times New Roman" w:eastAsia="Times New Roman" w:hAnsi="Times New Roman" w:cs="Times New Roman"/>
      <w:color w:val="000000"/>
      <w:sz w:val="24"/>
      <w:szCs w:val="24"/>
      <w:lang w:eastAsia="ar-SA"/>
    </w:rPr>
  </w:style>
  <w:style w:type="paragraph" w:styleId="Normlnweb">
    <w:name w:val="Normal (Web)"/>
    <w:basedOn w:val="Normln"/>
    <w:uiPriority w:val="99"/>
    <w:semiHidden/>
    <w:unhideWhenUsed/>
    <w:rsid w:val="00112EB4"/>
    <w:pPr>
      <w:spacing w:before="100" w:beforeAutospacing="1" w:after="100" w:afterAutospacing="1"/>
      <w:ind w:firstLine="0"/>
      <w:jc w:val="left"/>
    </w:pPr>
    <w:rPr>
      <w:rFonts w:eastAsia="Times New Roman"/>
      <w:lang w:eastAsia="cs-CZ"/>
    </w:rPr>
  </w:style>
  <w:style w:type="paragraph" w:styleId="Textpoznpodarou">
    <w:name w:val="footnote text"/>
    <w:basedOn w:val="Normln"/>
    <w:link w:val="TextpoznpodarouChar"/>
    <w:uiPriority w:val="99"/>
    <w:semiHidden/>
    <w:unhideWhenUsed/>
    <w:rsid w:val="00112EB4"/>
    <w:pPr>
      <w:spacing w:after="0"/>
      <w:ind w:firstLine="0"/>
      <w:jc w:val="left"/>
    </w:pPr>
    <w:rPr>
      <w:rFonts w:ascii="Calibri" w:hAnsi="Calibri"/>
      <w:sz w:val="20"/>
      <w:szCs w:val="20"/>
    </w:rPr>
  </w:style>
  <w:style w:type="character" w:customStyle="1" w:styleId="TextpoznpodarouChar">
    <w:name w:val="Text pozn. pod čarou Char"/>
    <w:basedOn w:val="Standardnpsmoodstavce"/>
    <w:link w:val="Textpoznpodarou"/>
    <w:uiPriority w:val="99"/>
    <w:semiHidden/>
    <w:rsid w:val="00112EB4"/>
    <w:rPr>
      <w:rFonts w:ascii="Calibri" w:eastAsia="Calibri" w:hAnsi="Calibri" w:cs="Times New Roman"/>
      <w:sz w:val="20"/>
      <w:szCs w:val="20"/>
    </w:rPr>
  </w:style>
  <w:style w:type="paragraph" w:styleId="Odstavecseseznamem">
    <w:name w:val="List Paragraph"/>
    <w:basedOn w:val="Normln"/>
    <w:uiPriority w:val="34"/>
    <w:qFormat/>
    <w:rsid w:val="00112EB4"/>
    <w:pPr>
      <w:spacing w:after="200" w:line="276" w:lineRule="auto"/>
      <w:ind w:left="720" w:firstLine="0"/>
      <w:contextualSpacing/>
      <w:jc w:val="left"/>
    </w:pPr>
    <w:rPr>
      <w:rFonts w:ascii="Calibri" w:hAnsi="Calibri"/>
      <w:sz w:val="22"/>
      <w:szCs w:val="22"/>
    </w:rPr>
  </w:style>
  <w:style w:type="character" w:styleId="Znakapoznpodarou">
    <w:name w:val="footnote reference"/>
    <w:basedOn w:val="Standardnpsmoodstavce"/>
    <w:uiPriority w:val="99"/>
    <w:semiHidden/>
    <w:unhideWhenUsed/>
    <w:rsid w:val="00112EB4"/>
    <w:rPr>
      <w:vertAlign w:val="superscript"/>
    </w:rPr>
  </w:style>
  <w:style w:type="character" w:customStyle="1" w:styleId="Nadpis1Char">
    <w:name w:val="Nadpis 1 Char"/>
    <w:basedOn w:val="Standardnpsmoodstavce"/>
    <w:link w:val="Nadpis1"/>
    <w:uiPriority w:val="9"/>
    <w:rsid w:val="00112EB4"/>
    <w:rPr>
      <w:rFonts w:ascii="Times New Roman" w:eastAsia="Times New Roman" w:hAnsi="Times New Roman" w:cs="Times New Roman"/>
      <w:b/>
      <w:bCs/>
      <w:kern w:val="32"/>
      <w:sz w:val="24"/>
      <w:szCs w:val="24"/>
    </w:rPr>
  </w:style>
  <w:style w:type="character" w:customStyle="1" w:styleId="Nadpis2Char">
    <w:name w:val="Nadpis 2 Char"/>
    <w:basedOn w:val="Standardnpsmoodstavce"/>
    <w:link w:val="Nadpis2"/>
    <w:uiPriority w:val="9"/>
    <w:rsid w:val="00112EB4"/>
    <w:rPr>
      <w:rFonts w:ascii="Times New Roman" w:eastAsia="Times New Roman" w:hAnsi="Times New Roman" w:cs="Times New Roman"/>
      <w:b/>
      <w:bCs/>
      <w:i/>
      <w:iCs/>
      <w:sz w:val="24"/>
      <w:szCs w:val="28"/>
    </w:rPr>
  </w:style>
  <w:style w:type="character" w:customStyle="1" w:styleId="Nadpis3Char">
    <w:name w:val="Nadpis 3 Char"/>
    <w:basedOn w:val="Standardnpsmoodstavce"/>
    <w:link w:val="Nadpis3"/>
    <w:uiPriority w:val="9"/>
    <w:rsid w:val="00112EB4"/>
    <w:rPr>
      <w:rFonts w:ascii="Times New Roman" w:eastAsiaTheme="majorEastAsia" w:hAnsi="Times New Roman" w:cs="Times New Roman"/>
      <w:i/>
      <w:sz w:val="24"/>
      <w:szCs w:val="24"/>
    </w:rPr>
  </w:style>
  <w:style w:type="character" w:customStyle="1" w:styleId="Nadpis4Char">
    <w:name w:val="Nadpis 4 Char"/>
    <w:basedOn w:val="Standardnpsmoodstavce"/>
    <w:link w:val="Nadpis4"/>
    <w:uiPriority w:val="9"/>
    <w:semiHidden/>
    <w:rsid w:val="00112EB4"/>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uiPriority w:val="9"/>
    <w:semiHidden/>
    <w:rsid w:val="00112EB4"/>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uiPriority w:val="9"/>
    <w:semiHidden/>
    <w:rsid w:val="00112EB4"/>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uiPriority w:val="9"/>
    <w:semiHidden/>
    <w:rsid w:val="00112EB4"/>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
    <w:semiHidden/>
    <w:rsid w:val="00112EB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12EB4"/>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112EB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2EB4"/>
    <w:rPr>
      <w:rFonts w:ascii="Segoe UI" w:eastAsia="Calibri" w:hAnsi="Segoe UI" w:cs="Segoe UI"/>
      <w:sz w:val="18"/>
      <w:szCs w:val="18"/>
    </w:rPr>
  </w:style>
  <w:style w:type="paragraph" w:customStyle="1" w:styleId="l51">
    <w:name w:val="l51"/>
    <w:basedOn w:val="Normln"/>
    <w:rsid w:val="004A3E97"/>
    <w:pPr>
      <w:spacing w:before="144" w:after="144"/>
      <w:ind w:firstLine="0"/>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603895">
      <w:bodyDiv w:val="1"/>
      <w:marLeft w:val="0"/>
      <w:marRight w:val="0"/>
      <w:marTop w:val="0"/>
      <w:marBottom w:val="0"/>
      <w:divBdr>
        <w:top w:val="none" w:sz="0" w:space="0" w:color="auto"/>
        <w:left w:val="none" w:sz="0" w:space="0" w:color="auto"/>
        <w:bottom w:val="none" w:sz="0" w:space="0" w:color="auto"/>
        <w:right w:val="none" w:sz="0" w:space="0" w:color="auto"/>
      </w:divBdr>
    </w:div>
    <w:div w:id="957487482">
      <w:bodyDiv w:val="1"/>
      <w:marLeft w:val="0"/>
      <w:marRight w:val="0"/>
      <w:marTop w:val="0"/>
      <w:marBottom w:val="0"/>
      <w:divBdr>
        <w:top w:val="none" w:sz="0" w:space="0" w:color="auto"/>
        <w:left w:val="none" w:sz="0" w:space="0" w:color="auto"/>
        <w:bottom w:val="none" w:sz="0" w:space="0" w:color="auto"/>
        <w:right w:val="none" w:sz="0" w:space="0" w:color="auto"/>
      </w:divBdr>
    </w:div>
    <w:div w:id="19545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3018</Words>
  <Characters>17809</Characters>
  <Application>Microsoft Office Word</Application>
  <DocSecurity>0</DocSecurity>
  <Lines>148</Lines>
  <Paragraphs>41</Paragraphs>
  <ScaleCrop>false</ScaleCrop>
  <Company/>
  <LinksUpToDate>false</LinksUpToDate>
  <CharactersWithSpaces>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2020-11-19T13:07:00Z</dcterms:created>
  <dcterms:modified xsi:type="dcterms:W3CDTF">2020-11-19T13:08:00Z</dcterms:modified>
</cp:coreProperties>
</file>