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86" w:rsidRDefault="00361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635</wp:posOffset>
            </wp:positionV>
            <wp:extent cx="847725" cy="619125"/>
            <wp:effectExtent l="0" t="0" r="0" b="0"/>
            <wp:wrapTight wrapText="bothSides">
              <wp:wrapPolygon edited="0">
                <wp:start x="-133" y="0"/>
                <wp:lineTo x="-133" y="21140"/>
                <wp:lineTo x="21345" y="21140"/>
                <wp:lineTo x="21345" y="0"/>
                <wp:lineTo x="-133" y="0"/>
              </wp:wrapPolygon>
            </wp:wrapTight>
            <wp:docPr id="1" name="Obrázek 6" descr="http://www.nature.cz/intranet/management/logo_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6" descr="http://www.nature.cz/intranet/management/logo_natu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114300" simplePos="0" relativeHeight="3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56615" cy="619125"/>
            <wp:effectExtent l="0" t="0" r="0" b="0"/>
            <wp:wrapSquare wrapText="bothSides"/>
            <wp:docPr id="2" name="Obrázek 5" descr="http://www.nature.cz/intranet/management/logo_l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" descr="http://www.nature.cz/intranet/management/logo_lif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Cs w:val="24"/>
        </w:rPr>
        <w:t xml:space="preserve">Číslo smlouvy: 06731/UL/20  </w:t>
      </w:r>
    </w:p>
    <w:p w:rsidR="00B75E86" w:rsidRDefault="0036177E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Akce: C1 </w:t>
      </w:r>
    </w:p>
    <w:p w:rsidR="00B75E86" w:rsidRDefault="0036177E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292100</wp:posOffset>
            </wp:positionV>
            <wp:extent cx="1800225" cy="379730"/>
            <wp:effectExtent l="0" t="0" r="0" b="0"/>
            <wp:wrapTight wrapText="bothSides">
              <wp:wrapPolygon edited="0">
                <wp:start x="-39" y="0"/>
                <wp:lineTo x="-39" y="20543"/>
                <wp:lineTo x="21482" y="20543"/>
                <wp:lineTo x="21482" y="0"/>
                <wp:lineTo x="-39" y="0"/>
              </wp:wrapPolygon>
            </wp:wrapTight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Cs w:val="24"/>
        </w:rPr>
        <w:t xml:space="preserve">Dotační titul: LIFE16 NAT/CZ/000639 </w:t>
      </w:r>
    </w:p>
    <w:p w:rsidR="00B75E86" w:rsidRDefault="00B75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E86" w:rsidRDefault="00B75E86">
      <w:pPr>
        <w:spacing w:before="100" w:after="100" w:line="240" w:lineRule="auto"/>
        <w:jc w:val="center"/>
        <w:rPr>
          <w:rFonts w:ascii="Arial" w:eastAsia="Arial" w:hAnsi="Arial" w:cs="Arial"/>
          <w:b/>
        </w:rPr>
      </w:pPr>
    </w:p>
    <w:p w:rsidR="00B75E86" w:rsidRDefault="00B75E86">
      <w:pPr>
        <w:spacing w:before="100" w:after="100" w:line="240" w:lineRule="auto"/>
        <w:jc w:val="center"/>
        <w:rPr>
          <w:rFonts w:ascii="Arial" w:eastAsia="Arial" w:hAnsi="Arial" w:cs="Arial"/>
          <w:b/>
        </w:rPr>
      </w:pPr>
    </w:p>
    <w:p w:rsidR="00B75E86" w:rsidRDefault="0036177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</w:rPr>
        <w:t>SMLOUVA O DÍLO</w:t>
      </w:r>
    </w:p>
    <w:p w:rsidR="00B75E86" w:rsidRDefault="0036177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</w:rPr>
        <w:t>UZAVŘENÁ DLE USTANOVENÍ § 2586 A NÁSL. ZÁK. Č. 89/2012 SB., OBČANSKÉHO ZÁKONÍKU, VE ZNĚNÍ POZDĚJŠÍCH PŘEDPISŮ</w:t>
      </w:r>
    </w:p>
    <w:p w:rsidR="00B75E86" w:rsidRDefault="0036177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</w:rPr>
        <w:t>I. Smluvní strany</w:t>
      </w:r>
    </w:p>
    <w:p w:rsidR="00B75E86" w:rsidRDefault="0036177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</w:rPr>
        <w:t>1.1 Objednatel</w:t>
      </w:r>
    </w:p>
    <w:p w:rsidR="00B75E86" w:rsidRDefault="0036177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</w:rPr>
        <w:t>Česká republika</w:t>
      </w:r>
      <w:r>
        <w:rPr>
          <w:rFonts w:ascii="Arial" w:eastAsia="Arial" w:hAnsi="Arial" w:cs="Arial"/>
          <w:b/>
        </w:rPr>
        <w:t xml:space="preserve"> - Agentura ochrany přírody a krajiny ČR</w:t>
      </w:r>
    </w:p>
    <w:p w:rsidR="00B75E86" w:rsidRDefault="003617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 xml:space="preserve">Sídlo: Kaplanova 1931/1, 148 00 Praha 11 - Chodov </w:t>
      </w:r>
    </w:p>
    <w:p w:rsidR="00B75E86" w:rsidRDefault="003617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 xml:space="preserve">Zastoupený: Ing. Vladislav Kopecký </w:t>
      </w:r>
      <w:r>
        <w:rPr>
          <w:rFonts w:ascii="Arial" w:eastAsia="Arial" w:hAnsi="Arial" w:cs="Arial"/>
        </w:rPr>
        <w:br/>
        <w:t xml:space="preserve">vedoucí oddělení péče o přírodu a krajinu - RP SCHKO České středohoří </w:t>
      </w:r>
    </w:p>
    <w:p w:rsidR="00B75E86" w:rsidRDefault="003617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Bankovní spojení: ČNB Praha, Číslo účtu: 18228011/0710</w:t>
      </w:r>
    </w:p>
    <w:p w:rsidR="00B75E86" w:rsidRDefault="003617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IČ</w:t>
      </w:r>
      <w:r>
        <w:rPr>
          <w:rFonts w:ascii="Arial" w:eastAsia="Arial" w:hAnsi="Arial" w:cs="Arial"/>
        </w:rPr>
        <w:t>O: 629 335 91</w:t>
      </w:r>
    </w:p>
    <w:p w:rsidR="00B75E86" w:rsidRDefault="003617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DIČ: neplátce DPH</w:t>
      </w:r>
    </w:p>
    <w:p w:rsidR="00B75E86" w:rsidRDefault="003617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Telefon: xxx</w:t>
      </w:r>
    </w:p>
    <w:p w:rsidR="00B75E86" w:rsidRDefault="0036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 xml:space="preserve">V rozsahu této smlouvy osoba zmocněná k jednání se zhotovitelem, k věcným úkonům </w:t>
      </w:r>
      <w:r>
        <w:rPr>
          <w:rFonts w:ascii="Arial" w:eastAsia="Arial" w:hAnsi="Arial" w:cs="Arial"/>
        </w:rPr>
        <w:br/>
        <w:t>a k převzetí díla: Bc. Lucie Benešová</w:t>
      </w:r>
    </w:p>
    <w:p w:rsidR="00B75E86" w:rsidRDefault="0036177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(dále jen „objednatel”)</w:t>
      </w:r>
    </w:p>
    <w:p w:rsidR="00B75E86" w:rsidRDefault="0036177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a</w:t>
      </w:r>
    </w:p>
    <w:p w:rsidR="00B75E86" w:rsidRDefault="0036177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Arial" w:eastAsia="Arial" w:hAnsi="Arial" w:cs="Arial"/>
          <w:b/>
        </w:rPr>
        <w:t>1.2 Zhotovitel</w:t>
      </w:r>
    </w:p>
    <w:p w:rsidR="00B75E86" w:rsidRDefault="0036177E">
      <w:pPr>
        <w:pStyle w:val="Standard"/>
        <w:spacing w:before="120" w:after="120" w:line="240" w:lineRule="auto"/>
        <w:rPr>
          <w:rFonts w:ascii="Arial" w:eastAsia="Times New Roman" w:hAnsi="Arial" w:cs="Arial"/>
          <w:b/>
          <w:bCs/>
          <w:szCs w:val="24"/>
          <w:highlight w:val="white"/>
        </w:rPr>
      </w:pPr>
      <w:r>
        <w:rPr>
          <w:rFonts w:ascii="Arial" w:eastAsia="Times New Roman" w:hAnsi="Arial" w:cs="Arial"/>
          <w:b/>
          <w:bCs/>
          <w:szCs w:val="24"/>
          <w:shd w:val="clear" w:color="auto" w:fill="FFFFFF"/>
        </w:rPr>
        <w:t>VR servise trades s.r.o.</w:t>
      </w:r>
    </w:p>
    <w:p w:rsidR="00B75E86" w:rsidRDefault="0036177E">
      <w:pPr>
        <w:pStyle w:val="Standard"/>
        <w:spacing w:after="0" w:line="240" w:lineRule="auto"/>
        <w:rPr>
          <w:rFonts w:ascii="Arial" w:eastAsia="Times New Roman" w:hAnsi="Arial" w:cs="Arial"/>
          <w:szCs w:val="24"/>
          <w:highlight w:val="white"/>
        </w:rPr>
      </w:pPr>
      <w:r>
        <w:rPr>
          <w:rFonts w:ascii="Arial" w:eastAsia="Times New Roman" w:hAnsi="Arial" w:cs="Arial"/>
          <w:szCs w:val="24"/>
          <w:shd w:val="clear" w:color="auto" w:fill="FFFFFF"/>
        </w:rPr>
        <w:t xml:space="preserve">Sídlo: Rybná 716/24, </w:t>
      </w:r>
      <w:r>
        <w:rPr>
          <w:rFonts w:ascii="Arial" w:eastAsia="Times New Roman" w:hAnsi="Arial" w:cs="Arial"/>
          <w:szCs w:val="24"/>
          <w:shd w:val="clear" w:color="auto" w:fill="FFFFFF"/>
        </w:rPr>
        <w:t>Staré Město, 110 00 Praha 1</w:t>
      </w:r>
    </w:p>
    <w:p w:rsidR="00B75E86" w:rsidRDefault="0036177E">
      <w:pPr>
        <w:pStyle w:val="Standard"/>
        <w:spacing w:after="0" w:line="240" w:lineRule="auto"/>
        <w:rPr>
          <w:rFonts w:ascii="Arial" w:eastAsia="Times New Roman" w:hAnsi="Arial" w:cs="Arial"/>
          <w:szCs w:val="24"/>
          <w:highlight w:val="white"/>
        </w:rPr>
      </w:pPr>
      <w:r>
        <w:rPr>
          <w:rFonts w:ascii="Arial" w:eastAsia="Times New Roman" w:hAnsi="Arial" w:cs="Arial"/>
          <w:szCs w:val="24"/>
          <w:shd w:val="clear" w:color="auto" w:fill="FFFFFF"/>
        </w:rPr>
        <w:t xml:space="preserve">IČ: 06110541, DIČ:   CZ06110541                   </w:t>
      </w:r>
      <w:r>
        <w:rPr>
          <w:rFonts w:ascii="Arial" w:eastAsia="Times New Roman" w:hAnsi="Arial" w:cs="Arial"/>
          <w:szCs w:val="24"/>
          <w:shd w:val="clear" w:color="auto" w:fill="FFFFFF"/>
        </w:rPr>
        <w:br/>
        <w:t xml:space="preserve">Zastoupený: Václav Roller, jednatel                 </w:t>
      </w:r>
      <w:r>
        <w:rPr>
          <w:rFonts w:ascii="Arial" w:eastAsia="Times New Roman" w:hAnsi="Arial" w:cs="Arial"/>
          <w:szCs w:val="24"/>
          <w:shd w:val="clear" w:color="auto" w:fill="FFFFFF"/>
        </w:rPr>
        <w:br/>
        <w:t xml:space="preserve">Bankovní spojení: Komerční banka, Číslo účtu: 115-4528540257/0100                   </w:t>
      </w:r>
    </w:p>
    <w:p w:rsidR="00B75E86" w:rsidRDefault="0036177E">
      <w:pPr>
        <w:pStyle w:val="Standard"/>
        <w:spacing w:after="0" w:line="240" w:lineRule="auto"/>
        <w:jc w:val="both"/>
        <w:rPr>
          <w:rFonts w:ascii="Arial" w:eastAsia="Times New Roman" w:hAnsi="Arial" w:cs="Arial"/>
          <w:szCs w:val="24"/>
          <w:highlight w:val="yellow"/>
        </w:rPr>
      </w:pPr>
      <w:r>
        <w:rPr>
          <w:rFonts w:ascii="Arial" w:eastAsia="Times New Roman" w:hAnsi="Arial" w:cs="Arial"/>
          <w:szCs w:val="24"/>
          <w:shd w:val="clear" w:color="auto" w:fill="FFFFFF"/>
        </w:rPr>
        <w:t>zapsaný v obchodním rejstříku vedeným M</w:t>
      </w:r>
      <w:r>
        <w:rPr>
          <w:rFonts w:ascii="Arial" w:eastAsia="Times New Roman" w:hAnsi="Arial" w:cs="Arial"/>
          <w:szCs w:val="24"/>
          <w:shd w:val="clear" w:color="auto" w:fill="FFFFFF"/>
        </w:rPr>
        <w:t xml:space="preserve">ěstským soudem v Praze </w:t>
      </w:r>
      <w:proofErr w:type="gramStart"/>
      <w:r>
        <w:rPr>
          <w:rFonts w:ascii="Arial" w:eastAsia="Times New Roman" w:hAnsi="Arial" w:cs="Arial"/>
          <w:szCs w:val="24"/>
          <w:shd w:val="clear" w:color="auto" w:fill="FFFFFF"/>
        </w:rPr>
        <w:t>sp.zn.</w:t>
      </w:r>
      <w:proofErr w:type="gramEnd"/>
      <w:r>
        <w:rPr>
          <w:rFonts w:ascii="Arial" w:eastAsia="Times New Roman" w:hAnsi="Arial" w:cs="Arial"/>
          <w:szCs w:val="24"/>
          <w:shd w:val="clear" w:color="auto" w:fill="FFFFFF"/>
        </w:rPr>
        <w:t xml:space="preserve"> C 276301</w:t>
      </w:r>
      <w:r>
        <w:rPr>
          <w:rFonts w:ascii="Arial" w:eastAsia="Times New Roman" w:hAnsi="Arial" w:cs="Arial"/>
          <w:szCs w:val="24"/>
          <w:shd w:val="clear" w:color="auto" w:fill="FFFF00"/>
        </w:rPr>
        <w:t xml:space="preserve">   </w:t>
      </w:r>
    </w:p>
    <w:p w:rsidR="00B75E86" w:rsidRDefault="0036177E">
      <w:pPr>
        <w:spacing w:before="120" w:after="12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 (dále jen </w:t>
      </w:r>
      <w:r>
        <w:rPr>
          <w:rFonts w:ascii="Arial" w:eastAsia="Times New Roman" w:hAnsi="Arial" w:cs="Arial"/>
        </w:rPr>
        <w:t>„</w:t>
      </w:r>
      <w:r>
        <w:rPr>
          <w:rFonts w:ascii="Arial" w:eastAsia="Times New Roman" w:hAnsi="Arial" w:cs="Arial"/>
          <w:szCs w:val="24"/>
        </w:rPr>
        <w:t>zhotovitel”)</w:t>
      </w:r>
    </w:p>
    <w:p w:rsidR="00B75E86" w:rsidRDefault="0036177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</w:rPr>
        <w:t>II. Předmět smlouvy</w:t>
      </w:r>
    </w:p>
    <w:p w:rsidR="00B75E86" w:rsidRDefault="0036177E">
      <w:pPr>
        <w:keepLines/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 Na základě této smlouvy se zhotovitel zavazuje provést na svůj náklad a nebezpečí dílo specifikované v čl. 2.2 této smlouvy a předat jej objednateli. Objednatel se z</w:t>
      </w:r>
      <w:r>
        <w:rPr>
          <w:rFonts w:ascii="Arial" w:eastAsia="Arial" w:hAnsi="Arial" w:cs="Arial"/>
        </w:rPr>
        <w:t>avazuje dílo převzít a zaplatit za něj zhotoviteli dohodnutou cenu.</w:t>
      </w:r>
    </w:p>
    <w:p w:rsidR="00B75E86" w:rsidRDefault="0036177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2.2 Dílem se rozumí: Provedení opatření v rámci projektu "Aktivní ochrana evropsky významných lokalit s teplomilnými společenstvy a druhy v Českém středohoří", LIFE16 NAT/CZ/000639, aktivi</w:t>
      </w:r>
      <w:r>
        <w:rPr>
          <w:rFonts w:ascii="Arial" w:eastAsia="Arial" w:hAnsi="Arial" w:cs="Arial"/>
        </w:rPr>
        <w:t>ta C1 (odstranění výmladků). Jedná se o odstranění výmladků křovin na p. p. č. 112, 113/1, 113/2, 125, 131, 132, 133, 134, 136/14, 136/15, 190/2, 190/3, 190/5, 190/6, 190/7, 191, 195/1, 196, 192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v k. ú. Mrsklesy v EVL Lipská hora a NK Bílé stráně pod Lipsk</w:t>
      </w:r>
      <w:r>
        <w:rPr>
          <w:rFonts w:ascii="Arial" w:eastAsia="Arial" w:hAnsi="Arial" w:cs="Arial"/>
        </w:rPr>
        <w:t xml:space="preserve">ou horou. Plocha vyznačená zákresy nad ortofotomapou má rozlohu 6,3617 ha. </w:t>
      </w:r>
      <w:r>
        <w:rPr>
          <w:rFonts w:ascii="Arial" w:eastAsia="Arial" w:hAnsi="Arial" w:cs="Arial"/>
        </w:rPr>
        <w:br/>
        <w:t>Z důvodu nesouvislého výskytu výmladků na pozemcích je rozloha k jejich odstranění snížena o 50 % tj. na 3,1809 ha. Jsou zde ztížené podmínky pro realizaci díla - pozemky jsou člen</w:t>
      </w:r>
      <w:r>
        <w:rPr>
          <w:rFonts w:ascii="Arial" w:eastAsia="Arial" w:hAnsi="Arial" w:cs="Arial"/>
        </w:rPr>
        <w:t xml:space="preserve">ité, mírně svažité a jsou hůře dostupné. Výmladky budou odstraněny křovinořezem a vzniklá hmota odstraněna a využita v souladu s platnými právními předpisy. Opatření bude provedeno v termínu </w:t>
      </w:r>
      <w:r>
        <w:rPr>
          <w:rFonts w:ascii="Arial" w:eastAsia="Arial" w:hAnsi="Arial" w:cs="Arial"/>
          <w:b/>
        </w:rPr>
        <w:t>od účinnosti smlouvy do 20. 11. 2020</w:t>
      </w:r>
      <w:r>
        <w:rPr>
          <w:rFonts w:ascii="Arial" w:eastAsia="Arial" w:hAnsi="Arial" w:cs="Arial"/>
        </w:rPr>
        <w:t xml:space="preserve">. </w:t>
      </w:r>
    </w:p>
    <w:p w:rsidR="00B75E86" w:rsidRDefault="003617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lastRenderedPageBreak/>
        <w:t>(dále jen „dílo“)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 xml:space="preserve">2.3 Při </w:t>
      </w:r>
      <w:r>
        <w:rPr>
          <w:rFonts w:ascii="Arial" w:eastAsia="Arial" w:hAnsi="Arial" w:cs="Arial"/>
        </w:rPr>
        <w:t>provádění díla je zhotovitel vázán pokyny objednatele.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 xml:space="preserve">2.4 Objednatel je oprávněn v průběhu platnosti smlouvy jednostranně omezit rozsah díla v dosud neprovedené části, a to především s ohledem na nepřidělení dostatečných finančních prostředků objednateli </w:t>
      </w:r>
      <w:r>
        <w:rPr>
          <w:rFonts w:ascii="Arial" w:eastAsia="Arial" w:hAnsi="Arial" w:cs="Arial"/>
        </w:rPr>
        <w:t>ze státního rozpočtu. Při snížení rozsahu díla bude přiměřeně snížena jeho cena.</w:t>
      </w:r>
    </w:p>
    <w:p w:rsidR="00B75E86" w:rsidRDefault="0036177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</w:rPr>
        <w:t>III. Cena díla a platební podmínky</w:t>
      </w:r>
    </w:p>
    <w:p w:rsidR="00B75E86" w:rsidRDefault="0036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 xml:space="preserve">3.1 Cena díla je stanovena v souladu s právními předpisy a je výsledkem řízení o veřejné zakázce č. T002/20/V00057675 v el. </w:t>
      </w:r>
      <w:proofErr w:type="gramStart"/>
      <w:r>
        <w:rPr>
          <w:rFonts w:ascii="Arial" w:eastAsia="Arial" w:hAnsi="Arial" w:cs="Arial"/>
        </w:rPr>
        <w:t>tržišti</w:t>
      </w:r>
      <w:proofErr w:type="gramEnd"/>
      <w:r>
        <w:rPr>
          <w:rFonts w:ascii="Arial" w:eastAsia="Arial" w:hAnsi="Arial" w:cs="Arial"/>
        </w:rPr>
        <w:t xml:space="preserve"> GEMIN:</w:t>
      </w:r>
    </w:p>
    <w:p w:rsidR="00B75E86" w:rsidRDefault="0036177E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Cena bez DPH: 11</w:t>
      </w:r>
      <w:r w:rsidR="00246983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 329,75 Kč</w:t>
      </w:r>
    </w:p>
    <w:p w:rsidR="00B75E86" w:rsidRDefault="0036177E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DPH 21%: 23 379,25 Kč</w:t>
      </w:r>
    </w:p>
    <w:p w:rsidR="00B75E86" w:rsidRDefault="0036177E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Cena včetně DPH: 134 709 Kč (slovy sto třicet čtyři tisíc sedm set devět korun českých)</w:t>
      </w:r>
    </w:p>
    <w:p w:rsidR="00B75E86" w:rsidRDefault="003617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Zhotovitel je plátce DPH.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3.2 Dohodnutá cena je stanovena jako nejvýše přípustná. Ke změně může dojít pouze při změně z</w:t>
      </w:r>
      <w:r>
        <w:rPr>
          <w:rFonts w:ascii="Arial" w:eastAsia="Arial" w:hAnsi="Arial" w:cs="Arial"/>
        </w:rPr>
        <w:t>ákonných sazeb DPH.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 xml:space="preserve">3.3 Veškeré náklady vzniklé zhotoviteli v souvislosti s prováděním díla jsou zahrnuty v ceně díla. </w:t>
      </w:r>
    </w:p>
    <w:p w:rsidR="00B75E86" w:rsidRDefault="0036177E">
      <w:pPr>
        <w:keepLines/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3.4 Cena za dílo bude vyúčtována po provedení díla. Zhotovitel je povinen daňový doklad (fakturu) vystavit a doručit objednateli nejpozd</w:t>
      </w:r>
      <w:r>
        <w:rPr>
          <w:rFonts w:ascii="Arial" w:eastAsia="Arial" w:hAnsi="Arial" w:cs="Arial"/>
        </w:rPr>
        <w:t>ěji do 5 pracovních dnů po předání a převzetí díla (v žádném případě však ne později než do 27. 11. kalendářního roku) na základě předávacího protokolu na adresu: Regionální pracoviště SCHKO České středohoří, Michalská 260, 41201 Litoměřice.</w:t>
      </w:r>
    </w:p>
    <w:p w:rsidR="00B75E86" w:rsidRDefault="0036177E">
      <w:pPr>
        <w:keepLines/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3.5 Daňový </w:t>
      </w:r>
      <w:r>
        <w:rPr>
          <w:rFonts w:ascii="Arial" w:eastAsia="Arial" w:hAnsi="Arial" w:cs="Arial"/>
        </w:rPr>
        <w:t>doklad (faktura) musí mít náležitosti daňového resp. účetního dokladu podle platných obecně závazných právních předpisů; označení daňového dokladu (faktury) a jeho číslo; číslo této smlouvy, den jejího uzavření a předmět smlouvy; označení banky zhotovitel</w:t>
      </w:r>
      <w:bookmarkStart w:id="0" w:name="_GoBack"/>
      <w:bookmarkEnd w:id="0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včetně identifikátoru a čísla účtu, na který má být úhrada provedena; jméno a adresu zhotovitele; položkové vykázání nákladů, konečnou částku; den odeslání dokladu a lhůta splatnosti. Dále pak musí být uvedeno: “</w:t>
      </w:r>
      <w:r>
        <w:rPr>
          <w:rFonts w:ascii="Arial" w:eastAsia="Arial" w:hAnsi="Arial" w:cs="Arial"/>
          <w:b/>
        </w:rPr>
        <w:t xml:space="preserve">Opatření byla realizována v rámci projektu </w:t>
      </w:r>
      <w:r>
        <w:rPr>
          <w:rFonts w:ascii="Arial" w:eastAsia="Arial" w:hAnsi="Arial" w:cs="Arial"/>
          <w:b/>
        </w:rPr>
        <w:t>LIFE České středohoří (LIFE16 NAT/CZ/000639).“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3.6 Daňový doklad (faktura) vystavený zhotovitelem je splatný do 30 kalendářních dnů po jeho obdržení objednatelem. Objednatel může daňový doklad (fakturu) vrátit do data jeho splatnosti, pokud obsahuje nesprá</w:t>
      </w:r>
      <w:r>
        <w:rPr>
          <w:rFonts w:ascii="Arial" w:eastAsia="Arial" w:hAnsi="Arial" w:cs="Arial"/>
        </w:rPr>
        <w:t>vné nebo neúplné náležitosti či údaje. Lhůta splatnosti počne běžet doručením opraveného a bezvadného daňového dokladu (faktury). V případě, že ve lhůtě splatnosti nedojde k přidělení finančních prostředků ze státního rozpočtu na účet objednatele, prodlužu</w:t>
      </w:r>
      <w:r>
        <w:rPr>
          <w:rFonts w:ascii="Arial" w:eastAsia="Arial" w:hAnsi="Arial" w:cs="Arial"/>
        </w:rPr>
        <w:t>je se lhůta splatnosti na 60 dnů od obdržení daňového dokladu (faktury) a objednatel v tomto případě není až do uplynutí této lhůty v prodlení.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 xml:space="preserve">3.7 Smluvní strany se dohodly, že objednatel nebude poskytovat zálohové platby. </w:t>
      </w:r>
    </w:p>
    <w:p w:rsidR="00B75E86" w:rsidRDefault="0036177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</w:rPr>
        <w:t>IV.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Doba a místo plnění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4.1 Zho</w:t>
      </w:r>
      <w:r>
        <w:rPr>
          <w:rFonts w:ascii="Arial" w:eastAsia="Arial" w:hAnsi="Arial" w:cs="Arial"/>
        </w:rPr>
        <w:t xml:space="preserve">tovitel se zavazuje provést dílo a předat jej objednateli nejpozději do: </w:t>
      </w:r>
      <w:r>
        <w:rPr>
          <w:rFonts w:ascii="Arial" w:eastAsia="Arial" w:hAnsi="Arial" w:cs="Arial"/>
          <w:b/>
        </w:rPr>
        <w:t>20. 11. 2020</w:t>
      </w:r>
      <w:r>
        <w:rPr>
          <w:rFonts w:ascii="Arial" w:eastAsia="Arial" w:hAnsi="Arial" w:cs="Arial"/>
        </w:rPr>
        <w:t>.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4.2 Pokud zhotovitel dokončí dílo před dohodnutým termínem, zavazuje se objednatel, že převezme dílo i v dřívějším nabídnutém termínu, pokud bude bez vad a nedodělků.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>3 Místem plnění je p. p. č. 112, 113/1, 113/2, 125, 131, 132, 133, 134, 136/14, 136/15, 190/2, 190/3, 190/5, 190/6, 190/7, 191, 195/1, 196, 192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k. ú. Mrsklesy.</w:t>
      </w:r>
    </w:p>
    <w:p w:rsidR="00B75E86" w:rsidRDefault="0036177E">
      <w:pPr>
        <w:spacing w:before="240" w:after="24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V. Další ujednání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5.1 Zhotovitel je povinen provést dílo v kvalitě, formě a obsahu, které vyžadu</w:t>
      </w:r>
      <w:r>
        <w:rPr>
          <w:rFonts w:ascii="Arial" w:eastAsia="Arial" w:hAnsi="Arial" w:cs="Arial"/>
        </w:rPr>
        <w:t>je tato smlouva a která je obvyklá pro díla obdobného typu. Zhotovitel je povinen po celou dobu provádění díla dbát pokynů objednatele.</w:t>
      </w:r>
    </w:p>
    <w:p w:rsidR="00B75E86" w:rsidRDefault="0036177E">
      <w:pPr>
        <w:keepLines/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 Objednatel je oprávněn kontrolovat provádění díla. Zjistí-li objednatel, že zhotovitel provádí dílo v rozporu se svý</w:t>
      </w:r>
      <w:r>
        <w:rPr>
          <w:rFonts w:ascii="Arial" w:eastAsia="Arial" w:hAnsi="Arial" w:cs="Arial"/>
        </w:rPr>
        <w:t>mi povinnostmi, je oprávněn zhotovitele na tuto skutečnost upozornit a dožadovat se provádění díla řádným způsobem. Jestliže tak zhotovitel neučiní ani ve lhůtě mu k tomu poskytnuté, je objednatel oprávněn od této smlouvy odstoupit doručením písemného odst</w:t>
      </w:r>
      <w:r>
        <w:rPr>
          <w:rFonts w:ascii="Arial" w:eastAsia="Arial" w:hAnsi="Arial" w:cs="Arial"/>
        </w:rPr>
        <w:t>oupení zhotoviteli.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5.3 Na činnosti dle této smlouvy se vztahuje také správní akt - Opatření obecné povahy č. 2 Agentury ochrany přírody a krajiny, č. j. SR/0150/US/2018-2 ze dne 14. 3. 2019, účinné ode dne 29. 3. 2019 (dále jen “Výjimka”), která je veřejn</w:t>
      </w:r>
      <w:r>
        <w:rPr>
          <w:rFonts w:ascii="Arial" w:eastAsia="Arial" w:hAnsi="Arial" w:cs="Arial"/>
        </w:rPr>
        <w:t xml:space="preserve">ě dostupná na webových stránkách objednatele: </w:t>
      </w:r>
      <w:hyperlink r:id="rId9">
        <w:r>
          <w:rPr>
            <w:rFonts w:ascii="Arial" w:eastAsia="Arial" w:hAnsi="Arial" w:cs="Arial"/>
            <w:color w:val="0000FF"/>
            <w:u w:val="single"/>
          </w:rPr>
          <w:t>https://portal.nature.cz/publik_syst/files/oop_mngmonvyj.pdf</w:t>
        </w:r>
      </w:hyperlink>
      <w:r>
        <w:rPr>
          <w:rFonts w:ascii="Arial" w:eastAsia="Arial" w:hAnsi="Arial" w:cs="Arial"/>
        </w:rPr>
        <w:t xml:space="preserve"> a kterou je </w:t>
      </w:r>
      <w:r>
        <w:rPr>
          <w:rFonts w:ascii="Arial" w:eastAsia="Arial" w:hAnsi="Arial" w:cs="Arial"/>
        </w:rPr>
        <w:br/>
        <w:t xml:space="preserve">pro zhotovitele dáno veřejnoprávní povolení k realizaci </w:t>
      </w:r>
      <w:r>
        <w:rPr>
          <w:rFonts w:ascii="Arial" w:eastAsia="Arial" w:hAnsi="Arial" w:cs="Arial"/>
        </w:rPr>
        <w:t xml:space="preserve">činností, které jsou předmětem </w:t>
      </w:r>
      <w:r>
        <w:rPr>
          <w:rFonts w:ascii="Arial" w:eastAsia="Arial" w:hAnsi="Arial" w:cs="Arial"/>
        </w:rPr>
        <w:br/>
        <w:t>této smlouvy na úseku zákona č. 114/1992 Sb., o ochraně přírody a krajiny, v platném znění. Zhotovitel prohlašuje, že byl s obsahem Výjimky v plném znění seznámen a jeho obsahu porozuměl. Zhotovitel se zavazuje dodržovat veš</w:t>
      </w:r>
      <w:r>
        <w:rPr>
          <w:rFonts w:ascii="Arial" w:eastAsia="Arial" w:hAnsi="Arial" w:cs="Arial"/>
        </w:rPr>
        <w:t xml:space="preserve">keré podmínky stanovené Výjimkou. </w:t>
      </w:r>
      <w:r>
        <w:rPr>
          <w:rFonts w:ascii="Arial" w:eastAsia="Arial" w:hAnsi="Arial" w:cs="Arial"/>
        </w:rPr>
        <w:br/>
        <w:t>V případě spolehlivého prokázání porušení podmínek Výjimky se zhotovitel zavazuje nést veškerou odpovědnost a důsledky takového jednání výlučně na své náklady (zejména zjednání nápravy, event. podle pokynů příslušného org</w:t>
      </w:r>
      <w:r>
        <w:rPr>
          <w:rFonts w:ascii="Arial" w:eastAsia="Arial" w:hAnsi="Arial" w:cs="Arial"/>
        </w:rPr>
        <w:t>ánu ochrany přírody); v případě, že by byla jakákoliv sankce nebo jiné náhradní plnění pravomocně uděleno v důsledku porušení této povinnosti jednáním zhotovitele (současně nebo výlučně) objednateli, zavazuje se zhotovitel tuto sankci nebo náklady na výkon</w:t>
      </w:r>
      <w:r>
        <w:rPr>
          <w:rFonts w:ascii="Arial" w:eastAsia="Arial" w:hAnsi="Arial" w:cs="Arial"/>
        </w:rPr>
        <w:t xml:space="preserve"> nepeněžitého náhradního plnění uhradit objednateli nejpozději do 1 měsíců od doručení písemné výzvy a vyčíslení škody ze strany objednatele.</w:t>
      </w:r>
    </w:p>
    <w:p w:rsidR="00B75E86" w:rsidRDefault="0036177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</w:rPr>
        <w:t>VI. Předání a převzetí díla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6.1 O předání díla vyhotoví smluvní strany předávací protokol podepsaný oběma smluvním</w:t>
      </w:r>
      <w:r>
        <w:rPr>
          <w:rFonts w:ascii="Arial" w:eastAsia="Arial" w:hAnsi="Arial" w:cs="Arial"/>
        </w:rPr>
        <w:t>i stranami. Objednatel není povinen převzít dílo vykazující byť drobné vady či nedodělky.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 xml:space="preserve">6.2 Objednatel má právo převzít i dílo, které vykazuje drobné vady a nedodělky, které samy o sobě ani ve spojení s jinými nebrání řádnému užívaní díla. V tom případě </w:t>
      </w:r>
      <w:r>
        <w:rPr>
          <w:rFonts w:ascii="Arial" w:eastAsia="Arial" w:hAnsi="Arial" w:cs="Arial"/>
        </w:rPr>
        <w:t>je zhotovitel povinen odstranit tyto vady a nedodělky v termínu stanoveném objednatelem uvedeném v předávacím protokolu.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6.3 V případě, že dílo nebude v termínu provedení díla dokončeno, aniž by důvod nedokončení díla ležel na straně objednatele, má objedn</w:t>
      </w:r>
      <w:r>
        <w:rPr>
          <w:rFonts w:ascii="Arial" w:eastAsia="Arial" w:hAnsi="Arial" w:cs="Arial"/>
        </w:rPr>
        <w:t xml:space="preserve">atel právo převzít částečně provedené dílo a od zbytku plnění bez dalšího odstoupit. Odstoupení podle věty první vyznačí objednatel v předávacím protokolu. Strany souhlasně prohlašují, že písemným vyznačením odstoupení v předávacím protokolu se odstoupení </w:t>
      </w:r>
      <w:r>
        <w:rPr>
          <w:rFonts w:ascii="Arial" w:eastAsia="Arial" w:hAnsi="Arial" w:cs="Arial"/>
        </w:rPr>
        <w:t>podle věty první považuje za doručené zhotoviteli.</w:t>
      </w:r>
    </w:p>
    <w:p w:rsidR="00B75E86" w:rsidRDefault="0036177E">
      <w:pPr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</w:rPr>
        <w:t>VII. Odpovědnost za vady</w:t>
      </w:r>
    </w:p>
    <w:p w:rsidR="00B75E86" w:rsidRDefault="0036177E">
      <w:pPr>
        <w:keepLines/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7.1 Zhotovitel odpovídá za vady, jež má dílo v době jeho předání objednateli, byť se vady projeví až později.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7.2 Objednatel je povinen případné vady písemně reklamovat u zhotovite</w:t>
      </w:r>
      <w:r>
        <w:rPr>
          <w:rFonts w:ascii="Arial" w:eastAsia="Arial" w:hAnsi="Arial" w:cs="Arial"/>
        </w:rPr>
        <w:t>le bez zbytečného odkladu po jejich zjištění. V reklamaci musí být vady popsány a uvedeno, jak se projevují. Dále v reklamaci objednatel uvede, v jaké lhůtě požaduje odstranění vad.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 xml:space="preserve">7.3 Objednatel je oprávněn požadovat odstranění vady opravou, poskytnutím </w:t>
      </w:r>
      <w:r>
        <w:rPr>
          <w:rFonts w:ascii="Arial" w:eastAsia="Arial" w:hAnsi="Arial" w:cs="Arial"/>
        </w:rPr>
        <w:t xml:space="preserve">náhradního plnění nebo slevu ze sjednané ceny. Výběr způsobu nápravy náleží objednateli. 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lastRenderedPageBreak/>
        <w:t>7.4 Zhotovitel poskytuje na dílo záruku v délce 6 měsíců. V případě, že délka záruky činí 0 měsíců, ustanovení článků 7.5 až 7.7 pozbývají platnosti.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7.5 Záruční doba</w:t>
      </w:r>
      <w:r>
        <w:rPr>
          <w:rFonts w:ascii="Arial" w:eastAsia="Arial" w:hAnsi="Arial" w:cs="Arial"/>
        </w:rPr>
        <w:t xml:space="preserve"> počíná běžet dnem předání kompletního a bezvadného díla, popř. dnem odstranění poslední vady a nedodělku uvedeného v předávacím protokolu.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7.6 Objednatel je povinen vady, na které se vztahuje záruka, písemně reklamovat u zhotovitele bez zbytečného odkladu</w:t>
      </w:r>
      <w:r>
        <w:rPr>
          <w:rFonts w:ascii="Arial" w:eastAsia="Arial" w:hAnsi="Arial" w:cs="Arial"/>
        </w:rPr>
        <w:t xml:space="preserve"> po jejich zjištění. V reklamaci musí být vady popsány a uvedeno, jak se projevují. Dále v reklamaci objednatel uvede, v jaké lhůtě požaduje odstranění vad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7.7 Objednatel je oprávněn požadovat odstranění vady, na kterou se vztahuje záruka, opravou, poskytn</w:t>
      </w:r>
      <w:r>
        <w:rPr>
          <w:rFonts w:ascii="Arial" w:eastAsia="Arial" w:hAnsi="Arial" w:cs="Arial"/>
        </w:rPr>
        <w:t>utím náhradního plnění nebo slevu ze sjednané ceny. Výběr způsobu nápravy náleží objednateli.</w:t>
      </w:r>
    </w:p>
    <w:p w:rsidR="00B75E86" w:rsidRDefault="0036177E">
      <w:pPr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</w:rPr>
        <w:t>VIII. Sankce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8.1 V případě, že zhotovitel nedodrží termín provedení díla anebo termín odstranění vad a nedodělků uvedený v předávacím protokolu, je zhotovitel pov</w:t>
      </w:r>
      <w:r>
        <w:rPr>
          <w:rFonts w:ascii="Arial" w:eastAsia="Arial" w:hAnsi="Arial" w:cs="Arial"/>
        </w:rPr>
        <w:t xml:space="preserve">inen zaplatit objednateli smluvní pokutu ve výši 0,1 % z ceny díla bez DPH za každý den prodlení. 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 xml:space="preserve">8.2 V případě prodlení objednatele s placením vyúčtování je objednatel povinen zaplatit zhotoviteli úrok z prodlení z nezaplacené částky v zákonné výši. </w:t>
      </w:r>
      <w:r>
        <w:rPr>
          <w:rFonts w:ascii="Arial" w:eastAsia="Arial" w:hAnsi="Arial" w:cs="Arial"/>
        </w:rPr>
        <w:t>Nárok na úrok z prodlení vzniká zhotoviteli až po 30 dnech po splatnosti daňového dokladu.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8.3 Ustanoveními o smluvní pokutě není dotčen nárok oprávněné smluvní strany požadovat náhradu škody v plném rozsahu.</w:t>
      </w:r>
    </w:p>
    <w:p w:rsidR="00B75E86" w:rsidRDefault="0036177E">
      <w:pPr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</w:rPr>
        <w:t>IX. Závěrečná ustanovení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 xml:space="preserve">9.1 Tato smlouva může </w:t>
      </w:r>
      <w:r>
        <w:rPr>
          <w:rFonts w:ascii="Arial" w:eastAsia="Arial" w:hAnsi="Arial" w:cs="Arial"/>
        </w:rPr>
        <w:t xml:space="preserve">být měněna a doplňována pouze písemnými a očíslovanými dodatky podepsanými oprávněnými zástupci smluvních stran, není-li v této smlouvě uvedeno jinak. 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9.2 Ve věcech touto smlouvou neupravených se řídí práva a povinnosti smluvních stran příslušnými ustanov</w:t>
      </w:r>
      <w:r>
        <w:rPr>
          <w:rFonts w:ascii="Arial" w:eastAsia="Arial" w:hAnsi="Arial" w:cs="Arial"/>
        </w:rPr>
        <w:t xml:space="preserve">eními zákona č. 89/2012 Sb., občanského zákoníku. 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9.3 Zhotovitel bere na vědomí, že tato smlouva může podléhat povinnosti jejího uveřejnění podle zákona č. 340/2015 Sb., o zvláštních podmínkách účinnosti některých smluv, uveřejňování těchto smluv a o regi</w:t>
      </w:r>
      <w:r>
        <w:rPr>
          <w:rFonts w:ascii="Arial" w:eastAsia="Arial" w:hAnsi="Arial" w:cs="Arial"/>
        </w:rPr>
        <w:t>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</w:t>
      </w:r>
      <w:r>
        <w:rPr>
          <w:rFonts w:ascii="Arial" w:eastAsia="Arial" w:hAnsi="Arial" w:cs="Arial"/>
        </w:rPr>
        <w:t>jněním či zpřístupněním podle výše uvedených právních předpisů souhlasí.</w:t>
      </w:r>
    </w:p>
    <w:p w:rsidR="00B75E86" w:rsidRDefault="0036177E">
      <w:pPr>
        <w:keepLines/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9.4 Tato smlouva je vyhotovena ve třech stejnopisech, z nichž každý má platnost originálu. Dva stejnopisy obdrží objednatel, jeden stejnopis obdrží zhotovitel. </w:t>
      </w:r>
    </w:p>
    <w:p w:rsidR="00B75E86" w:rsidRDefault="0036177E">
      <w:pPr>
        <w:keepLines/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9.5 Smlouva nabývá pla</w:t>
      </w:r>
      <w:r>
        <w:rPr>
          <w:rFonts w:ascii="Arial" w:eastAsia="Arial" w:hAnsi="Arial" w:cs="Arial"/>
        </w:rPr>
        <w:t xml:space="preserve">tnosti dnem podpisu oprávněným zástupcem poslední smluvní strany. Smlouva nabývá účinnosti dnem podpisu oprávněným zástupcem poslední smluvní strany. Podléhá-li však tato smlouva povinnosti uveřejnění prostřednictvím registru smluv podle zákona o registru </w:t>
      </w:r>
      <w:r>
        <w:rPr>
          <w:rFonts w:ascii="Arial" w:eastAsia="Arial" w:hAnsi="Arial" w:cs="Arial"/>
        </w:rPr>
        <w:t>smluv, nenabude účinnosti dříve, než dnem jejího uveřejnění. Smluvní strany se budou vzájemně o nabytí účinnosti smlouvy neprodleně informovat.</w:t>
      </w:r>
    </w:p>
    <w:p w:rsidR="00B75E86" w:rsidRDefault="0036177E">
      <w:pPr>
        <w:keepLines/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9.6 Obě smluvní strany prohlašují, že se seznámily s celým textem smlouvy včetně jejich příloh a s celým obsahem</w:t>
      </w:r>
      <w:r>
        <w:rPr>
          <w:rFonts w:ascii="Arial" w:eastAsia="Arial" w:hAnsi="Arial" w:cs="Arial"/>
        </w:rPr>
        <w:t xml:space="preserve"> smlouvy souhlasí. Současně prohlašují, že tato smlouva nebyla sjednána v tísni ani za jinak nápadně nevýhodných podmínek.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9.7 Nedílnou součástí smlouvy jsou tyto přílohy: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Příloha č. 1 – položkový rozpočet</w:t>
      </w:r>
    </w:p>
    <w:p w:rsidR="00B75E86" w:rsidRDefault="0036177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Příloha č. 2 – mapový zákres</w:t>
      </w:r>
    </w:p>
    <w:tbl>
      <w:tblPr>
        <w:tblW w:w="9099" w:type="dxa"/>
        <w:jc w:val="center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819"/>
        <w:gridCol w:w="681"/>
        <w:gridCol w:w="257"/>
        <w:gridCol w:w="567"/>
        <w:gridCol w:w="1264"/>
        <w:gridCol w:w="193"/>
        <w:gridCol w:w="547"/>
        <w:gridCol w:w="1557"/>
        <w:gridCol w:w="257"/>
        <w:gridCol w:w="602"/>
        <w:gridCol w:w="337"/>
        <w:gridCol w:w="1062"/>
        <w:gridCol w:w="453"/>
        <w:gridCol w:w="503"/>
      </w:tblGrid>
      <w:tr w:rsidR="00B75E86">
        <w:trPr>
          <w:jc w:val="center"/>
        </w:trPr>
        <w:tc>
          <w:tcPr>
            <w:tcW w:w="1498" w:type="dxa"/>
            <w:gridSpan w:val="2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  <w:r>
              <w:rPr>
                <w:rFonts w:ascii="Arial" w:eastAsia="Arial" w:hAnsi="Arial" w:cs="Arial"/>
              </w:rPr>
              <w:t>V Litoměřicích</w:t>
            </w:r>
          </w:p>
        </w:tc>
        <w:tc>
          <w:tcPr>
            <w:tcW w:w="257" w:type="dxa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024" w:type="dxa"/>
            <w:gridSpan w:val="3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Dne</w:t>
            </w:r>
            <w:r>
              <w:rPr>
                <w:rFonts w:ascii="Arial" w:eastAsia="Arial" w:hAnsi="Arial" w:cs="Arial"/>
              </w:rPr>
              <w:t xml:space="preserve"> 9. 11. 2020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75E86" w:rsidRDefault="0024698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V Litomě</w:t>
            </w:r>
            <w:r w:rsidR="0036177E">
              <w:rPr>
                <w:rFonts w:ascii="Arial" w:eastAsia="Arial" w:hAnsi="Arial" w:cs="Arial"/>
              </w:rPr>
              <w:t>řicích</w:t>
            </w:r>
          </w:p>
        </w:tc>
        <w:tc>
          <w:tcPr>
            <w:tcW w:w="257" w:type="dxa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Dne 9. 11. 2020</w:t>
            </w:r>
          </w:p>
        </w:tc>
        <w:tc>
          <w:tcPr>
            <w:tcW w:w="453" w:type="dxa"/>
            <w:tcMar>
              <w:left w:w="10" w:type="dxa"/>
              <w:right w:w="10" w:type="dxa"/>
            </w:tcMar>
          </w:tcPr>
          <w:p w:rsidR="00B75E86" w:rsidRDefault="00B75E86"/>
        </w:tc>
        <w:tc>
          <w:tcPr>
            <w:tcW w:w="503" w:type="dxa"/>
            <w:tcMar>
              <w:left w:w="10" w:type="dxa"/>
              <w:right w:w="10" w:type="dxa"/>
            </w:tcMar>
          </w:tcPr>
          <w:p w:rsidR="00B75E86" w:rsidRDefault="00B75E86"/>
        </w:tc>
      </w:tr>
      <w:tr w:rsidR="00B75E86">
        <w:trPr>
          <w:jc w:val="center"/>
        </w:trPr>
        <w:tc>
          <w:tcPr>
            <w:tcW w:w="3586" w:type="dxa"/>
            <w:gridSpan w:val="5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53" w:type="dxa"/>
            <w:tcMar>
              <w:left w:w="10" w:type="dxa"/>
              <w:right w:w="10" w:type="dxa"/>
            </w:tcMar>
          </w:tcPr>
          <w:p w:rsidR="00B75E86" w:rsidRDefault="00B75E86"/>
        </w:tc>
        <w:tc>
          <w:tcPr>
            <w:tcW w:w="503" w:type="dxa"/>
            <w:tcMar>
              <w:left w:w="10" w:type="dxa"/>
              <w:right w:w="10" w:type="dxa"/>
            </w:tcMar>
          </w:tcPr>
          <w:p w:rsidR="00B75E86" w:rsidRDefault="00B75E86"/>
        </w:tc>
      </w:tr>
      <w:tr w:rsidR="00B75E86">
        <w:trPr>
          <w:trHeight w:val="1"/>
          <w:jc w:val="center"/>
        </w:trPr>
        <w:tc>
          <w:tcPr>
            <w:tcW w:w="3586" w:type="dxa"/>
            <w:gridSpan w:val="5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                  Objednatel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                               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                         Zhotovitel</w:t>
            </w:r>
          </w:p>
        </w:tc>
        <w:tc>
          <w:tcPr>
            <w:tcW w:w="453" w:type="dxa"/>
            <w:tcMar>
              <w:left w:w="10" w:type="dxa"/>
              <w:right w:w="10" w:type="dxa"/>
            </w:tcMar>
          </w:tcPr>
          <w:p w:rsidR="00B75E86" w:rsidRDefault="00B75E86"/>
        </w:tc>
        <w:tc>
          <w:tcPr>
            <w:tcW w:w="503" w:type="dxa"/>
            <w:tcMar>
              <w:left w:w="10" w:type="dxa"/>
              <w:right w:w="10" w:type="dxa"/>
            </w:tcMar>
          </w:tcPr>
          <w:p w:rsidR="00B75E86" w:rsidRDefault="00B75E86"/>
        </w:tc>
      </w:tr>
      <w:tr w:rsidR="00B75E86">
        <w:trPr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57" w:type="dxa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53" w:type="dxa"/>
            <w:tcMar>
              <w:left w:w="10" w:type="dxa"/>
              <w:right w:w="10" w:type="dxa"/>
            </w:tcMar>
          </w:tcPr>
          <w:p w:rsidR="00B75E86" w:rsidRDefault="00B75E86"/>
        </w:tc>
        <w:tc>
          <w:tcPr>
            <w:tcW w:w="503" w:type="dxa"/>
            <w:tcMar>
              <w:left w:w="10" w:type="dxa"/>
              <w:right w:w="10" w:type="dxa"/>
            </w:tcMar>
          </w:tcPr>
          <w:p w:rsidR="00B75E86" w:rsidRDefault="00B75E86"/>
        </w:tc>
      </w:tr>
      <w:tr w:rsidR="00B75E86">
        <w:trPr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57" w:type="dxa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53" w:type="dxa"/>
            <w:tcMar>
              <w:left w:w="10" w:type="dxa"/>
              <w:right w:w="10" w:type="dxa"/>
            </w:tcMar>
          </w:tcPr>
          <w:p w:rsidR="00B75E86" w:rsidRDefault="00B75E86"/>
        </w:tc>
        <w:tc>
          <w:tcPr>
            <w:tcW w:w="503" w:type="dxa"/>
            <w:tcMar>
              <w:left w:w="10" w:type="dxa"/>
              <w:right w:w="10" w:type="dxa"/>
            </w:tcMar>
          </w:tcPr>
          <w:p w:rsidR="00B75E86" w:rsidRDefault="00B75E86"/>
        </w:tc>
      </w:tr>
      <w:tr w:rsidR="00B75E86">
        <w:trPr>
          <w:trHeight w:val="1"/>
          <w:jc w:val="center"/>
        </w:trPr>
        <w:tc>
          <w:tcPr>
            <w:tcW w:w="3586" w:type="dxa"/>
            <w:gridSpan w:val="5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Ing. Vladislav Kopecký </w:t>
            </w:r>
            <w:r>
              <w:rPr>
                <w:rFonts w:ascii="Arial" w:eastAsia="Arial" w:hAnsi="Arial" w:cs="Arial"/>
                <w:b/>
              </w:rPr>
              <w:br/>
              <w:t xml:space="preserve">vedoucí oddělení péče o </w:t>
            </w:r>
            <w:r>
              <w:rPr>
                <w:rFonts w:ascii="Arial" w:eastAsia="Arial" w:hAnsi="Arial" w:cs="Arial"/>
                <w:b/>
              </w:rPr>
              <w:t>přírodu a krajinu - RP SCHKO České středohoří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:rsidR="00B75E86" w:rsidRDefault="003617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VR servise trades s.r.o.</w:t>
            </w:r>
            <w:r>
              <w:rPr>
                <w:rFonts w:ascii="Arial" w:eastAsia="Arial" w:hAnsi="Arial" w:cs="Arial"/>
                <w:b/>
              </w:rPr>
              <w:br/>
              <w:t>Václav Roller, jednatel</w:t>
            </w:r>
          </w:p>
        </w:tc>
        <w:tc>
          <w:tcPr>
            <w:tcW w:w="453" w:type="dxa"/>
            <w:tcMar>
              <w:left w:w="10" w:type="dxa"/>
              <w:right w:w="10" w:type="dxa"/>
            </w:tcMar>
          </w:tcPr>
          <w:p w:rsidR="00B75E86" w:rsidRDefault="00B75E86"/>
        </w:tc>
        <w:tc>
          <w:tcPr>
            <w:tcW w:w="503" w:type="dxa"/>
            <w:tcMar>
              <w:left w:w="10" w:type="dxa"/>
              <w:right w:w="10" w:type="dxa"/>
            </w:tcMar>
          </w:tcPr>
          <w:p w:rsidR="00B75E86" w:rsidRDefault="00B75E86"/>
        </w:tc>
      </w:tr>
      <w:tr w:rsidR="00B75E86">
        <w:trPr>
          <w:trHeight w:val="1"/>
          <w:jc w:val="center"/>
        </w:trPr>
        <w:tc>
          <w:tcPr>
            <w:tcW w:w="818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8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57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64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57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57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02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52" w:type="dxa"/>
            <w:gridSpan w:val="3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03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75E86" w:rsidRDefault="003617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:rsidR="00B75E86" w:rsidRDefault="00B75E86">
      <w:pPr>
        <w:spacing w:before="10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5E86" w:rsidRDefault="00B75E86">
      <w:pPr>
        <w:jc w:val="both"/>
        <w:rPr>
          <w:rFonts w:ascii="Calibri" w:eastAsia="Calibri" w:hAnsi="Calibri" w:cs="Calibri"/>
        </w:rPr>
      </w:pPr>
    </w:p>
    <w:p w:rsidR="00B75E86" w:rsidRDefault="00B75E86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B75E86">
      <w:foot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7E" w:rsidRDefault="0036177E" w:rsidP="0036177E">
      <w:pPr>
        <w:spacing w:after="0" w:line="240" w:lineRule="auto"/>
      </w:pPr>
      <w:r>
        <w:separator/>
      </w:r>
    </w:p>
  </w:endnote>
  <w:endnote w:type="continuationSeparator" w:id="0">
    <w:p w:rsidR="0036177E" w:rsidRDefault="0036177E" w:rsidP="0036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735369"/>
      <w:docPartObj>
        <w:docPartGallery w:val="Page Numbers (Bottom of Page)"/>
        <w:docPartUnique/>
      </w:docPartObj>
    </w:sdtPr>
    <w:sdtContent>
      <w:p w:rsidR="0036177E" w:rsidRDefault="003617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6177E" w:rsidRDefault="003617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7E" w:rsidRDefault="0036177E" w:rsidP="0036177E">
      <w:pPr>
        <w:spacing w:after="0" w:line="240" w:lineRule="auto"/>
      </w:pPr>
      <w:r>
        <w:separator/>
      </w:r>
    </w:p>
  </w:footnote>
  <w:footnote w:type="continuationSeparator" w:id="0">
    <w:p w:rsidR="0036177E" w:rsidRDefault="0036177E" w:rsidP="00361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5E86"/>
    <w:rsid w:val="00246983"/>
    <w:rsid w:val="0036177E"/>
    <w:rsid w:val="00B7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297C4-856F-477F-B559-133E2045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5B6E98"/>
    <w:pPr>
      <w:spacing w:after="160" w:line="259" w:lineRule="auto"/>
      <w:textAlignment w:val="baseline"/>
    </w:pPr>
    <w:rPr>
      <w:rFonts w:eastAsia="SimSun" w:cs="Tahoma"/>
      <w:kern w:val="2"/>
    </w:rPr>
  </w:style>
  <w:style w:type="paragraph" w:styleId="Zhlav">
    <w:name w:val="header"/>
    <w:basedOn w:val="Normln"/>
    <w:link w:val="ZhlavChar"/>
    <w:uiPriority w:val="99"/>
    <w:unhideWhenUsed/>
    <w:rsid w:val="00361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77E"/>
  </w:style>
  <w:style w:type="paragraph" w:styleId="Zpat">
    <w:name w:val="footer"/>
    <w:basedOn w:val="Normln"/>
    <w:link w:val="ZpatChar"/>
    <w:uiPriority w:val="99"/>
    <w:unhideWhenUsed/>
    <w:rsid w:val="00361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ortal.nature.cz/publik_syst/files/oop_mngmonvyj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1796</Words>
  <Characters>10603</Characters>
  <Application>Microsoft Office Word</Application>
  <DocSecurity>0</DocSecurity>
  <Lines>88</Lines>
  <Paragraphs>24</Paragraphs>
  <ScaleCrop>false</ScaleCrop>
  <Company/>
  <LinksUpToDate>false</LinksUpToDate>
  <CharactersWithSpaces>12375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Gabriela Kubátová</cp:lastModifiedBy>
  <cp:revision>10</cp:revision>
  <dcterms:created xsi:type="dcterms:W3CDTF">2020-11-02T06:56:00Z</dcterms:created>
  <dcterms:modified xsi:type="dcterms:W3CDTF">2020-11-19T10:26:00Z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