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3F3E1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LICENČNÍ SMLOUVA </w:t>
      </w:r>
    </w:p>
    <w:p w14:paraId="274FDFEC" w14:textId="77777777" w:rsidR="00C53F6E" w:rsidRDefault="00C53F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3E4E2AC4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</w:rPr>
        <w:t xml:space="preserve">Centrum experimentálního divadla, </w:t>
      </w:r>
      <w:proofErr w:type="spellStart"/>
      <w:r>
        <w:rPr>
          <w:b/>
        </w:rPr>
        <w:t>p.o</w:t>
      </w:r>
      <w:proofErr w:type="spellEnd"/>
      <w:r>
        <w:rPr>
          <w:b/>
        </w:rPr>
        <w:t xml:space="preserve">. </w:t>
      </w:r>
    </w:p>
    <w:p w14:paraId="57CB665C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b/>
          <w:color w:val="000000"/>
        </w:rPr>
      </w:pPr>
      <w:r>
        <w:rPr>
          <w:b/>
        </w:rPr>
        <w:t>Divadlo Husa na provázku</w:t>
      </w:r>
    </w:p>
    <w:p w14:paraId="3122CA5D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t xml:space="preserve">           </w:t>
      </w:r>
      <w:r>
        <w:rPr>
          <w:color w:val="000000"/>
        </w:rPr>
        <w:t xml:space="preserve">se sídlem </w:t>
      </w:r>
      <w:r>
        <w:t>Zelný trh 294/9, 602 00 Brno</w:t>
      </w:r>
    </w:p>
    <w:p w14:paraId="1EBA1DB1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 xml:space="preserve">: </w:t>
      </w:r>
      <w:r>
        <w:t>00400921</w:t>
      </w:r>
    </w:p>
    <w:p w14:paraId="6511C2D9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DIČ CZ00400921</w:t>
      </w:r>
    </w:p>
    <w:p w14:paraId="756CFDD5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t xml:space="preserve">OR: spis. značka </w:t>
      </w:r>
      <w:proofErr w:type="spellStart"/>
      <w:r>
        <w:t>Pr</w:t>
      </w:r>
      <w:proofErr w:type="spellEnd"/>
      <w:r>
        <w:t>. 29, Krajský soud v Brně</w:t>
      </w:r>
    </w:p>
    <w:p w14:paraId="7152D002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zastoupená Miroslavem </w:t>
      </w:r>
      <w:proofErr w:type="spellStart"/>
      <w:r>
        <w:rPr>
          <w:color w:val="000000"/>
        </w:rPr>
        <w:t>Oščatkou</w:t>
      </w:r>
      <w:proofErr w:type="spellEnd"/>
      <w:r>
        <w:rPr>
          <w:color w:val="000000"/>
        </w:rPr>
        <w:t xml:space="preserve">, ředitel CED, </w:t>
      </w:r>
      <w:proofErr w:type="spell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</w:p>
    <w:p w14:paraId="1102D1D8" w14:textId="3CB6CDEA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  <w:highlight w:val="yellow"/>
        </w:rPr>
      </w:pPr>
      <w:r>
        <w:rPr>
          <w:color w:val="000000"/>
        </w:rPr>
        <w:t xml:space="preserve">Číslo účtu: </w:t>
      </w:r>
      <w:r w:rsidR="00821830">
        <w:rPr>
          <w:color w:val="000000"/>
        </w:rPr>
        <w:t>XXX</w:t>
      </w:r>
    </w:p>
    <w:p w14:paraId="3438FB59" w14:textId="0CA0DA8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highlight w:val="yellow"/>
        </w:rPr>
      </w:pPr>
      <w:r>
        <w:t xml:space="preserve">Plátce DPH: </w:t>
      </w:r>
      <w:r w:rsidR="00821830">
        <w:t>XXX</w:t>
      </w:r>
    </w:p>
    <w:p w14:paraId="090F61CC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Divadlo</w:t>
      </w:r>
      <w:r>
        <w:rPr>
          <w:color w:val="000000"/>
        </w:rPr>
        <w:t>”)</w:t>
      </w:r>
    </w:p>
    <w:p w14:paraId="2E278822" w14:textId="77777777" w:rsidR="00C53F6E" w:rsidRDefault="00C53F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</w:p>
    <w:p w14:paraId="3D9E3C98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a</w:t>
      </w:r>
    </w:p>
    <w:p w14:paraId="7A876E8E" w14:textId="77777777" w:rsidR="00C53F6E" w:rsidRDefault="00C53F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</w:p>
    <w:p w14:paraId="38A92789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Dramox</w:t>
      </w:r>
      <w:proofErr w:type="spellEnd"/>
      <w:r>
        <w:rPr>
          <w:b/>
          <w:color w:val="000000"/>
        </w:rPr>
        <w:t xml:space="preserve"> s.r.o.</w:t>
      </w:r>
    </w:p>
    <w:p w14:paraId="4C5E869D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</w:rPr>
      </w:pPr>
      <w:r>
        <w:rPr>
          <w:color w:val="000000"/>
        </w:rPr>
        <w:t xml:space="preserve">se sídlem Bucharova 2928/14a, Stodůlky, 158 00 Praha 5, </w:t>
      </w:r>
      <w:proofErr w:type="spellStart"/>
      <w:r>
        <w:rPr>
          <w:color w:val="000000"/>
        </w:rPr>
        <w:t>Aspira</w:t>
      </w:r>
      <w:proofErr w:type="spellEnd"/>
      <w:r>
        <w:rPr>
          <w:color w:val="000000"/>
        </w:rPr>
        <w:t xml:space="preserve"> Business Centre</w:t>
      </w:r>
    </w:p>
    <w:p w14:paraId="615F18B0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>: 09222103</w:t>
      </w:r>
    </w:p>
    <w:p w14:paraId="1843081C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společnost zapsaná v obchodním rejstříku vedeném Městským soudem v Praze, oddíl C, vložka 332337</w:t>
      </w:r>
    </w:p>
    <w:p w14:paraId="5E9ACA6D" w14:textId="578D37AC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zastoupená </w:t>
      </w:r>
      <w:r w:rsidR="00821830">
        <w:rPr>
          <w:color w:val="000000"/>
        </w:rPr>
        <w:t>XXX</w:t>
      </w:r>
      <w:r>
        <w:rPr>
          <w:color w:val="000000"/>
        </w:rPr>
        <w:t>, jednatelem</w:t>
      </w:r>
    </w:p>
    <w:p w14:paraId="73549089" w14:textId="4AC8B48E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</w:pPr>
      <w:r>
        <w:t xml:space="preserve">Plátce DPH: </w:t>
      </w:r>
      <w:r w:rsidR="00821830">
        <w:t>XXX</w:t>
      </w:r>
    </w:p>
    <w:p w14:paraId="0E39C8EA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proofErr w:type="spellStart"/>
      <w:r>
        <w:rPr>
          <w:b/>
          <w:color w:val="000000"/>
        </w:rPr>
        <w:t>Dramox</w:t>
      </w:r>
      <w:proofErr w:type="spellEnd"/>
      <w:r>
        <w:rPr>
          <w:color w:val="000000"/>
        </w:rPr>
        <w:t>”)</w:t>
      </w:r>
    </w:p>
    <w:p w14:paraId="59DD7746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(Divadlo 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dále </w:t>
      </w:r>
      <w:r>
        <w:t>společně</w:t>
      </w:r>
      <w:r>
        <w:rPr>
          <w:color w:val="000000"/>
        </w:rPr>
        <w:t xml:space="preserve"> též jako „</w:t>
      </w:r>
      <w:r>
        <w:rPr>
          <w:b/>
          <w:color w:val="000000"/>
        </w:rPr>
        <w:t>Smluvní strany</w:t>
      </w:r>
      <w:r>
        <w:rPr>
          <w:color w:val="000000"/>
        </w:rPr>
        <w:t>“, každý samostatně jako „</w:t>
      </w:r>
      <w:r>
        <w:rPr>
          <w:b/>
          <w:color w:val="000000"/>
        </w:rPr>
        <w:t>Smluvní strana</w:t>
      </w:r>
      <w:r>
        <w:rPr>
          <w:color w:val="000000"/>
        </w:rPr>
        <w:t>“)</w:t>
      </w:r>
    </w:p>
    <w:p w14:paraId="20359019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</w:rPr>
      </w:pPr>
      <w:r>
        <w:rPr>
          <w:color w:val="000000"/>
        </w:rPr>
        <w:t xml:space="preserve">Smluvní strany dohodly níže uvedeného dne, měsíce a roku uzavřít tuto licenční smlouvou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§2358 a násl. zákona č. 89/2012 Sb., občanský zákoník, ve znění pozdějších předpisů („</w:t>
      </w:r>
      <w:r>
        <w:rPr>
          <w:b/>
          <w:color w:val="000000"/>
        </w:rPr>
        <w:t>Smlouva</w:t>
      </w:r>
      <w:r>
        <w:rPr>
          <w:color w:val="000000"/>
        </w:rPr>
        <w:t>“).</w:t>
      </w:r>
    </w:p>
    <w:p w14:paraId="41E5D67D" w14:textId="77777777" w:rsidR="00C53F6E" w:rsidRDefault="00E52CA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PŘEDMĚT SMLOUVY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9625739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Předmětem této Smlouvy je závazek Divadla poskytnout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oprávnění k užití záznamu divadelní</w:t>
      </w:r>
      <w:r>
        <w:t>ho</w:t>
      </w:r>
      <w:r>
        <w:rPr>
          <w:color w:val="000000"/>
        </w:rPr>
        <w:t xml:space="preserve"> představení, kter</w:t>
      </w:r>
      <w:r>
        <w:t>é</w:t>
      </w:r>
      <w:r>
        <w:rPr>
          <w:color w:val="000000"/>
        </w:rPr>
        <w:t xml:space="preserve"> j</w:t>
      </w:r>
      <w:r>
        <w:t>e</w:t>
      </w:r>
      <w:r>
        <w:rPr>
          <w:color w:val="000000"/>
        </w:rPr>
        <w:t xml:space="preserve"> blíže specifikován</w:t>
      </w:r>
      <w:r>
        <w:t>o</w:t>
      </w:r>
      <w:r>
        <w:rPr>
          <w:color w:val="000000"/>
        </w:rPr>
        <w:t xml:space="preserve"> v t</w:t>
      </w:r>
      <w:r>
        <w:t>éto smlouvě a</w:t>
      </w:r>
      <w:r>
        <w:rPr>
          <w:color w:val="000000"/>
        </w:rPr>
        <w:t> Příloze č. 1 této Smlouvy („</w:t>
      </w:r>
      <w:r>
        <w:rPr>
          <w:b/>
          <w:color w:val="000000"/>
        </w:rPr>
        <w:t>Popis představení</w:t>
      </w:r>
      <w:r>
        <w:rPr>
          <w:color w:val="000000"/>
        </w:rPr>
        <w:t xml:space="preserve">“) a tomu odpovídající závazek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zaplatit za poskytnutí oprávnění odměnu dle této Smlouvy.</w:t>
      </w:r>
    </w:p>
    <w:p w14:paraId="3CB8E911" w14:textId="77777777" w:rsidR="00C53F6E" w:rsidRDefault="00E52CA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PRÁVA A POVINNOSTI SMLUVNÍ STRAN</w:t>
      </w:r>
    </w:p>
    <w:p w14:paraId="1CD21655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proofErr w:type="spellStart"/>
      <w:r>
        <w:lastRenderedPageBreak/>
        <w:t>Dramox</w:t>
      </w:r>
      <w:proofErr w:type="spellEnd"/>
      <w:r>
        <w:t xml:space="preserve"> je povinen zajistit všechna autorská práva jimiž disponuje inscenační tým, pro zamýšlené užití záznamu inscenace.</w:t>
      </w:r>
    </w:p>
    <w:p w14:paraId="42AF7699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předá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hudební sestavu obsahující seznam použité hudby s uvedením výrobce, názvů skladeb, přesné délky každé užité hudební nahrávky, jmen a příjmení autorů hudby a textu a interpretů a seznam zvukových záznamů vydaných k obchodním účelům, pokud </w:t>
      </w:r>
      <w:r>
        <w:t xml:space="preserve">jsou </w:t>
      </w:r>
      <w:r>
        <w:rPr>
          <w:color w:val="000000"/>
        </w:rPr>
        <w:t>v představení užity, a u každého uvede název a druh snímku, rok výroby, výrobce, identifikační číslo nosiče, jména a příjmení umělců a názvy uměleckých souborů a užitou stopáž. Divadlo prohlašuje, že ke všem hudebním záznamům užitým v představení zajistil potřebná oprávnění a hlášení kolektivním správcům.</w:t>
      </w:r>
    </w:p>
    <w:p w14:paraId="60659C81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poskytne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seznam účinkujících a osob zúčastněných na představení, které je předmětem Záznamu pro účely vytvoření titulkové listiny. V závěrečných titulcích se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zavazuje uvést text: „Vyrobeno ve spolupráci s Divadlem Husa na provázku“. </w:t>
      </w:r>
    </w:p>
    <w:p w14:paraId="3531E14C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informuje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o skutečnosti, že se v představení, které má být předmětem Záznamu, vyskytuje skrytá reklama nebo produkty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 2 odst. 1 písm. </w:t>
      </w:r>
      <w:proofErr w:type="gramStart"/>
      <w:r>
        <w:rPr>
          <w:color w:val="000000"/>
        </w:rPr>
        <w:t>f- h</w:t>
      </w:r>
      <w:proofErr w:type="gramEnd"/>
      <w:r>
        <w:rPr>
          <w:color w:val="000000"/>
        </w:rPr>
        <w:t xml:space="preserve">) zákona č. 132/2010 Sb., o audiovizuálních mediálních službách na vyžádání. </w:t>
      </w:r>
    </w:p>
    <w:p w14:paraId="559CF1AE" w14:textId="77777777" w:rsidR="00C53F6E" w:rsidRDefault="00E52CA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LICENCE</w:t>
      </w:r>
    </w:p>
    <w:p w14:paraId="00F08E96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poskytuje touto Smlouvou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územně a časově neomezené nevýhradní</w:t>
      </w:r>
      <w:r>
        <w:rPr>
          <w:color w:val="000000"/>
        </w:rPr>
        <w:t xml:space="preserve"> svolení (s výjimkou práv povinně kolektivně spravovaných) k užití Záznamu po dobu autorskoprávní ochrany bez množstevního omezení, a k užití zvukového záznamu (nebo jeho části) užitého jako složka představení při užití zvukově obrazového záznamu představení, a to v následujícím rozsahu („</w:t>
      </w:r>
      <w:r>
        <w:rPr>
          <w:b/>
          <w:color w:val="000000"/>
        </w:rPr>
        <w:t>Licence</w:t>
      </w:r>
      <w:r>
        <w:rPr>
          <w:color w:val="000000"/>
        </w:rPr>
        <w:t>“):</w:t>
      </w:r>
    </w:p>
    <w:p w14:paraId="279AB2F6" w14:textId="77777777" w:rsidR="00C53F6E" w:rsidRDefault="00E52CA9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rozmnožováním (§13 AZ)</w:t>
      </w:r>
    </w:p>
    <w:p w14:paraId="74D0501F" w14:textId="77777777" w:rsidR="00C53F6E" w:rsidRDefault="00E52CA9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rozšiřováním originálu nebo rozmnoženiny (§14 AZ)</w:t>
      </w:r>
    </w:p>
    <w:p w14:paraId="769EA8E9" w14:textId="77777777" w:rsidR="00C53F6E" w:rsidRDefault="00E52CA9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pronájmem originálu nebo rozmnoženiny (§ 15 AZ)</w:t>
      </w:r>
    </w:p>
    <w:p w14:paraId="3FC2ED9A" w14:textId="77777777" w:rsidR="00C53F6E" w:rsidRDefault="00E52CA9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půjčováním originálu nebo rozmnoženiny (§ 16 AZ a § 12 odst. 5 AZ)</w:t>
      </w:r>
    </w:p>
    <w:p w14:paraId="342209A2" w14:textId="77777777" w:rsidR="00C53F6E" w:rsidRDefault="00E52CA9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sdělováním veřejnosti dle § 18 a násl. AZ (s výjimkou kolektivně spravovaných práv), a to zejména: </w:t>
      </w:r>
    </w:p>
    <w:p w14:paraId="18D859C8" w14:textId="77777777" w:rsidR="00C53F6E" w:rsidRDefault="00E52CA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živým provozováním a jeho přenosem (§ 19 Z);</w:t>
      </w:r>
    </w:p>
    <w:p w14:paraId="3EF8FD89" w14:textId="77777777" w:rsidR="00C53F6E" w:rsidRDefault="00E52CA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provozováním ze záznamu a jeho přenosem (§ 20 AZ);</w:t>
      </w:r>
    </w:p>
    <w:p w14:paraId="71234D3A" w14:textId="77777777" w:rsidR="00C53F6E" w:rsidRDefault="00E52CA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zpřístupňováním způsobem, že kdokoli může mít k němu přístup na místě a v čase podle své vlastní volby, zejména počítačovou nebo obdobnou sítí, včetně užití způsobem video on </w:t>
      </w:r>
      <w:proofErr w:type="spellStart"/>
      <w:r>
        <w:rPr>
          <w:color w:val="000000"/>
        </w:rPr>
        <w:t>demand</w:t>
      </w:r>
      <w:proofErr w:type="spellEnd"/>
      <w:r>
        <w:rPr>
          <w:color w:val="000000"/>
        </w:rPr>
        <w:t xml:space="preserve"> nebo prostřednictvím mobilních sítí (§ 18 odst. 2 AZ);</w:t>
      </w:r>
    </w:p>
    <w:p w14:paraId="7256AFD1" w14:textId="77777777" w:rsidR="00C53F6E" w:rsidRDefault="00E52CA9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k užití zvukové složky nebo její části k rozmnožování, rozšiřování, půjčování originálu nebo rozmnoženiny a ke sdělování veřejnosti sdělováním počítačovou nebo obdobnou sítí;</w:t>
      </w:r>
    </w:p>
    <w:p w14:paraId="02A3C79C" w14:textId="77777777" w:rsidR="00C53F6E" w:rsidRDefault="00E52CA9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oprávnění opatřit Záznam logem nebo jiným označením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>;</w:t>
      </w:r>
    </w:p>
    <w:p w14:paraId="602D67B0" w14:textId="77777777" w:rsidR="00C53F6E" w:rsidRDefault="00E52CA9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oprávnění k propagování Záznamu všemi obvyklými způsoby, zejména v prostředí internetu na webových stránkách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a profilech na sociálních sítích, v tištěných médiích, bez územního omezení;</w:t>
      </w:r>
    </w:p>
    <w:p w14:paraId="48EFB7BC" w14:textId="77777777" w:rsidR="00C53F6E" w:rsidRDefault="00E52CA9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oprávnění k zařazení Záznamu nebo jeho částí beze změny, po zpracování či jiné změně, samostatně nebo ve spojení s jiným autorskými díly do jiného audiovizuálního díla (upoutávky) nebo do díla souborného a užít Záznam při užití těchto děl ve výše uvedeném rozsahu;</w:t>
      </w:r>
    </w:p>
    <w:p w14:paraId="2F688E40" w14:textId="77777777" w:rsidR="00C53F6E" w:rsidRDefault="00E52CA9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oprávnění k poskytnutí výše uvedených licencí zcela nebo zčásti jakékoliv třetí osobě</w:t>
      </w:r>
      <w:r>
        <w:t xml:space="preserve"> pouze s výhradním schválením Divadla v písemné formě.</w:t>
      </w:r>
    </w:p>
    <w:p w14:paraId="5925F6C1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Oprávnění dle článku 3 je pro účetní a daňové účely oceněno částkou 1.000 Kč. Pro vyloučení pochybností Smluvní strany uvádějí, že tato částka není předmětem úhrady a s ohledem na náklady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související s pořízením Záznamu je částka adekvátní.</w:t>
      </w:r>
    </w:p>
    <w:p w14:paraId="20782B39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se ve smlouvách dle článku 3.2 zavazuje uvést, že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není povinen licenci využít.</w:t>
      </w:r>
    </w:p>
    <w:p w14:paraId="3D1EECC5" w14:textId="77777777" w:rsidR="00C53F6E" w:rsidRDefault="00E52CA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bookmarkStart w:id="1" w:name="_heading=h.1fob9te" w:colFirst="0" w:colLast="0"/>
      <w:bookmarkEnd w:id="1"/>
      <w:r>
        <w:rPr>
          <w:b/>
          <w:color w:val="000000"/>
        </w:rPr>
        <w:t>ODMĚNA</w:t>
      </w:r>
    </w:p>
    <w:p w14:paraId="666E0AD8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se zavazuje hradit Divadlu podílovou odměnu za poskytnutí Licence ve formě čtvrtletních plateb.</w:t>
      </w:r>
    </w:p>
    <w:p w14:paraId="26A2F309" w14:textId="18A5F032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</w:pPr>
      <w:r>
        <w:t xml:space="preserve">Strany se dohodly, že podílová odměna Divadla za poskytnutí licence činí </w:t>
      </w:r>
      <w:r w:rsidR="00821830">
        <w:t>XX</w:t>
      </w:r>
      <w:r>
        <w:t xml:space="preserve"> % (slovy: </w:t>
      </w:r>
      <w:r w:rsidR="00821830">
        <w:t>XX</w:t>
      </w:r>
      <w:r>
        <w:t xml:space="preserve"> procenta) z podílu určeného k vyplácení odměn, který činí celkem </w:t>
      </w:r>
      <w:r w:rsidR="00821830">
        <w:t>XX</w:t>
      </w:r>
      <w:r>
        <w:t xml:space="preserve"> % (slovy: </w:t>
      </w:r>
      <w:r w:rsidR="00821830">
        <w:t>XX</w:t>
      </w:r>
      <w:r>
        <w:t xml:space="preserve"> procent) z ceny služby společnosti </w:t>
      </w:r>
      <w:proofErr w:type="spellStart"/>
      <w:r>
        <w:t>Dramox</w:t>
      </w:r>
      <w:proofErr w:type="spellEnd"/>
      <w:r>
        <w:t xml:space="preserve"> zaplacené každým uživatelem, a která se vypočítá podle </w:t>
      </w:r>
      <w:r>
        <w:rPr>
          <w:color w:val="000000"/>
        </w:rPr>
        <w:t>následujícího vzorce:</w:t>
      </w:r>
    </w:p>
    <w:p w14:paraId="54526FB1" w14:textId="48805B9C" w:rsidR="00C53F6E" w:rsidRDefault="00821830" w:rsidP="00821830">
      <w:pPr>
        <w:rPr>
          <w:b/>
        </w:rPr>
      </w:pPr>
      <w:r>
        <w:rPr>
          <w:b/>
          <w:noProof/>
        </w:rPr>
        <w:t>XXX</w:t>
      </w:r>
    </w:p>
    <w:p w14:paraId="7993C7D1" w14:textId="77777777" w:rsidR="00C53F6E" w:rsidRDefault="00E52CA9">
      <w:pPr>
        <w:rPr>
          <w:b/>
        </w:rPr>
      </w:pPr>
      <w:r>
        <w:rPr>
          <w:b/>
        </w:rPr>
        <w:t>Slovní ukázka výpočtu na modelu jednoho zákazníka:</w:t>
      </w:r>
    </w:p>
    <w:p w14:paraId="277210B7" w14:textId="1BF4E0B1" w:rsidR="00C53F6E" w:rsidRDefault="00821830">
      <w:pPr>
        <w:rPr>
          <w:i/>
        </w:rPr>
      </w:pPr>
      <w:r>
        <w:rPr>
          <w:i/>
        </w:rPr>
        <w:t>XXX</w:t>
      </w:r>
    </w:p>
    <w:p w14:paraId="5DF7FFFD" w14:textId="77777777" w:rsidR="00C53F6E" w:rsidRDefault="00E52C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" w:name="_heading=h.m07g7s5qryz0" w:colFirst="0" w:colLast="0"/>
      <w:bookmarkEnd w:id="2"/>
      <w:r>
        <w:rPr>
          <w:color w:val="000000"/>
        </w:rPr>
        <w:t>Za zhlédnutí je považováno kontinuální sledování Záznamu delší než 10 minut.</w:t>
      </w:r>
    </w:p>
    <w:p w14:paraId="0E248001" w14:textId="77777777" w:rsidR="00C53F6E" w:rsidRDefault="00C53F6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14:paraId="294F59D7" w14:textId="77777777" w:rsidR="00C53F6E" w:rsidRDefault="00E52C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" w:name="_heading=h.v9i7k9lcin2w" w:colFirst="0" w:colLast="0"/>
      <w:bookmarkEnd w:id="3"/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je povinen vždy nejpozději do 15 dnů po konci příslušného kalendářního čtvrtletí informovat Divadlo o celkovém počtu zhlédnutí Záznamů a provést vyúčtování licenční odměny. V případě, že vyúčtování nebude ze strany Divadla rozporováno ve lhůtě do 7 dnů od jeho doručení, považuje se za schválené 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vyplatí odměnu dle vyúčtování nejpozději do 14 dnů. </w:t>
      </w:r>
    </w:p>
    <w:p w14:paraId="64365EC7" w14:textId="77777777" w:rsidR="00C53F6E" w:rsidRDefault="00C53F6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4DED1AF" w14:textId="77777777" w:rsidR="00C53F6E" w:rsidRDefault="00E52C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4" w:name="_heading=h.11cd0hfu29gq" w:colFirst="0" w:colLast="0"/>
      <w:bookmarkEnd w:id="4"/>
      <w:r>
        <w:rPr>
          <w:color w:val="000000"/>
        </w:rPr>
        <w:t xml:space="preserve">Odměna je splatná bezhotovostním převodem na bankovní účet Divadla na základě příjmové faktury (daňového dokladu) vystavené </w:t>
      </w:r>
      <w:r>
        <w:t xml:space="preserve">Divadlem </w:t>
      </w:r>
      <w:r>
        <w:rPr>
          <w:color w:val="000000"/>
        </w:rPr>
        <w:t>na částku odpovídající vyúčtování dle článku 4.</w:t>
      </w:r>
      <w:r>
        <w:t>4.</w:t>
      </w:r>
    </w:p>
    <w:p w14:paraId="431EF4CD" w14:textId="77777777" w:rsidR="00C53F6E" w:rsidRDefault="00C53F6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5A2283A" w14:textId="77777777" w:rsidR="00C53F6E" w:rsidRDefault="00E52C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Divadlo prohlašuje, že pro výše uvedený Předmět smlouvy se jedná o vedlejší činnost a z toho titulu, je povinno odvádět DPH. </w:t>
      </w:r>
      <w:proofErr w:type="spellStart"/>
      <w:r>
        <w:t>Dramox</w:t>
      </w:r>
      <w:proofErr w:type="spellEnd"/>
      <w:r>
        <w:t xml:space="preserve"> prohlašuje, že k vypočtené odměně dle čl. 4.2 bude připočítávat DPH podle aktuálně platné legislativy.</w:t>
      </w:r>
    </w:p>
    <w:p w14:paraId="08EE050D" w14:textId="77777777" w:rsidR="00C53F6E" w:rsidRDefault="00C53F6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E447E3E" w14:textId="77777777" w:rsidR="00C53F6E" w:rsidRDefault="00E52C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 případě prodlení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 úhradou licenční odměny je Divadlo oprávněno požadovat zaplacení úroku z prodlení v zákonné výši za každý započatý den prodlení.</w:t>
      </w:r>
    </w:p>
    <w:p w14:paraId="14ABE50C" w14:textId="77777777" w:rsidR="00C53F6E" w:rsidRDefault="00C53F6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17EACA4" w14:textId="77777777" w:rsidR="00C53F6E" w:rsidRDefault="00E52C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PROPAGACE</w:t>
      </w:r>
    </w:p>
    <w:p w14:paraId="13B1DAA9" w14:textId="77777777" w:rsidR="00C53F6E" w:rsidRDefault="00C53F6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14:paraId="291E3906" w14:textId="77777777" w:rsidR="00C53F6E" w:rsidRDefault="00E52C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Divadlo se zavazuje k poskytnutí součinnosti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v rámci PR aktivit a </w:t>
      </w:r>
      <w:proofErr w:type="spellStart"/>
      <w:r>
        <w:rPr>
          <w:color w:val="000000"/>
        </w:rPr>
        <w:t>promotion</w:t>
      </w:r>
      <w:proofErr w:type="spellEnd"/>
      <w:r>
        <w:rPr>
          <w:color w:val="000000"/>
        </w:rPr>
        <w:t xml:space="preserve"> k Záznamu, zejména sdílením příspěvků s upoutávkou na Záznam, ve spolupráci s 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a v rozsahu a znění dodaném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na oficiálních profilech Divadla na sociálních sítích.</w:t>
      </w:r>
    </w:p>
    <w:p w14:paraId="077E546E" w14:textId="77777777" w:rsidR="00C53F6E" w:rsidRDefault="00C53F6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14:paraId="1479AABF" w14:textId="77777777" w:rsidR="00C53F6E" w:rsidRDefault="00E52C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KOMUNIKACE SMLUVNÍCH STRAN</w:t>
      </w:r>
    </w:p>
    <w:p w14:paraId="1A98305D" w14:textId="77777777" w:rsidR="00C53F6E" w:rsidRDefault="00C53F6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14:paraId="5B84247E" w14:textId="77777777" w:rsidR="00C53F6E" w:rsidRDefault="00E52C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Veškerá komunikace o předmětu této Smlouvy musí probíhat písemně. Za písemnou formu se pro účely této smlouvy považuje i forma elektronická. V naléhavých případech a v případech, kdy nemá komunikace Smluvních stran vliv na plnění této Smlouvy, mohou strany komunikovat telefonicky. </w:t>
      </w:r>
    </w:p>
    <w:p w14:paraId="7778E544" w14:textId="77777777" w:rsidR="00C53F6E" w:rsidRDefault="00C53F6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14:paraId="74004654" w14:textId="77777777" w:rsidR="00C53F6E" w:rsidRDefault="00E52C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Smluvní strany se budou neprodleně informovat o všech skutečnostech významných pro plnění této Smlouvy. </w:t>
      </w:r>
    </w:p>
    <w:p w14:paraId="4997029F" w14:textId="77777777" w:rsidR="00C53F6E" w:rsidRDefault="00C53F6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14C5C36" w14:textId="77777777" w:rsidR="00C53F6E" w:rsidRDefault="00E52C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Veškeré písemnosti dle této Smlouvy se doručují na adresu Smluvních stran uvedenou v záhlaví této Smlouvy, běžnou korespondenci je možné zasílat rovněž prostřednictvím elektronické pošty (e-mailem) mezi osobami definovanými níže.</w:t>
      </w:r>
    </w:p>
    <w:p w14:paraId="297A6447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lastRenderedPageBreak/>
        <w:t>Strany se zavazují komunikovat prostřednictvím odpovědných osob:</w:t>
      </w:r>
    </w:p>
    <w:p w14:paraId="5765B768" w14:textId="4DA52AC9" w:rsidR="00C53F6E" w:rsidRDefault="00E52CA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Za Divadlo: </w:t>
      </w:r>
      <w:r w:rsidR="00821830">
        <w:rPr>
          <w:color w:val="000000"/>
        </w:rPr>
        <w:t>XXX</w:t>
      </w:r>
      <w:r>
        <w:rPr>
          <w:color w:val="000000"/>
        </w:rPr>
        <w:t xml:space="preserve">, e-mail: </w:t>
      </w:r>
      <w:r w:rsidR="00821830">
        <w:rPr>
          <w:color w:val="000000"/>
        </w:rPr>
        <w:t>xxx</w:t>
      </w:r>
      <w:r>
        <w:rPr>
          <w:color w:val="000000"/>
        </w:rPr>
        <w:t>@</w:t>
      </w:r>
      <w:r w:rsidR="00821830">
        <w:rPr>
          <w:color w:val="000000"/>
        </w:rPr>
        <w:t>xxx</w:t>
      </w:r>
      <w:r>
        <w:rPr>
          <w:color w:val="000000"/>
        </w:rPr>
        <w:t>.cz, tel: +420 </w:t>
      </w:r>
      <w:r w:rsidR="00821830">
        <w:rPr>
          <w:color w:val="000000"/>
        </w:rPr>
        <w:t>XXX</w:t>
      </w:r>
    </w:p>
    <w:p w14:paraId="7439F2C9" w14:textId="322A97FD" w:rsidR="00C53F6E" w:rsidRDefault="00E52CA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: </w:t>
      </w:r>
      <w:r w:rsidR="00821830">
        <w:rPr>
          <w:color w:val="000000"/>
        </w:rPr>
        <w:t>XXX</w:t>
      </w:r>
      <w:r>
        <w:rPr>
          <w:color w:val="000000"/>
        </w:rPr>
        <w:t xml:space="preserve">, e-mail: </w:t>
      </w:r>
      <w:r w:rsidR="00821830">
        <w:rPr>
          <w:color w:val="000000"/>
        </w:rPr>
        <w:t>xxx</w:t>
      </w:r>
      <w:r>
        <w:rPr>
          <w:color w:val="000000"/>
        </w:rPr>
        <w:t>@</w:t>
      </w:r>
      <w:r w:rsidR="00821830">
        <w:rPr>
          <w:color w:val="000000"/>
        </w:rPr>
        <w:t>xxx</w:t>
      </w:r>
      <w:r>
        <w:rPr>
          <w:color w:val="000000"/>
        </w:rPr>
        <w:t xml:space="preserve">.cz, tel: +420 </w:t>
      </w:r>
      <w:r w:rsidR="00821830">
        <w:rPr>
          <w:color w:val="000000"/>
        </w:rPr>
        <w:t>XXX</w:t>
      </w:r>
    </w:p>
    <w:p w14:paraId="6E23F956" w14:textId="77777777" w:rsidR="00C53F6E" w:rsidRDefault="00E52CA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>DŮVĚRNOST A MLČENLIVOST</w:t>
      </w:r>
      <w:r>
        <w:rPr>
          <w:b/>
          <w:color w:val="000000"/>
          <w:sz w:val="24"/>
          <w:szCs w:val="24"/>
        </w:rPr>
        <w:t xml:space="preserve"> </w:t>
      </w:r>
    </w:p>
    <w:p w14:paraId="75213CDE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Smluvní strany se zavazují, že o této Smlouvě a všech důvěrných a utajovaných informacích a skutečnostech týkajících se druhého z nich, o kterých se dozví v souvislosti s touto Smlouvou, budou zachovávat absolutní mlčenlivost, s výjimkou informací, které bude nezbytné poskytnout třetím osobám za účelem řádného splnění této Smlouvy, plnění zákonných povinností či uplatnění práv z této Smlouvy. </w:t>
      </w:r>
    </w:p>
    <w:p w14:paraId="17290EC1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Za důvěrné a utajované informace ve smyslu tohoto článku se považují veškeré informace, jejichž zveřejnění by mohlo druhé Smluvní straně způsobit škodu nebo poškodit její pověst, a to bez ohledu na to, zda tvoří součást obchodního tajemství. </w:t>
      </w:r>
    </w:p>
    <w:p w14:paraId="1D27D091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Povinnost mlčenlivosti ve shora uvedeném rozsahu se nevztahuje na informace, které se týkají Smluvní strany, která je sama o sobě zveřejní, na informace, které se stanou obecně známými, aniž by v takovou známost vešly v důsledku porušení závazku mlčenlivosti výše sjednaného, a na informace obecně známé.</w:t>
      </w:r>
    </w:p>
    <w:p w14:paraId="1B7904F9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Bez ohledu na výše uvedené, Smluvní strany souhlasí s tím, aby tato smlouva byla zveřejněna v rámci evidence smluv přístupné dle zákona 106/1999 Sb., o svobodném přístupu k informacím, ve znění pozdějších předpisů, a dle zákona č. 340/2015 Sb., o registru smluv, ve znění pozdějších předpisů, a to v rozsahu nezbytném ke splnění zákonné povinnosti, zejména údaje o Smluvních stranách, předmětu Smlouvy a datu jejího uzavření. Zveřejnění informací ke splnění zákonné povinnosti není považováno za porušení mlčenlivosti. Jestliže tato Smlouva bude podléhat povinnosti uveřejnění podle zákona o registru smluv, Smluvní strany se dohodly, že osobní údaje a vzorec pro výpočet odměny dle článku 4 budou znečitelněny v souladu se zákonem o registru smluv jako obchodní tajemství, jehož utajení Smluvní strany odpovídajícím způsobem zajišťují.</w:t>
      </w:r>
    </w:p>
    <w:p w14:paraId="0CC08413" w14:textId="77777777" w:rsidR="00C53F6E" w:rsidRDefault="00E52CA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VYŠŠÍ MOC</w:t>
      </w:r>
    </w:p>
    <w:p w14:paraId="5097888B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Pokud kterákoli ze Smluvních stran nebude schopna dodržovat nebo plnit jakoukoli povinnost podle této Smlouvy a tato neschopnost bude výhradně způsobena tzv. vyšší mocí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2913 odst. 2 zákona č. 89/2012 Sb., občanský zákoník, je povinna takovou skutečnost druhé Smluvní straně neprodleně oznámit. Smluvní strany se zavazují bez ohledu na jejich práva a povinnosti vyplývající z platných právních předpisů nebo z této Smlouvy hledat řešení vzniklé situace v dobré víře a v případě potřeby uzavřít dodatek/dodatky k této Smlouvě, vše s cílem zajistit řádné plnění této Smlouvy.</w:t>
      </w:r>
    </w:p>
    <w:p w14:paraId="605E2CD0" w14:textId="77777777" w:rsidR="00C53F6E" w:rsidRDefault="00E52CA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17EA0C1E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Tato smlouva nabývá platnosti a účinnosti dnem jejího podpisu oběma Smluvními stranami. </w:t>
      </w:r>
    </w:p>
    <w:p w14:paraId="08DFAB9A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lastRenderedPageBreak/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07C6D81D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Tato smlouva představuje úplnou dohodu Smluvních stran o předmětu této Smlouvy a nahrazuje veškerá případná předchozí ujednání Smluvních stran ohledně předmětu této Smlouvy. </w:t>
      </w:r>
    </w:p>
    <w:p w14:paraId="725D879B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Nedílnou součástí této Smlouvy jsou následující přílohy:</w:t>
      </w:r>
    </w:p>
    <w:p w14:paraId="0928328F" w14:textId="77777777" w:rsidR="00C53F6E" w:rsidRDefault="00E52CA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Příloha č. 1 – Popis představení</w:t>
      </w:r>
    </w:p>
    <w:p w14:paraId="66284521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Tato smlouva se vyhotovuje ve dvou stejnopisech s platností originálu a každá Smluvní strana obdrží po jednom vyhotovení.</w:t>
      </w:r>
    </w:p>
    <w:p w14:paraId="31F0F122" w14:textId="77777777" w:rsidR="00C53F6E" w:rsidRDefault="00E52CA9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Smluvní strany prohlašují, že si smlouvu přečetly, s jejím zněním souhlasí a na důkaz toho připojují níže, jakož i na každou stranu této smlouvy své podpisy.</w:t>
      </w:r>
    </w:p>
    <w:p w14:paraId="035F7FA5" w14:textId="77777777" w:rsidR="00C53F6E" w:rsidRDefault="00C53F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01B08BB3" w14:textId="77777777" w:rsidR="00C53F6E" w:rsidRDefault="00C53F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tbl>
      <w:tblPr>
        <w:tblStyle w:val="a2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C53F6E" w14:paraId="47272B48" w14:textId="77777777">
        <w:tc>
          <w:tcPr>
            <w:tcW w:w="4530" w:type="dxa"/>
          </w:tcPr>
          <w:p w14:paraId="6CEC12B0" w14:textId="77777777" w:rsidR="00C53F6E" w:rsidRDefault="00E52CA9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 _________ dne ____/____ 2020</w:t>
            </w:r>
          </w:p>
          <w:p w14:paraId="3795E0C7" w14:textId="77777777" w:rsidR="00C53F6E" w:rsidRDefault="00E5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Centrum experimentálního divadla,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p.o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., Divadlo Husa na provázku</w:t>
            </w:r>
          </w:p>
        </w:tc>
        <w:tc>
          <w:tcPr>
            <w:tcW w:w="4530" w:type="dxa"/>
          </w:tcPr>
          <w:p w14:paraId="0BDCFFFF" w14:textId="77777777" w:rsidR="00C53F6E" w:rsidRDefault="00E5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_____ dne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__/__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2020</w:t>
            </w:r>
          </w:p>
          <w:p w14:paraId="38559AFA" w14:textId="77777777" w:rsidR="00C53F6E" w:rsidRDefault="00E5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Dramox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s.r.o.</w:t>
            </w:r>
          </w:p>
        </w:tc>
      </w:tr>
      <w:tr w:rsidR="00C53F6E" w14:paraId="7A0941F9" w14:textId="77777777">
        <w:tc>
          <w:tcPr>
            <w:tcW w:w="4530" w:type="dxa"/>
          </w:tcPr>
          <w:p w14:paraId="44B4476B" w14:textId="77777777" w:rsidR="00C53F6E" w:rsidRDefault="00C53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249AAD" w14:textId="77777777" w:rsidR="00C53F6E" w:rsidRDefault="00C53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4ED1A3" w14:textId="77777777" w:rsidR="00C53F6E" w:rsidRDefault="00E5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70CD3E8B" w14:textId="77777777" w:rsidR="00C53F6E" w:rsidRDefault="00E5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Miroslav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Oščatka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ředitel CED,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p.o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0CE53CA8" w14:textId="77777777" w:rsidR="00C53F6E" w:rsidRDefault="00C53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54AAB5" w14:textId="77777777" w:rsidR="00C53F6E" w:rsidRDefault="00C53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25CC01" w14:textId="77777777" w:rsidR="00C53F6E" w:rsidRDefault="00E5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1D100B92" w14:textId="59CBDD76" w:rsidR="00C53F6E" w:rsidRDefault="0082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XXX</w:t>
            </w:r>
            <w:r w:rsidR="00E52C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jednatel</w:t>
            </w:r>
          </w:p>
          <w:p w14:paraId="0B98A547" w14:textId="77777777" w:rsidR="00C53F6E" w:rsidRDefault="00C53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034DB9A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</w:rPr>
      </w:pPr>
      <w:r>
        <w:rPr>
          <w:b/>
          <w:color w:val="000000"/>
        </w:rPr>
        <w:lastRenderedPageBreak/>
        <w:t>Příloha č. 1</w:t>
      </w:r>
    </w:p>
    <w:p w14:paraId="16D97D63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Popis představení</w:t>
      </w:r>
    </w:p>
    <w:p w14:paraId="30ABFBA8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</w:rPr>
      </w:pPr>
      <w:r>
        <w:rPr>
          <w:color w:val="000000"/>
        </w:rPr>
        <w:t xml:space="preserve">Smluvní strany dohodly na poskytnutí licence </w:t>
      </w:r>
      <w:r>
        <w:t xml:space="preserve">k </w:t>
      </w:r>
      <w:proofErr w:type="spellStart"/>
      <w:r>
        <w:rPr>
          <w:color w:val="000000"/>
        </w:rPr>
        <w:t>následují</w:t>
      </w:r>
      <w:r>
        <w:t>mu</w:t>
      </w:r>
      <w:proofErr w:type="spellEnd"/>
      <w:r>
        <w:rPr>
          <w:color w:val="000000"/>
        </w:rPr>
        <w:t xml:space="preserve"> představení:</w:t>
      </w:r>
    </w:p>
    <w:p w14:paraId="50E23AD1" w14:textId="77777777" w:rsidR="00C53F6E" w:rsidRDefault="00E52CA9">
      <w:pPr>
        <w:keepNext/>
        <w:keepLines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Název díla: </w:t>
      </w:r>
      <w:proofErr w:type="spellStart"/>
      <w:r>
        <w:rPr>
          <w:b/>
          <w:color w:val="000000"/>
          <w:sz w:val="20"/>
          <w:szCs w:val="20"/>
        </w:rPr>
        <w:t>Raskolnikov</w:t>
      </w:r>
      <w:proofErr w:type="spellEnd"/>
      <w:r>
        <w:rPr>
          <w:b/>
          <w:color w:val="000000"/>
          <w:sz w:val="20"/>
          <w:szCs w:val="20"/>
        </w:rPr>
        <w:t xml:space="preserve"> – jeho zločin a jeho trest</w:t>
      </w:r>
    </w:p>
    <w:p w14:paraId="11F73527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Autor: Fjodor Michajlovič </w:t>
      </w:r>
      <w:proofErr w:type="spellStart"/>
      <w:r>
        <w:rPr>
          <w:color w:val="000000"/>
          <w:sz w:val="20"/>
          <w:szCs w:val="20"/>
        </w:rPr>
        <w:t>Dostojevskij</w:t>
      </w:r>
      <w:proofErr w:type="spellEnd"/>
    </w:p>
    <w:p w14:paraId="53BEC8BF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Dramatizace: Luboš Balák</w:t>
      </w:r>
    </w:p>
    <w:p w14:paraId="59282E56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Úprava: René von </w:t>
      </w:r>
      <w:proofErr w:type="spellStart"/>
      <w:r>
        <w:rPr>
          <w:color w:val="000000"/>
          <w:sz w:val="20"/>
          <w:szCs w:val="20"/>
        </w:rPr>
        <w:t>Ludowitz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7586891B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Režie: Vladimír Morávek</w:t>
      </w:r>
    </w:p>
    <w:p w14:paraId="4546D847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Scéna: Jan Štěpánek</w:t>
      </w:r>
    </w:p>
    <w:p w14:paraId="49E40537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Kostýmy: Kamila Polívková</w:t>
      </w:r>
    </w:p>
    <w:p w14:paraId="4BA8FEA0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Hudba: Petr Hromádka</w:t>
      </w:r>
    </w:p>
    <w:p w14:paraId="2D3D0C54" w14:textId="77777777" w:rsidR="00C53F6E" w:rsidRDefault="00E52C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Datum premiéry: 19. 12. 2003</w:t>
      </w:r>
    </w:p>
    <w:p w14:paraId="1A0EC1F1" w14:textId="77777777" w:rsidR="00C53F6E" w:rsidRDefault="00E52CA9">
      <w:pPr>
        <w:keepNext/>
        <w:keepLines/>
        <w:pBdr>
          <w:top w:val="nil"/>
          <w:left w:val="nil"/>
          <w:bottom w:val="single" w:sz="12" w:space="1" w:color="000000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Obsazení: Petr Jeništa, Jaroslava Pokorná, Alena Ambrová, Ivana Uhlířová, Kateřina Jebavá, Pavel Zatloukal, Ivana </w:t>
      </w:r>
      <w:proofErr w:type="spellStart"/>
      <w:r>
        <w:rPr>
          <w:color w:val="000000"/>
          <w:sz w:val="20"/>
          <w:szCs w:val="20"/>
        </w:rPr>
        <w:t>Hloužková</w:t>
      </w:r>
      <w:proofErr w:type="spellEnd"/>
      <w:r>
        <w:rPr>
          <w:color w:val="000000"/>
          <w:sz w:val="20"/>
          <w:szCs w:val="20"/>
        </w:rPr>
        <w:t xml:space="preserve">, Gabriela Štefanová, Vladimír Hauser, Jiří </w:t>
      </w:r>
      <w:proofErr w:type="spellStart"/>
      <w:r>
        <w:rPr>
          <w:color w:val="000000"/>
          <w:sz w:val="20"/>
          <w:szCs w:val="20"/>
        </w:rPr>
        <w:t>Vyorálek</w:t>
      </w:r>
      <w:proofErr w:type="spellEnd"/>
      <w:r>
        <w:rPr>
          <w:color w:val="000000"/>
          <w:sz w:val="20"/>
          <w:szCs w:val="20"/>
        </w:rPr>
        <w:t xml:space="preserve">, Michal Bumbálek, Filip </w:t>
      </w:r>
      <w:proofErr w:type="spellStart"/>
      <w:r>
        <w:rPr>
          <w:color w:val="000000"/>
          <w:sz w:val="20"/>
          <w:szCs w:val="20"/>
        </w:rPr>
        <w:t>Štipský</w:t>
      </w:r>
      <w:proofErr w:type="spellEnd"/>
      <w:r>
        <w:rPr>
          <w:color w:val="000000"/>
          <w:sz w:val="20"/>
          <w:szCs w:val="20"/>
        </w:rPr>
        <w:t xml:space="preserve">, Dita Kaplanová, Simona Peková, Eva Vrbková, Naděžda Kovářová, Kateřina </w:t>
      </w:r>
      <w:proofErr w:type="spellStart"/>
      <w:r>
        <w:rPr>
          <w:color w:val="000000"/>
          <w:sz w:val="20"/>
          <w:szCs w:val="20"/>
        </w:rPr>
        <w:t>Vinopalová</w:t>
      </w:r>
      <w:proofErr w:type="spellEnd"/>
      <w:r>
        <w:rPr>
          <w:color w:val="000000"/>
          <w:sz w:val="20"/>
          <w:szCs w:val="20"/>
        </w:rPr>
        <w:t>, Ester Povýšilová, Veronika Jančíková, Sára Šimáčková, Kateřina Ulrichová</w:t>
      </w:r>
    </w:p>
    <w:p w14:paraId="433302B5" w14:textId="77777777" w:rsidR="00C53F6E" w:rsidRDefault="00C53F6E">
      <w:pPr>
        <w:keepNext/>
        <w:keepLines/>
        <w:pBdr>
          <w:top w:val="nil"/>
          <w:left w:val="nil"/>
          <w:bottom w:val="single" w:sz="12" w:space="1" w:color="000000"/>
          <w:right w:val="nil"/>
          <w:between w:val="nil"/>
        </w:pBdr>
        <w:spacing w:before="240" w:after="120"/>
        <w:ind w:left="567" w:hanging="567"/>
        <w:jc w:val="both"/>
        <w:rPr>
          <w:sz w:val="20"/>
          <w:szCs w:val="20"/>
        </w:rPr>
      </w:pPr>
    </w:p>
    <w:p w14:paraId="16FBB086" w14:textId="77777777" w:rsidR="00C53F6E" w:rsidRDefault="00C53F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sz w:val="20"/>
          <w:szCs w:val="20"/>
        </w:rPr>
      </w:pPr>
    </w:p>
    <w:sectPr w:rsidR="00C53F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9F48D" w14:textId="77777777" w:rsidR="00655D1E" w:rsidRDefault="00655D1E">
      <w:pPr>
        <w:spacing w:after="0" w:line="240" w:lineRule="auto"/>
      </w:pPr>
      <w:r>
        <w:separator/>
      </w:r>
    </w:p>
  </w:endnote>
  <w:endnote w:type="continuationSeparator" w:id="0">
    <w:p w14:paraId="0A1ACFE6" w14:textId="77777777" w:rsidR="00655D1E" w:rsidRDefault="0065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7AF6" w14:textId="77777777" w:rsidR="00C53F6E" w:rsidRDefault="00E52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0A72">
      <w:rPr>
        <w:noProof/>
        <w:color w:val="000000"/>
      </w:rPr>
      <w:t>1</w:t>
    </w:r>
    <w:r>
      <w:rPr>
        <w:color w:val="000000"/>
      </w:rPr>
      <w:fldChar w:fldCharType="end"/>
    </w:r>
  </w:p>
  <w:p w14:paraId="4C252A53" w14:textId="77777777" w:rsidR="00C53F6E" w:rsidRDefault="00C53F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93E93" w14:textId="77777777" w:rsidR="00655D1E" w:rsidRDefault="00655D1E">
      <w:pPr>
        <w:spacing w:after="0" w:line="240" w:lineRule="auto"/>
      </w:pPr>
      <w:r>
        <w:separator/>
      </w:r>
    </w:p>
  </w:footnote>
  <w:footnote w:type="continuationSeparator" w:id="0">
    <w:p w14:paraId="632EEB9B" w14:textId="77777777" w:rsidR="00655D1E" w:rsidRDefault="0065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B522" w14:textId="77777777" w:rsidR="00C53F6E" w:rsidRDefault="00C53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37C"/>
    <w:multiLevelType w:val="multilevel"/>
    <w:tmpl w:val="D324B90C"/>
    <w:lvl w:ilvl="0">
      <w:start w:val="2"/>
      <w:numFmt w:val="bullet"/>
      <w:lvlText w:val="-"/>
      <w:lvlJc w:val="left"/>
      <w:pPr>
        <w:ind w:left="927" w:hanging="360"/>
      </w:pPr>
      <w:rPr>
        <w:rFonts w:ascii="Poppins" w:eastAsia="Poppins" w:hAnsi="Poppins" w:cs="Poppin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C86258"/>
    <w:multiLevelType w:val="multilevel"/>
    <w:tmpl w:val="055275B2"/>
    <w:lvl w:ilvl="0">
      <w:start w:val="1"/>
      <w:numFmt w:val="lowerLetter"/>
      <w:pStyle w:val="PartiesCtrlShiftP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A56E2E"/>
    <w:multiLevelType w:val="multilevel"/>
    <w:tmpl w:val="59D0D682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954" w:hanging="567"/>
      </w:pPr>
    </w:lvl>
    <w:lvl w:ilvl="4">
      <w:start w:val="1"/>
      <w:numFmt w:val="lowerLetter"/>
      <w:lvlText w:val="(%5)"/>
      <w:lvlJc w:val="left"/>
      <w:pPr>
        <w:ind w:left="567" w:hanging="567"/>
      </w:pPr>
    </w:lvl>
    <w:lvl w:ilvl="5">
      <w:start w:val="1"/>
      <w:numFmt w:val="lowerRoman"/>
      <w:lvlText w:val="(%6)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abstractNum w:abstractNumId="3" w15:restartNumberingAfterBreak="0">
    <w:nsid w:val="76CE02A9"/>
    <w:multiLevelType w:val="multilevel"/>
    <w:tmpl w:val="903AAD48"/>
    <w:lvl w:ilvl="0">
      <w:start w:val="1"/>
      <w:numFmt w:val="decimal"/>
      <w:pStyle w:val="Level1CtrlShift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CtrlShift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CtrlShift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CtrlShift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6E"/>
    <w:rsid w:val="00190A72"/>
    <w:rsid w:val="00655D1E"/>
    <w:rsid w:val="00821830"/>
    <w:rsid w:val="00C53F6E"/>
    <w:rsid w:val="00E5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4F44"/>
  <w15:docId w15:val="{4A7DE52C-B220-3848-A0EE-95B6404C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CtrlShiftB1">
    <w:name w:val="Body 1 (CtrlShift + B1)"/>
    <w:basedOn w:val="Body0CtrlShiftB0"/>
    <w:link w:val="Body1CtrlShiftB1Char"/>
    <w:qFormat/>
    <w:rsid w:val="00611767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PartiesCtrlShiftP">
    <w:name w:val="Parties (CtrlShift + P)"/>
    <w:basedOn w:val="Normln"/>
    <w:next w:val="PartiesBody"/>
    <w:link w:val="PartiesCtrlShiftPChar"/>
    <w:qFormat/>
    <w:rsid w:val="00611767"/>
    <w:pPr>
      <w:numPr>
        <w:numId w:val="2"/>
      </w:numPr>
      <w:spacing w:after="120" w:line="120" w:lineRule="atLeast"/>
      <w:jc w:val="both"/>
    </w:pPr>
    <w:rPr>
      <w:rFonts w:ascii="Futura T OT" w:hAnsi="Futura T OT"/>
      <w:b/>
      <w:sz w:val="20"/>
      <w:szCs w:val="20"/>
    </w:rPr>
  </w:style>
  <w:style w:type="paragraph" w:customStyle="1" w:styleId="PartiesBody">
    <w:name w:val="Parties Body"/>
    <w:basedOn w:val="Normln"/>
    <w:link w:val="PartiesBodyChar"/>
    <w:qFormat/>
    <w:rsid w:val="00611767"/>
    <w:pPr>
      <w:spacing w:after="120" w:line="120" w:lineRule="atLeast"/>
      <w:ind w:left="567"/>
      <w:jc w:val="both"/>
    </w:pPr>
    <w:rPr>
      <w:rFonts w:ascii="Futura T OT" w:hAnsi="Futura T OT"/>
      <w:sz w:val="20"/>
      <w:szCs w:val="20"/>
    </w:rPr>
  </w:style>
  <w:style w:type="character" w:customStyle="1" w:styleId="PartiesCtrlShiftPChar">
    <w:name w:val="Parties (CtrlShift + P) Char"/>
    <w:basedOn w:val="Standardnpsmoodstavce"/>
    <w:link w:val="PartiesCtrlShiftP"/>
    <w:rsid w:val="00611767"/>
    <w:rPr>
      <w:rFonts w:ascii="Futura T OT" w:hAnsi="Futura T OT"/>
      <w:b/>
      <w:sz w:val="20"/>
      <w:szCs w:val="20"/>
      <w:lang w:eastAsia="cs-CZ"/>
    </w:rPr>
  </w:style>
  <w:style w:type="character" w:customStyle="1" w:styleId="PartiesBodyChar">
    <w:name w:val="Parties Body Char"/>
    <w:basedOn w:val="Standardnpsmoodstavce"/>
    <w:link w:val="PartiesBody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Level1CtrlShiftL1">
    <w:name w:val="Level 1 (CtrlShift + L1)"/>
    <w:basedOn w:val="Body0CtrlShiftB0"/>
    <w:link w:val="Level1CtrlShiftL1Char"/>
    <w:qFormat/>
    <w:rsid w:val="00611767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qFormat/>
    <w:rsid w:val="00611767"/>
    <w:pPr>
      <w:numPr>
        <w:ilvl w:val="1"/>
      </w:numPr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rsid w:val="00611767"/>
    <w:rPr>
      <w:rFonts w:ascii="Futura T OT" w:eastAsiaTheme="majorEastAsia" w:hAnsi="Futura T OT" w:cstheme="majorBidi"/>
      <w:b/>
      <w:bCs/>
      <w:sz w:val="20"/>
      <w:szCs w:val="28"/>
      <w:lang w:eastAsia="cs-CZ"/>
    </w:rPr>
  </w:style>
  <w:style w:type="paragraph" w:customStyle="1" w:styleId="Level3CtrlShiftL3">
    <w:name w:val="Level 3 (CtrlShift + L3)"/>
    <w:basedOn w:val="Level2CtrlShiftL2"/>
    <w:link w:val="Level3CtrlShiftL3Char"/>
    <w:qFormat/>
    <w:rsid w:val="00611767"/>
    <w:pPr>
      <w:numPr>
        <w:ilvl w:val="2"/>
      </w:numPr>
      <w:outlineLvl w:val="2"/>
    </w:pPr>
    <w:rPr>
      <w:bCs/>
    </w:rPr>
  </w:style>
  <w:style w:type="paragraph" w:customStyle="1" w:styleId="Level4CtrlShiftL4">
    <w:name w:val="Level 4 (CtrlShift + L4)"/>
    <w:basedOn w:val="Level3CtrlShiftL3"/>
    <w:qFormat/>
    <w:rsid w:val="00611767"/>
    <w:pPr>
      <w:numPr>
        <w:ilvl w:val="3"/>
      </w:numPr>
      <w:tabs>
        <w:tab w:val="num" w:pos="360"/>
      </w:tabs>
      <w:ind w:left="567"/>
      <w:outlineLvl w:val="3"/>
    </w:pPr>
    <w:rPr>
      <w:bCs w:val="0"/>
      <w:iCs/>
    </w:rPr>
  </w:style>
  <w:style w:type="paragraph" w:customStyle="1" w:styleId="Body0CtrlShiftB0">
    <w:name w:val="Body 0 (CtrlShift + B0)"/>
    <w:basedOn w:val="Normln"/>
    <w:qFormat/>
    <w:rsid w:val="00611767"/>
    <w:pPr>
      <w:spacing w:after="120" w:line="120" w:lineRule="atLeast"/>
      <w:jc w:val="both"/>
    </w:pPr>
    <w:rPr>
      <w:rFonts w:ascii="Futura T OT" w:hAnsi="Futura T OT"/>
      <w:sz w:val="20"/>
      <w:szCs w:val="20"/>
    </w:rPr>
  </w:style>
  <w:style w:type="numbering" w:customStyle="1" w:styleId="PartiesList">
    <w:name w:val="Parties List"/>
    <w:uiPriority w:val="99"/>
    <w:rsid w:val="00611767"/>
  </w:style>
  <w:style w:type="numbering" w:customStyle="1" w:styleId="LevelList">
    <w:name w:val="Level List"/>
    <w:uiPriority w:val="99"/>
    <w:rsid w:val="00611767"/>
  </w:style>
  <w:style w:type="character" w:customStyle="1" w:styleId="Level2CtrlShiftL2Char">
    <w:name w:val="Level 2 (CtrlShift + L2) Char"/>
    <w:basedOn w:val="Standardnpsmoodstavce"/>
    <w:link w:val="Level2CtrlShiftL2"/>
    <w:rsid w:val="00611767"/>
    <w:rPr>
      <w:rFonts w:ascii="Futura T OT" w:eastAsiaTheme="majorEastAsia" w:hAnsi="Futura T OT" w:cstheme="majorBidi"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E200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8E20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8E20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0F"/>
    <w:rPr>
      <w:rFonts w:ascii="Segoe UI" w:hAnsi="Segoe UI" w:cs="Segoe UI"/>
      <w:sz w:val="18"/>
      <w:szCs w:val="18"/>
    </w:rPr>
  </w:style>
  <w:style w:type="character" w:customStyle="1" w:styleId="Level3CtrlShiftL3Char">
    <w:name w:val="Level 3 (CtrlShift + L3) Char"/>
    <w:basedOn w:val="Standardnpsmoodstavce"/>
    <w:link w:val="Level3CtrlShiftL3"/>
    <w:rsid w:val="00244FBE"/>
    <w:rPr>
      <w:rFonts w:ascii="Futura T OT" w:eastAsiaTheme="majorEastAsia" w:hAnsi="Futura T OT" w:cstheme="majorBidi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6A5C6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C65"/>
  </w:style>
  <w:style w:type="paragraph" w:styleId="Zpat">
    <w:name w:val="footer"/>
    <w:basedOn w:val="Normln"/>
    <w:link w:val="Zpat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C65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+R3kW52+lMhchDWoNRXmgAluWw==">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1687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Pivoda</dc:creator>
  <cp:lastModifiedBy>Ondřej Petr</cp:lastModifiedBy>
  <cp:revision>2</cp:revision>
  <dcterms:created xsi:type="dcterms:W3CDTF">2020-11-19T10:32:00Z</dcterms:created>
  <dcterms:modified xsi:type="dcterms:W3CDTF">2020-11-19T10:32:00Z</dcterms:modified>
</cp:coreProperties>
</file>