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4846" w14:textId="77777777" w:rsidR="00923483" w:rsidRDefault="00604890"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:a16="http://schemas.microsoft.com/office/drawing/2014/main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:a16="http://schemas.microsoft.com/office/drawing/2014/main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37FD2" w14:textId="21F87350" w:rsidR="004B1430" w:rsidRPr="00AB47C2" w:rsidRDefault="004B1430" w:rsidP="006164AC">
      <w:pPr>
        <w:rPr>
          <w:sz w:val="24"/>
          <w:szCs w:val="24"/>
          <w:highlight w:val="yellow"/>
        </w:rPr>
      </w:pPr>
    </w:p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438EABCD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200665">
        <w:rPr>
          <w:sz w:val="24"/>
          <w:szCs w:val="24"/>
        </w:rPr>
        <w:t xml:space="preserve">Číslo </w:t>
      </w:r>
      <w:r w:rsidRPr="002444D8">
        <w:rPr>
          <w:sz w:val="24"/>
          <w:szCs w:val="24"/>
        </w:rPr>
        <w:t>objednávky:</w:t>
      </w:r>
      <w:r w:rsidR="00CB0E4D" w:rsidRPr="002444D8">
        <w:rPr>
          <w:sz w:val="24"/>
          <w:szCs w:val="24"/>
        </w:rPr>
        <w:t xml:space="preserve"> </w:t>
      </w:r>
      <w:r w:rsidR="006F3CC4" w:rsidRPr="002444D8">
        <w:rPr>
          <w:bCs/>
          <w:sz w:val="24"/>
          <w:szCs w:val="24"/>
        </w:rPr>
        <w:t>01PU-005105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77777777" w:rsidR="00604890" w:rsidRPr="00200665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2D91457E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3923C51F" w14:textId="6C03CA9D" w:rsidR="002B7ABB" w:rsidRPr="00200665" w:rsidRDefault="002444D8" w:rsidP="00153D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 správy tunelů, Elišky Krásnohorské 1174/37, 400 01 Ústí nad Labem </w:t>
      </w:r>
    </w:p>
    <w:p w14:paraId="2C4E01A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Bankovní spojení: ČNB</w:t>
      </w:r>
    </w:p>
    <w:p w14:paraId="47A1C014" w14:textId="05EE4678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r w:rsidR="00182DE5" w:rsidRPr="00182DE5">
        <w:rPr>
          <w:sz w:val="24"/>
          <w:szCs w:val="24"/>
          <w:highlight w:val="black"/>
        </w:rPr>
        <w:t>XXXXXXXXXXXXXX</w:t>
      </w:r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2C078422" w14:textId="77777777" w:rsidR="00A75721" w:rsidRPr="00200665" w:rsidRDefault="00A75721" w:rsidP="00A75721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Dodavatel:</w:t>
      </w:r>
    </w:p>
    <w:p w14:paraId="3764DCFA" w14:textId="7A7BA084" w:rsidR="00A75721" w:rsidRPr="002444D8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 w:rsidR="00453955">
        <w:rPr>
          <w:sz w:val="24"/>
          <w:szCs w:val="24"/>
        </w:rPr>
        <w:t xml:space="preserve"> </w:t>
      </w:r>
      <w:r w:rsidR="002444D8" w:rsidRPr="002444D8">
        <w:rPr>
          <w:sz w:val="24"/>
          <w:szCs w:val="24"/>
        </w:rPr>
        <w:t>Metrostav a.s.</w:t>
      </w:r>
    </w:p>
    <w:p w14:paraId="337E2761" w14:textId="291B8A6B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444D8">
        <w:rPr>
          <w:sz w:val="24"/>
          <w:szCs w:val="24"/>
        </w:rPr>
        <w:t>Adresa:</w:t>
      </w:r>
      <w:r w:rsidR="00453955" w:rsidRPr="002444D8">
        <w:rPr>
          <w:sz w:val="24"/>
          <w:szCs w:val="24"/>
        </w:rPr>
        <w:t xml:space="preserve"> </w:t>
      </w:r>
      <w:r w:rsidR="002444D8" w:rsidRPr="002444D8">
        <w:rPr>
          <w:sz w:val="24"/>
          <w:szCs w:val="24"/>
        </w:rPr>
        <w:t>Koželužská 2450/4, 180 00</w:t>
      </w:r>
      <w:r w:rsidR="002444D8">
        <w:rPr>
          <w:sz w:val="24"/>
          <w:szCs w:val="24"/>
        </w:rPr>
        <w:t xml:space="preserve"> Praha </w:t>
      </w:r>
    </w:p>
    <w:p w14:paraId="09B995CC" w14:textId="5EFA38BE" w:rsidR="00A75721" w:rsidRPr="002444D8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 w:rsidR="00453955">
        <w:rPr>
          <w:sz w:val="24"/>
          <w:szCs w:val="24"/>
        </w:rPr>
        <w:t xml:space="preserve"> </w:t>
      </w:r>
      <w:r w:rsidR="002444D8" w:rsidRPr="002444D8">
        <w:rPr>
          <w:sz w:val="24"/>
          <w:szCs w:val="24"/>
        </w:rPr>
        <w:t>00014915</w:t>
      </w:r>
      <w:r w:rsidRPr="002444D8">
        <w:rPr>
          <w:sz w:val="24"/>
          <w:szCs w:val="24"/>
        </w:rPr>
        <w:tab/>
      </w:r>
    </w:p>
    <w:p w14:paraId="2FB4799E" w14:textId="6E6A9FE7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444D8">
        <w:rPr>
          <w:sz w:val="24"/>
          <w:szCs w:val="24"/>
        </w:rPr>
        <w:t>DIČ:</w:t>
      </w:r>
      <w:r w:rsidR="00453955" w:rsidRPr="002444D8">
        <w:rPr>
          <w:sz w:val="24"/>
          <w:szCs w:val="24"/>
        </w:rPr>
        <w:t xml:space="preserve"> </w:t>
      </w:r>
      <w:r w:rsidR="002444D8" w:rsidRPr="002444D8">
        <w:rPr>
          <w:sz w:val="24"/>
          <w:szCs w:val="24"/>
        </w:rPr>
        <w:t>CZ00014915</w:t>
      </w:r>
    </w:p>
    <w:p w14:paraId="39AA7951" w14:textId="1C4C9CB0" w:rsidR="00EF028F" w:rsidRPr="00200665" w:rsidRDefault="00282421" w:rsidP="00153D94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182DE5">
        <w:rPr>
          <w:sz w:val="24"/>
          <w:szCs w:val="24"/>
          <w:highlight w:val="black"/>
        </w:rPr>
        <w:t>XXXXXXXXXX</w:t>
      </w:r>
      <w:r w:rsidR="002B7ABB" w:rsidRPr="00200665">
        <w:rPr>
          <w:sz w:val="24"/>
          <w:szCs w:val="24"/>
        </w:rPr>
        <w:tab/>
      </w:r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F781C" w14:textId="72A2001A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nahrazuje smlouvu. </w:t>
      </w:r>
      <w:r w:rsidR="00DE7F99" w:rsidRPr="000C7C8D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náklad a nebezpečí pro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</w:t>
      </w:r>
      <w:r w:rsidR="002444D8" w:rsidRPr="002444D8">
        <w:rPr>
          <w:rFonts w:cs="Times New Roman"/>
          <w:sz w:val="24"/>
          <w:szCs w:val="24"/>
        </w:rPr>
        <w:t>dodávky</w:t>
      </w:r>
      <w:r w:rsidRPr="006D696C">
        <w:rPr>
          <w:rFonts w:cs="Times New Roman"/>
          <w:sz w:val="24"/>
          <w:szCs w:val="24"/>
        </w:rPr>
        <w:t xml:space="preserve"> specifikované níže. Objednatel se zavazuje zaplatit za </w:t>
      </w:r>
      <w:r w:rsidR="002444D8" w:rsidRPr="002444D8">
        <w:rPr>
          <w:rFonts w:cs="Times New Roman"/>
          <w:sz w:val="24"/>
          <w:szCs w:val="24"/>
        </w:rPr>
        <w:t>dodávky</w:t>
      </w:r>
      <w:r w:rsidRPr="002444D8">
        <w:rPr>
          <w:rFonts w:cs="Times New Roman"/>
          <w:sz w:val="24"/>
          <w:szCs w:val="24"/>
        </w:rPr>
        <w:t xml:space="preserve"> dodané v</w:t>
      </w:r>
      <w:r w:rsidRPr="006D696C">
        <w:rPr>
          <w:rFonts w:cs="Times New Roman"/>
          <w:sz w:val="24"/>
          <w:szCs w:val="24"/>
        </w:rPr>
        <w:t xml:space="preserve"> souladu s touto </w:t>
      </w:r>
      <w:r w:rsidR="00FD1FB4">
        <w:rPr>
          <w:rFonts w:cs="Times New Roman"/>
          <w:sz w:val="24"/>
          <w:szCs w:val="24"/>
        </w:rPr>
        <w:t>objednávkou</w:t>
      </w:r>
      <w:r w:rsidRPr="006D696C">
        <w:rPr>
          <w:rFonts w:cs="Times New Roman"/>
          <w:sz w:val="24"/>
          <w:szCs w:val="24"/>
        </w:rPr>
        <w:t xml:space="preserve"> cenu uvedenou níže.</w:t>
      </w:r>
    </w:p>
    <w:p w14:paraId="5A4F9420" w14:textId="21EC26FC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2444D8">
        <w:rPr>
          <w:sz w:val="24"/>
          <w:szCs w:val="24"/>
        </w:rPr>
        <w:t xml:space="preserve">Česká republika </w:t>
      </w:r>
    </w:p>
    <w:p w14:paraId="39F2742E" w14:textId="7E1DD48B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  <w:r w:rsidR="00182DE5" w:rsidRPr="00182DE5">
        <w:rPr>
          <w:sz w:val="24"/>
          <w:szCs w:val="24"/>
          <w:highlight w:val="black"/>
        </w:rPr>
        <w:t>XXXXXXXXXXXXXX</w:t>
      </w:r>
    </w:p>
    <w:p w14:paraId="255FD969" w14:textId="43C9E36A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ČR, </w:t>
      </w:r>
      <w:r w:rsidR="002444D8" w:rsidRPr="002444D8">
        <w:rPr>
          <w:sz w:val="24"/>
          <w:szCs w:val="24"/>
        </w:rPr>
        <w:t>SO správy tunelů</w:t>
      </w:r>
      <w:r w:rsidR="000C7C8D" w:rsidRPr="002444D8">
        <w:rPr>
          <w:sz w:val="24"/>
          <w:szCs w:val="24"/>
        </w:rPr>
        <w:t xml:space="preserve">, </w:t>
      </w:r>
      <w:r w:rsidR="002444D8" w:rsidRPr="002444D8">
        <w:rPr>
          <w:sz w:val="24"/>
          <w:szCs w:val="24"/>
        </w:rPr>
        <w:t>Čerčanská 2023/12</w:t>
      </w:r>
      <w:r w:rsidRPr="002444D8">
        <w:rPr>
          <w:sz w:val="24"/>
          <w:szCs w:val="24"/>
        </w:rPr>
        <w:t>, 140 00 Praha 4</w:t>
      </w:r>
    </w:p>
    <w:p w14:paraId="33040FEC" w14:textId="111F4EB2" w:rsidR="006C0BB9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>
        <w:rPr>
          <w:sz w:val="24"/>
          <w:szCs w:val="24"/>
        </w:rPr>
        <w:t>O</w:t>
      </w:r>
      <w:r w:rsidR="00153D94" w:rsidRPr="00FF13FF">
        <w:rPr>
          <w:sz w:val="24"/>
          <w:szCs w:val="24"/>
        </w:rPr>
        <w:t xml:space="preserve">bjednateli. Fakturu lze předložit nejdříve po protokolárním převzetí </w:t>
      </w:r>
      <w:r w:rsidR="002444D8" w:rsidRPr="002444D8">
        <w:rPr>
          <w:sz w:val="24"/>
          <w:szCs w:val="24"/>
        </w:rPr>
        <w:t>zboží</w:t>
      </w:r>
      <w:r w:rsidR="00FD1FB4">
        <w:rPr>
          <w:sz w:val="24"/>
          <w:szCs w:val="24"/>
        </w:rPr>
        <w:t xml:space="preserve"> O</w:t>
      </w:r>
      <w:r w:rsidR="00153D94" w:rsidRPr="00FF13FF">
        <w:rPr>
          <w:sz w:val="24"/>
          <w:szCs w:val="24"/>
        </w:rPr>
        <w:t>bjednatelem bez vad či nedodělků. Faktura musí obsahovat veškeré náležitosti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>ako „zákon o registru smluv“), O</w:t>
      </w:r>
      <w:r w:rsidR="00F42E23" w:rsidRPr="000C7C8D">
        <w:rPr>
          <w:sz w:val="24"/>
          <w:szCs w:val="24"/>
        </w:rPr>
        <w:t>bjednatelem</w:t>
      </w:r>
      <w:r w:rsidR="00F42E23" w:rsidRPr="002444D8">
        <w:rPr>
          <w:sz w:val="24"/>
          <w:szCs w:val="24"/>
        </w:rPr>
        <w:t>.</w:t>
      </w:r>
      <w:r w:rsidR="002444D8" w:rsidRPr="002444D8">
        <w:rPr>
          <w:sz w:val="24"/>
          <w:szCs w:val="24"/>
        </w:rPr>
        <w:t xml:space="preserve"> </w:t>
      </w:r>
      <w:r w:rsidR="00F31356" w:rsidRPr="002444D8">
        <w:rPr>
          <w:sz w:val="24"/>
          <w:szCs w:val="24"/>
        </w:rPr>
        <w:t xml:space="preserve">Objednávka je účinná okamžikem zveřejnění v registru smluv. </w:t>
      </w:r>
      <w:r w:rsidR="00105E6A">
        <w:rPr>
          <w:sz w:val="24"/>
          <w:szCs w:val="24"/>
        </w:rPr>
        <w:t>Objednatel je oprávněn kdykoliv po uzavření objednávky tuto objednávku vypovědět s účinky od doručení písemné výpovědi Dodavateli, a to i bez uvedení důvodu. Výpověď objednávky dle předcházející věty nemá vliv na již řádně poskytnuté plnění včetně práv a povinností z něj vyplývajících.</w:t>
      </w:r>
    </w:p>
    <w:p w14:paraId="3DE3979E" w14:textId="6AA56A6E" w:rsidR="00604890" w:rsidRPr="00200665" w:rsidRDefault="00604890" w:rsidP="006164AC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lastRenderedPageBreak/>
        <w:t>Objednáváme u Vás:</w:t>
      </w:r>
      <w:r w:rsidR="00453955">
        <w:rPr>
          <w:b/>
          <w:sz w:val="24"/>
          <w:szCs w:val="24"/>
        </w:rPr>
        <w:t xml:space="preserve"> </w:t>
      </w:r>
      <w:r w:rsidR="002444D8">
        <w:rPr>
          <w:sz w:val="24"/>
          <w:szCs w:val="24"/>
        </w:rPr>
        <w:t>16 kusů nouzových svítidel</w:t>
      </w:r>
      <w:r w:rsidR="002444D8" w:rsidRPr="002444D8">
        <w:rPr>
          <w:sz w:val="24"/>
          <w:szCs w:val="24"/>
        </w:rPr>
        <w:t xml:space="preserve"> BT20 NG vč. nerezového krycího plechu</w:t>
      </w:r>
      <w:r w:rsidR="006164AC">
        <w:rPr>
          <w:sz w:val="24"/>
          <w:szCs w:val="24"/>
        </w:rPr>
        <w:t>,                   viz Příloha č.1</w:t>
      </w:r>
    </w:p>
    <w:p w14:paraId="299A5AF5" w14:textId="6FD8ACF3" w:rsidR="00A75721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F73CB7" w:rsidRPr="006164AC">
        <w:rPr>
          <w:sz w:val="24"/>
          <w:szCs w:val="24"/>
        </w:rPr>
        <w:t>Plnění dodejte</w:t>
      </w:r>
      <w:r w:rsidR="006164AC" w:rsidRPr="006164AC">
        <w:rPr>
          <w:sz w:val="24"/>
          <w:szCs w:val="24"/>
        </w:rPr>
        <w:t xml:space="preserve"> bez zbytečného odkladu po účinnosti smlouvy, </w:t>
      </w:r>
      <w:r w:rsidR="006C0BB9" w:rsidRPr="006164AC">
        <w:rPr>
          <w:sz w:val="24"/>
          <w:szCs w:val="24"/>
        </w:rPr>
        <w:t xml:space="preserve">konkrétní datum a čas dodávky předem dohodněte s kontaktní osobou </w:t>
      </w:r>
      <w:r w:rsidR="00DB2E94" w:rsidRPr="006164AC">
        <w:rPr>
          <w:sz w:val="24"/>
          <w:szCs w:val="24"/>
        </w:rPr>
        <w:t>O</w:t>
      </w:r>
      <w:r w:rsidR="006C0BB9" w:rsidRPr="006164AC">
        <w:rPr>
          <w:sz w:val="24"/>
          <w:szCs w:val="24"/>
        </w:rPr>
        <w:t>bjednatele</w:t>
      </w:r>
      <w:r w:rsidR="000D69FD" w:rsidRPr="006164AC">
        <w:rPr>
          <w:sz w:val="24"/>
          <w:szCs w:val="24"/>
        </w:rPr>
        <w:t>.</w:t>
      </w:r>
    </w:p>
    <w:p w14:paraId="21A0252C" w14:textId="7EFC984D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 w:rsidR="0033757F"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 w:rsidR="003854F7">
        <w:rPr>
          <w:b/>
          <w:sz w:val="24"/>
          <w:szCs w:val="24"/>
        </w:rPr>
        <w:t xml:space="preserve"> / </w:t>
      </w:r>
      <w:r w:rsidR="002F2ED0">
        <w:rPr>
          <w:b/>
          <w:sz w:val="24"/>
          <w:szCs w:val="24"/>
        </w:rPr>
        <w:t>vč.</w:t>
      </w:r>
      <w:r w:rsidR="003854F7">
        <w:rPr>
          <w:b/>
          <w:sz w:val="24"/>
          <w:szCs w:val="24"/>
        </w:rPr>
        <w:t xml:space="preserve"> DPH</w:t>
      </w:r>
      <w:r w:rsidRPr="00200665">
        <w:rPr>
          <w:b/>
          <w:sz w:val="24"/>
          <w:szCs w:val="24"/>
        </w:rPr>
        <w:t>:</w:t>
      </w:r>
      <w:r w:rsidR="00453955">
        <w:rPr>
          <w:b/>
          <w:sz w:val="24"/>
          <w:szCs w:val="24"/>
        </w:rPr>
        <w:t xml:space="preserve"> </w:t>
      </w:r>
      <w:r w:rsidR="006164AC" w:rsidRPr="006164AC">
        <w:rPr>
          <w:sz w:val="24"/>
          <w:szCs w:val="24"/>
        </w:rPr>
        <w:t>161 808/ 195 787,68</w:t>
      </w:r>
    </w:p>
    <w:p w14:paraId="3832F879" w14:textId="7F6CDF17" w:rsidR="0069013D" w:rsidRPr="00A87460" w:rsidRDefault="0069013D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0C7C8D">
        <w:rPr>
          <w:rFonts w:cs="Times New Roman"/>
          <w:sz w:val="24"/>
          <w:szCs w:val="24"/>
        </w:rPr>
        <w:t xml:space="preserve">V případě akceptace objednávky Objednatele Dodavatel objednávku písemně potvrdí prostřednictvím e-mailu zaslaného do e-mailové schránky Objednatele </w:t>
      </w:r>
      <w:r w:rsidR="00182DE5" w:rsidRPr="00182DE5">
        <w:rPr>
          <w:sz w:val="24"/>
          <w:szCs w:val="24"/>
          <w:highlight w:val="black"/>
        </w:rPr>
        <w:t>XXXXXXXXXXXXXX</w:t>
      </w:r>
    </w:p>
    <w:p w14:paraId="50833986" w14:textId="70D993E2" w:rsidR="00282421" w:rsidRPr="006164AC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164AC">
        <w:rPr>
          <w:rFonts w:cs="Times New Roman"/>
          <w:sz w:val="24"/>
          <w:szCs w:val="24"/>
        </w:rPr>
        <w:t xml:space="preserve">Nedílnou součástí této </w:t>
      </w:r>
      <w:r w:rsidR="00765848" w:rsidRPr="006164AC">
        <w:rPr>
          <w:rFonts w:cs="Times New Roman"/>
          <w:sz w:val="24"/>
          <w:szCs w:val="24"/>
        </w:rPr>
        <w:t>objednávky</w:t>
      </w:r>
      <w:r w:rsidRPr="006164AC">
        <w:rPr>
          <w:rFonts w:cs="Times New Roman"/>
          <w:sz w:val="24"/>
          <w:szCs w:val="24"/>
        </w:rPr>
        <w:t xml:space="preserve"> jsou následující přílohy:</w:t>
      </w:r>
    </w:p>
    <w:p w14:paraId="5542A2EB" w14:textId="3C2C8328" w:rsidR="00282421" w:rsidRPr="006164AC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164AC">
        <w:rPr>
          <w:rFonts w:cs="Times New Roman"/>
          <w:sz w:val="24"/>
          <w:szCs w:val="24"/>
        </w:rPr>
        <w:t>Příloha č. 1 – Specifikace dodávek</w:t>
      </w:r>
    </w:p>
    <w:p w14:paraId="7870F805" w14:textId="06ABFED9" w:rsidR="00282421" w:rsidRDefault="00282421" w:rsidP="00282421">
      <w:pPr>
        <w:spacing w:before="120" w:after="240" w:line="276" w:lineRule="auto"/>
        <w:jc w:val="both"/>
        <w:rPr>
          <w:rFonts w:cs="Times New Roman"/>
          <w:sz w:val="24"/>
          <w:szCs w:val="24"/>
        </w:rPr>
      </w:pPr>
      <w:r w:rsidRPr="006164AC">
        <w:rPr>
          <w:rFonts w:cs="Times New Roman"/>
          <w:sz w:val="24"/>
          <w:szCs w:val="24"/>
        </w:rPr>
        <w:t>Příloha č. 2 – Položkový rozpis ceny</w:t>
      </w:r>
      <w:r w:rsidRPr="00282421">
        <w:rPr>
          <w:rFonts w:cs="Times New Roman"/>
          <w:sz w:val="24"/>
          <w:szCs w:val="24"/>
        </w:rPr>
        <w:t xml:space="preserve"> </w:t>
      </w:r>
    </w:p>
    <w:p w14:paraId="48A05FB2" w14:textId="71800706" w:rsidR="00EC18C0" w:rsidRDefault="00EC18C0" w:rsidP="00EC18C0">
      <w:pPr>
        <w:jc w:val="both"/>
        <w:rPr>
          <w:rFonts w:cs="Times New Roman"/>
          <w:sz w:val="24"/>
          <w:szCs w:val="24"/>
        </w:rPr>
      </w:pPr>
      <w:r w:rsidRPr="00782411">
        <w:rPr>
          <w:rFonts w:cs="Times New Roman"/>
          <w:sz w:val="24"/>
          <w:szCs w:val="24"/>
        </w:rPr>
        <w:t>V</w:t>
      </w:r>
      <w:r w:rsidR="006164AC">
        <w:rPr>
          <w:rFonts w:cs="Times New Roman"/>
          <w:sz w:val="24"/>
          <w:szCs w:val="24"/>
        </w:rPr>
        <w:t> Ústí nad Labem</w:t>
      </w:r>
      <w:r w:rsidRPr="00782411">
        <w:rPr>
          <w:rFonts w:cs="Times New Roman"/>
          <w:sz w:val="24"/>
          <w:szCs w:val="24"/>
        </w:rPr>
        <w:t xml:space="preserve"> </w:t>
      </w:r>
    </w:p>
    <w:p w14:paraId="5ACAFE01" w14:textId="5E94D91D" w:rsidR="00EC18C0" w:rsidRDefault="00EC18C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 Objednatele: </w:t>
      </w:r>
      <w:r w:rsidR="00182DE5" w:rsidRPr="00182DE5">
        <w:rPr>
          <w:sz w:val="24"/>
          <w:szCs w:val="24"/>
          <w:highlight w:val="black"/>
        </w:rPr>
        <w:t>XXXXXXXXXXXXXX</w:t>
      </w:r>
    </w:p>
    <w:p w14:paraId="52ACE9FF" w14:textId="4B4DBD3A" w:rsidR="00EC18C0" w:rsidRDefault="00EC18C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Podpis oprávněné osoby:</w:t>
      </w:r>
    </w:p>
    <w:p w14:paraId="6DA713C3" w14:textId="40FB4595" w:rsidR="00EC18C0" w:rsidRPr="00A6064A" w:rsidRDefault="00EC18C0" w:rsidP="00EC18C0">
      <w:pPr>
        <w:jc w:val="both"/>
        <w:rPr>
          <w:rFonts w:cs="Times New Roman"/>
          <w:sz w:val="24"/>
          <w:szCs w:val="24"/>
          <w:highlight w:val="green"/>
        </w:rPr>
      </w:pPr>
    </w:p>
    <w:p w14:paraId="5495017C" w14:textId="77777777" w:rsidR="002F2ED0" w:rsidRPr="00D8407F" w:rsidRDefault="002F2ED0" w:rsidP="002F2ED0">
      <w:pPr>
        <w:pStyle w:val="Zkladntextodsazen"/>
        <w:spacing w:before="240" w:after="240" w:line="276" w:lineRule="auto"/>
        <w:ind w:left="0"/>
        <w:jc w:val="both"/>
        <w:rPr>
          <w:sz w:val="20"/>
        </w:rPr>
      </w:pPr>
      <w:r w:rsidRPr="006164AC">
        <w:rPr>
          <w:i/>
          <w:sz w:val="20"/>
        </w:rPr>
        <w:t>PODEPSÁNO PROSTŘEDNICTVÍM UZNÁVANÉHO ELEKTRONICKÉHO PODPISU DLE ZÁKONA Č. 297/2016 SB., O SLUŽBÁCH VYTVÁŘEJÍCÍCH DŮVĚRU PRO ELEKTRONICKÉ TRANSAKCE, VE ZNĚNÍ POZDĚJŠÍCH PŘEDPISŮ</w:t>
      </w:r>
    </w:p>
    <w:p w14:paraId="276B25C7" w14:textId="12A7BFD3" w:rsidR="002F2ED0" w:rsidRDefault="002F2ED0" w:rsidP="00EC18C0">
      <w:pPr>
        <w:jc w:val="both"/>
        <w:rPr>
          <w:sz w:val="24"/>
          <w:szCs w:val="24"/>
        </w:rPr>
      </w:pPr>
    </w:p>
    <w:p w14:paraId="4876AEE9" w14:textId="589A93F1" w:rsidR="006164AC" w:rsidRDefault="006164AC" w:rsidP="00EC18C0">
      <w:pPr>
        <w:jc w:val="both"/>
        <w:rPr>
          <w:sz w:val="24"/>
          <w:szCs w:val="24"/>
        </w:rPr>
      </w:pPr>
    </w:p>
    <w:p w14:paraId="3D2A753E" w14:textId="0A074861" w:rsidR="008E1EF8" w:rsidRDefault="008E1EF8" w:rsidP="00EC18C0">
      <w:pPr>
        <w:jc w:val="both"/>
        <w:rPr>
          <w:sz w:val="24"/>
          <w:szCs w:val="24"/>
        </w:rPr>
      </w:pPr>
    </w:p>
    <w:p w14:paraId="5470629D" w14:textId="5366053F" w:rsidR="008E1EF8" w:rsidRDefault="008E1EF8" w:rsidP="00EC18C0">
      <w:pPr>
        <w:jc w:val="both"/>
        <w:rPr>
          <w:sz w:val="24"/>
          <w:szCs w:val="24"/>
        </w:rPr>
      </w:pPr>
    </w:p>
    <w:p w14:paraId="0BE41BF4" w14:textId="42540420" w:rsidR="008E1EF8" w:rsidRDefault="008E1EF8" w:rsidP="00EC18C0">
      <w:pPr>
        <w:jc w:val="both"/>
        <w:rPr>
          <w:sz w:val="24"/>
          <w:szCs w:val="24"/>
        </w:rPr>
      </w:pPr>
    </w:p>
    <w:p w14:paraId="2C2F1A84" w14:textId="5E9E9A6F" w:rsidR="008E1EF8" w:rsidRDefault="008E1EF8" w:rsidP="00EC18C0">
      <w:pPr>
        <w:jc w:val="both"/>
        <w:rPr>
          <w:sz w:val="24"/>
          <w:szCs w:val="24"/>
        </w:rPr>
      </w:pPr>
    </w:p>
    <w:p w14:paraId="05978FBC" w14:textId="06DCE09B" w:rsidR="008E1EF8" w:rsidRDefault="008E1EF8" w:rsidP="00EC18C0">
      <w:pPr>
        <w:jc w:val="both"/>
        <w:rPr>
          <w:sz w:val="24"/>
          <w:szCs w:val="24"/>
        </w:rPr>
      </w:pPr>
    </w:p>
    <w:p w14:paraId="62A14910" w14:textId="518A1D0A" w:rsidR="008E1EF8" w:rsidRDefault="008E1EF8" w:rsidP="00EC18C0">
      <w:pPr>
        <w:jc w:val="both"/>
        <w:rPr>
          <w:sz w:val="24"/>
          <w:szCs w:val="24"/>
        </w:rPr>
      </w:pPr>
    </w:p>
    <w:p w14:paraId="3A88FC66" w14:textId="07721E54" w:rsidR="008E1EF8" w:rsidRDefault="008E1EF8" w:rsidP="00EC18C0">
      <w:pPr>
        <w:jc w:val="both"/>
        <w:rPr>
          <w:sz w:val="24"/>
          <w:szCs w:val="24"/>
        </w:rPr>
      </w:pPr>
    </w:p>
    <w:p w14:paraId="40023576" w14:textId="6918910B" w:rsidR="008E1EF8" w:rsidRDefault="008E1EF8" w:rsidP="00EC18C0">
      <w:pPr>
        <w:jc w:val="both"/>
        <w:rPr>
          <w:sz w:val="24"/>
          <w:szCs w:val="24"/>
        </w:rPr>
      </w:pPr>
    </w:p>
    <w:p w14:paraId="6E815525" w14:textId="6085A0F6" w:rsidR="008E1EF8" w:rsidRDefault="008E1EF8" w:rsidP="00EC18C0">
      <w:pPr>
        <w:jc w:val="both"/>
        <w:rPr>
          <w:sz w:val="24"/>
          <w:szCs w:val="24"/>
        </w:rPr>
      </w:pPr>
    </w:p>
    <w:p w14:paraId="017CF4BB" w14:textId="612E367E" w:rsidR="008E1EF8" w:rsidRDefault="008E1EF8" w:rsidP="00EC18C0">
      <w:pPr>
        <w:jc w:val="both"/>
        <w:rPr>
          <w:sz w:val="24"/>
          <w:szCs w:val="24"/>
        </w:rPr>
      </w:pPr>
    </w:p>
    <w:p w14:paraId="44ED678D" w14:textId="77777777" w:rsidR="008E1EF8" w:rsidRDefault="008E1EF8" w:rsidP="00EC18C0">
      <w:pPr>
        <w:jc w:val="both"/>
        <w:rPr>
          <w:sz w:val="24"/>
          <w:szCs w:val="24"/>
        </w:rPr>
      </w:pPr>
    </w:p>
    <w:p w14:paraId="31003BA6" w14:textId="57DE46C9" w:rsidR="006164AC" w:rsidRDefault="006164AC" w:rsidP="00EC18C0">
      <w:pPr>
        <w:jc w:val="both"/>
        <w:rPr>
          <w:sz w:val="24"/>
          <w:szCs w:val="24"/>
        </w:rPr>
      </w:pPr>
    </w:p>
    <w:p w14:paraId="6513F004" w14:textId="59A97125" w:rsidR="006164AC" w:rsidRPr="006164AC" w:rsidRDefault="006164AC" w:rsidP="00EC18C0">
      <w:pPr>
        <w:jc w:val="both"/>
        <w:rPr>
          <w:b/>
          <w:sz w:val="24"/>
          <w:szCs w:val="24"/>
        </w:rPr>
      </w:pPr>
      <w:r w:rsidRPr="006164AC">
        <w:rPr>
          <w:b/>
          <w:sz w:val="24"/>
          <w:szCs w:val="24"/>
        </w:rPr>
        <w:lastRenderedPageBreak/>
        <w:t>Příloha č. 1</w:t>
      </w:r>
      <w:r>
        <w:rPr>
          <w:b/>
          <w:sz w:val="24"/>
          <w:szCs w:val="24"/>
        </w:rPr>
        <w:t xml:space="preserve"> -</w:t>
      </w:r>
      <w:r w:rsidRPr="006164AC">
        <w:rPr>
          <w:b/>
          <w:sz w:val="24"/>
          <w:szCs w:val="24"/>
        </w:rPr>
        <w:t xml:space="preserve"> Specifikace dodávek </w:t>
      </w:r>
    </w:p>
    <w:p w14:paraId="22E44441" w14:textId="28639398" w:rsidR="006164AC" w:rsidRDefault="006164AC" w:rsidP="00EC18C0">
      <w:pPr>
        <w:jc w:val="both"/>
        <w:rPr>
          <w:sz w:val="24"/>
          <w:szCs w:val="24"/>
        </w:rPr>
      </w:pPr>
      <w:r>
        <w:rPr>
          <w:sz w:val="24"/>
          <w:szCs w:val="24"/>
        </w:rPr>
        <w:t>10 kusů - n</w:t>
      </w:r>
      <w:r w:rsidRPr="006164AC">
        <w:rPr>
          <w:sz w:val="24"/>
          <w:szCs w:val="24"/>
        </w:rPr>
        <w:t>ouzové svítidlo BT20 NG vč. nerezového krycího plechu (provedení pro tunel Klimkovice)</w:t>
      </w:r>
    </w:p>
    <w:p w14:paraId="1F4894C8" w14:textId="1AA267DD" w:rsidR="006164AC" w:rsidRDefault="006164AC" w:rsidP="00EC18C0">
      <w:pPr>
        <w:jc w:val="both"/>
        <w:rPr>
          <w:sz w:val="24"/>
          <w:szCs w:val="24"/>
        </w:rPr>
      </w:pPr>
      <w:r>
        <w:rPr>
          <w:sz w:val="24"/>
          <w:szCs w:val="24"/>
        </w:rPr>
        <w:t>2 kusy - n</w:t>
      </w:r>
      <w:r w:rsidRPr="006164AC">
        <w:rPr>
          <w:sz w:val="24"/>
          <w:szCs w:val="24"/>
        </w:rPr>
        <w:t>ouzové svítidlo BT20 NG vč. nerezového krycího plechu (provedení pro tunel Valík)</w:t>
      </w:r>
    </w:p>
    <w:p w14:paraId="321A47D2" w14:textId="77777777" w:rsidR="006164AC" w:rsidRDefault="006164AC" w:rsidP="006164AC">
      <w:pPr>
        <w:jc w:val="both"/>
        <w:rPr>
          <w:sz w:val="24"/>
          <w:szCs w:val="24"/>
        </w:rPr>
        <w:sectPr w:rsidR="006164AC" w:rsidSect="00EF02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4 kusy - n</w:t>
      </w:r>
      <w:r w:rsidRPr="006164AC">
        <w:rPr>
          <w:sz w:val="24"/>
          <w:szCs w:val="24"/>
        </w:rPr>
        <w:t>ouzové svítidlo BT20 NG vč. nerezového krycího plechu (provedení pro tunel Panenská)</w:t>
      </w:r>
    </w:p>
    <w:p w14:paraId="6F13C4AE" w14:textId="77777777" w:rsidR="006164AC" w:rsidRPr="006164AC" w:rsidRDefault="006164AC" w:rsidP="006164AC">
      <w:pPr>
        <w:spacing w:before="120" w:after="240" w:line="276" w:lineRule="auto"/>
        <w:jc w:val="both"/>
        <w:rPr>
          <w:rFonts w:cs="Times New Roman"/>
          <w:b/>
          <w:sz w:val="24"/>
          <w:szCs w:val="24"/>
        </w:rPr>
      </w:pPr>
      <w:r w:rsidRPr="006164AC">
        <w:rPr>
          <w:rFonts w:cs="Times New Roman"/>
          <w:b/>
          <w:sz w:val="24"/>
          <w:szCs w:val="24"/>
        </w:rPr>
        <w:lastRenderedPageBreak/>
        <w:t xml:space="preserve">Příloha č. 2 – Položkový rozpis ceny </w:t>
      </w:r>
    </w:p>
    <w:p w14:paraId="4C20304D" w14:textId="43243D54" w:rsidR="006164AC" w:rsidRDefault="006164AC" w:rsidP="006164A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9"/>
        <w:gridCol w:w="5558"/>
        <w:gridCol w:w="1176"/>
        <w:gridCol w:w="2131"/>
        <w:gridCol w:w="1701"/>
      </w:tblGrid>
      <w:tr w:rsidR="006164AC" w:rsidRPr="006164AC" w14:paraId="40976DD1" w14:textId="77777777" w:rsidTr="006164AC">
        <w:trPr>
          <w:trHeight w:val="290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2BCA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>Tunel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BEC0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17A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>Počet (ks)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E1DD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 Jednotková cena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AC23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 Cena Celkem  </w:t>
            </w:r>
          </w:p>
        </w:tc>
      </w:tr>
      <w:tr w:rsidR="00182DE5" w:rsidRPr="006164AC" w14:paraId="683799FF" w14:textId="77777777" w:rsidTr="006164AC">
        <w:trPr>
          <w:trHeight w:val="581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C01F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D1 - Klimkovice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2CE4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Nouzové svítidlo BT20 NG vč. nerezového krycího plechu (provedení pro tunel Klimkovice)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198A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C6DC" w14:textId="3A9AC109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XXXXXXXXXXX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A5FC" w14:textId="304BCB83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</w:t>
            </w:r>
            <w:bookmarkStart w:id="0" w:name="_GoBack"/>
            <w:bookmarkEnd w:id="0"/>
          </w:p>
        </w:tc>
      </w:tr>
      <w:tr w:rsidR="00182DE5" w:rsidRPr="006164AC" w14:paraId="5FEFB7DA" w14:textId="77777777" w:rsidTr="006164AC">
        <w:trPr>
          <w:trHeight w:val="581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C998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D5 - Valík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8CA9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Nouzové svítidlo BT20 NG vč. nerezového krycího plechu (provedení pro tunel Valík)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AF6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C8B7" w14:textId="625FC6B0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XXXXXXXXXXX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FD27" w14:textId="6C5DF30A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</w:t>
            </w:r>
          </w:p>
        </w:tc>
      </w:tr>
      <w:tr w:rsidR="00182DE5" w:rsidRPr="006164AC" w14:paraId="7269C6E7" w14:textId="77777777" w:rsidTr="006164AC">
        <w:trPr>
          <w:trHeight w:val="581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1B9D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D8 - Panenská a Libouchec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B5A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Nouzové svítidlo BT20 NG vč. nerezového krycího plechu (provedení pro tunel Panenská)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70B5" w14:textId="77777777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6164AC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8E64" w14:textId="559F96F1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XXXXXXXXXXX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CD6" w14:textId="24EB4CD8" w:rsidR="00182DE5" w:rsidRPr="006164AC" w:rsidRDefault="00182DE5" w:rsidP="00182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532380">
              <w:rPr>
                <w:sz w:val="24"/>
                <w:szCs w:val="24"/>
                <w:highlight w:val="black"/>
              </w:rPr>
              <w:t>XXXXXXXXX</w:t>
            </w:r>
          </w:p>
        </w:tc>
      </w:tr>
      <w:tr w:rsidR="006164AC" w:rsidRPr="006164AC" w14:paraId="699FABEC" w14:textId="77777777" w:rsidTr="006164AC">
        <w:trPr>
          <w:trHeight w:val="290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0091F7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>Celkem</w:t>
            </w:r>
          </w:p>
        </w:tc>
        <w:tc>
          <w:tcPr>
            <w:tcW w:w="55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EC88EC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D978F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C09E9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1BFD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    161 808,00 Kč </w:t>
            </w:r>
          </w:p>
        </w:tc>
      </w:tr>
      <w:tr w:rsidR="006164AC" w:rsidRPr="006164AC" w14:paraId="3506D3E0" w14:textId="77777777" w:rsidTr="006164AC">
        <w:trPr>
          <w:trHeight w:val="290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93760B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DPH </w:t>
            </w:r>
          </w:p>
        </w:tc>
        <w:tc>
          <w:tcPr>
            <w:tcW w:w="55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2460C3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0C75F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59A1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78B0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       33 979,68 Kč </w:t>
            </w:r>
          </w:p>
        </w:tc>
      </w:tr>
      <w:tr w:rsidR="006164AC" w:rsidRPr="006164AC" w14:paraId="6A973900" w14:textId="77777777" w:rsidTr="006164AC">
        <w:trPr>
          <w:trHeight w:val="262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FB0D58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Celková cena vč. DPH </w:t>
            </w:r>
          </w:p>
        </w:tc>
        <w:tc>
          <w:tcPr>
            <w:tcW w:w="55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3BC20E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0922A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4317F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9F9D" w14:textId="77777777" w:rsidR="006164AC" w:rsidRPr="006164AC" w:rsidRDefault="006164AC" w:rsidP="0061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 w:rsidRPr="006164AC">
              <w:rPr>
                <w:rFonts w:cs="Times New Roman"/>
                <w:b/>
                <w:bCs/>
                <w:color w:val="000000"/>
                <w:sz w:val="22"/>
              </w:rPr>
              <w:t xml:space="preserve">    195 787,68 Kč </w:t>
            </w:r>
          </w:p>
        </w:tc>
      </w:tr>
    </w:tbl>
    <w:p w14:paraId="6533A085" w14:textId="77777777" w:rsidR="006164AC" w:rsidRPr="000C7C8D" w:rsidRDefault="006164AC" w:rsidP="006164AC">
      <w:pPr>
        <w:jc w:val="both"/>
        <w:rPr>
          <w:sz w:val="24"/>
          <w:szCs w:val="24"/>
        </w:rPr>
      </w:pPr>
    </w:p>
    <w:sectPr w:rsidR="006164AC" w:rsidRPr="000C7C8D" w:rsidSect="006164AC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48EFA" w14:textId="77777777" w:rsidR="004B43FB" w:rsidRDefault="004B43FB" w:rsidP="00604890">
      <w:pPr>
        <w:spacing w:after="0" w:line="240" w:lineRule="auto"/>
      </w:pPr>
      <w:r>
        <w:separator/>
      </w:r>
    </w:p>
  </w:endnote>
  <w:endnote w:type="continuationSeparator" w:id="0">
    <w:p w14:paraId="5873E9E6" w14:textId="77777777" w:rsidR="004B43FB" w:rsidRDefault="004B43FB" w:rsidP="00604890">
      <w:pPr>
        <w:spacing w:after="0" w:line="240" w:lineRule="auto"/>
      </w:pPr>
      <w:r>
        <w:continuationSeparator/>
      </w:r>
    </w:p>
  </w:endnote>
  <w:endnote w:type="continuationNotice" w:id="1">
    <w:p w14:paraId="616CEEED" w14:textId="77777777" w:rsidR="004B43FB" w:rsidRDefault="004B4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DFD2" w14:textId="77777777" w:rsidR="006F3CC4" w:rsidRDefault="006F3C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1AFD4729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9765A">
              <w:rPr>
                <w:rFonts w:cs="Times New Roman"/>
                <w:b/>
                <w:bCs/>
                <w:noProof/>
                <w:sz w:val="16"/>
                <w:szCs w:val="16"/>
              </w:rPr>
              <w:t>1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9765A">
              <w:rPr>
                <w:rFonts w:cs="Times New Roman"/>
                <w:b/>
                <w:bCs/>
                <w:noProof/>
                <w:sz w:val="16"/>
                <w:szCs w:val="16"/>
              </w:rPr>
              <w:t>4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0E6D" w14:textId="77777777" w:rsidR="006F3CC4" w:rsidRDefault="006F3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134F" w14:textId="77777777" w:rsidR="004B43FB" w:rsidRDefault="004B43FB" w:rsidP="00604890">
      <w:pPr>
        <w:spacing w:after="0" w:line="240" w:lineRule="auto"/>
      </w:pPr>
      <w:r>
        <w:separator/>
      </w:r>
    </w:p>
  </w:footnote>
  <w:footnote w:type="continuationSeparator" w:id="0">
    <w:p w14:paraId="126DB4E0" w14:textId="77777777" w:rsidR="004B43FB" w:rsidRDefault="004B43FB" w:rsidP="00604890">
      <w:pPr>
        <w:spacing w:after="0" w:line="240" w:lineRule="auto"/>
      </w:pPr>
      <w:r>
        <w:continuationSeparator/>
      </w:r>
    </w:p>
  </w:footnote>
  <w:footnote w:type="continuationNotice" w:id="1">
    <w:p w14:paraId="1C623620" w14:textId="77777777" w:rsidR="004B43FB" w:rsidRDefault="004B4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F4C4" w14:textId="77777777" w:rsidR="006F3CC4" w:rsidRDefault="006F3C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885F" w14:textId="7F76440B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B851" w14:textId="77777777" w:rsidR="006F3CC4" w:rsidRDefault="006F3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90"/>
    <w:rsid w:val="000066C2"/>
    <w:rsid w:val="00027285"/>
    <w:rsid w:val="00054B73"/>
    <w:rsid w:val="00055421"/>
    <w:rsid w:val="00085A2A"/>
    <w:rsid w:val="000C7C8D"/>
    <w:rsid w:val="000C7D9E"/>
    <w:rsid w:val="000D69FD"/>
    <w:rsid w:val="000F3C5A"/>
    <w:rsid w:val="00105E6A"/>
    <w:rsid w:val="00120289"/>
    <w:rsid w:val="00132F67"/>
    <w:rsid w:val="00153D94"/>
    <w:rsid w:val="001770FD"/>
    <w:rsid w:val="00182DE5"/>
    <w:rsid w:val="00191B5E"/>
    <w:rsid w:val="0019503E"/>
    <w:rsid w:val="001E518F"/>
    <w:rsid w:val="001F6076"/>
    <w:rsid w:val="00200665"/>
    <w:rsid w:val="0020254C"/>
    <w:rsid w:val="00242FBD"/>
    <w:rsid w:val="00243A4D"/>
    <w:rsid w:val="002444D8"/>
    <w:rsid w:val="002452F1"/>
    <w:rsid w:val="0025689E"/>
    <w:rsid w:val="00282421"/>
    <w:rsid w:val="00287852"/>
    <w:rsid w:val="00291296"/>
    <w:rsid w:val="00292C41"/>
    <w:rsid w:val="00296103"/>
    <w:rsid w:val="0029765A"/>
    <w:rsid w:val="002B7ABB"/>
    <w:rsid w:val="002E029E"/>
    <w:rsid w:val="002E5E18"/>
    <w:rsid w:val="002F2ED0"/>
    <w:rsid w:val="0033757F"/>
    <w:rsid w:val="00365E25"/>
    <w:rsid w:val="003854F7"/>
    <w:rsid w:val="003965EC"/>
    <w:rsid w:val="003A609B"/>
    <w:rsid w:val="003B1E01"/>
    <w:rsid w:val="003B2B01"/>
    <w:rsid w:val="003B2C14"/>
    <w:rsid w:val="004352CF"/>
    <w:rsid w:val="00436AF5"/>
    <w:rsid w:val="00444358"/>
    <w:rsid w:val="004469FD"/>
    <w:rsid w:val="00450704"/>
    <w:rsid w:val="00453955"/>
    <w:rsid w:val="004B1430"/>
    <w:rsid w:val="004B43FB"/>
    <w:rsid w:val="004D5C72"/>
    <w:rsid w:val="005274AA"/>
    <w:rsid w:val="00542302"/>
    <w:rsid w:val="00565D34"/>
    <w:rsid w:val="005845D4"/>
    <w:rsid w:val="00585166"/>
    <w:rsid w:val="005A403D"/>
    <w:rsid w:val="005C65D9"/>
    <w:rsid w:val="005D5D80"/>
    <w:rsid w:val="006024F2"/>
    <w:rsid w:val="00604890"/>
    <w:rsid w:val="00607143"/>
    <w:rsid w:val="006164AC"/>
    <w:rsid w:val="00672DAC"/>
    <w:rsid w:val="0069013D"/>
    <w:rsid w:val="006C0BB9"/>
    <w:rsid w:val="006C5B24"/>
    <w:rsid w:val="006C6A15"/>
    <w:rsid w:val="006D696C"/>
    <w:rsid w:val="006F302C"/>
    <w:rsid w:val="006F3CC4"/>
    <w:rsid w:val="00760BE2"/>
    <w:rsid w:val="00765848"/>
    <w:rsid w:val="007727ED"/>
    <w:rsid w:val="007B7671"/>
    <w:rsid w:val="007F1C6E"/>
    <w:rsid w:val="008167CE"/>
    <w:rsid w:val="00841EC0"/>
    <w:rsid w:val="0086751E"/>
    <w:rsid w:val="0087408F"/>
    <w:rsid w:val="008E1EF8"/>
    <w:rsid w:val="008F1565"/>
    <w:rsid w:val="0092238A"/>
    <w:rsid w:val="00943E01"/>
    <w:rsid w:val="0095425D"/>
    <w:rsid w:val="00991B41"/>
    <w:rsid w:val="009C0F0C"/>
    <w:rsid w:val="009D35A1"/>
    <w:rsid w:val="00A02BA4"/>
    <w:rsid w:val="00A507A8"/>
    <w:rsid w:val="00A56FBC"/>
    <w:rsid w:val="00A6064A"/>
    <w:rsid w:val="00A75721"/>
    <w:rsid w:val="00A87460"/>
    <w:rsid w:val="00A958AB"/>
    <w:rsid w:val="00A97EC8"/>
    <w:rsid w:val="00AA0071"/>
    <w:rsid w:val="00AA3FED"/>
    <w:rsid w:val="00AA5B27"/>
    <w:rsid w:val="00AB47C2"/>
    <w:rsid w:val="00B11003"/>
    <w:rsid w:val="00B1462C"/>
    <w:rsid w:val="00B151C2"/>
    <w:rsid w:val="00B15555"/>
    <w:rsid w:val="00B21B0B"/>
    <w:rsid w:val="00B26BAB"/>
    <w:rsid w:val="00B27F9D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93558"/>
    <w:rsid w:val="00DA0415"/>
    <w:rsid w:val="00DB2E94"/>
    <w:rsid w:val="00DD6B42"/>
    <w:rsid w:val="00DE713C"/>
    <w:rsid w:val="00DE7F99"/>
    <w:rsid w:val="00E71FCA"/>
    <w:rsid w:val="00EA2967"/>
    <w:rsid w:val="00EC18C0"/>
    <w:rsid w:val="00EF028F"/>
    <w:rsid w:val="00EF78BB"/>
    <w:rsid w:val="00F10B2D"/>
    <w:rsid w:val="00F204DF"/>
    <w:rsid w:val="00F2289B"/>
    <w:rsid w:val="00F31356"/>
    <w:rsid w:val="00F32A70"/>
    <w:rsid w:val="00F42E23"/>
    <w:rsid w:val="00F73CB7"/>
    <w:rsid w:val="00F83243"/>
    <w:rsid w:val="00F978E8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1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F2ED0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2E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DFC9-43FE-4C57-93D7-8A7BED41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2020-11-11T12:57:00Z</dcterms:created>
  <dcterms:modified xsi:type="dcterms:W3CDTF">2020-11-11T12:57:00Z</dcterms:modified>
</cp:coreProperties>
</file>