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17" w:rsidRDefault="006D0420">
      <w:pPr>
        <w:pStyle w:val="Nzev"/>
        <w:spacing w:before="73"/>
        <w:ind w:left="3283" w:right="3148"/>
      </w:pPr>
      <w:r>
        <w:rPr>
          <w:color w:val="808080"/>
        </w:rPr>
        <w:t>Smlouva č. 1190800045 o poskytnutí podpory</w:t>
      </w:r>
    </w:p>
    <w:p w:rsidR="00EE4917" w:rsidRDefault="006D0420">
      <w:pPr>
        <w:pStyle w:val="Nzev"/>
      </w:pPr>
      <w:r>
        <w:rPr>
          <w:color w:val="808080"/>
        </w:rPr>
        <w:t>ze Státního fondu životního prostředí České republiky</w:t>
      </w:r>
    </w:p>
    <w:p w:rsidR="00EE4917" w:rsidRDefault="00EE4917">
      <w:pPr>
        <w:pStyle w:val="Zkladntext"/>
        <w:spacing w:before="0"/>
        <w:ind w:left="0"/>
        <w:jc w:val="left"/>
        <w:rPr>
          <w:sz w:val="60"/>
        </w:rPr>
      </w:pPr>
    </w:p>
    <w:p w:rsidR="00EE4917" w:rsidRDefault="006D0420">
      <w:pPr>
        <w:pStyle w:val="Zkladntext"/>
        <w:spacing w:before="0"/>
        <w:ind w:left="242"/>
        <w:jc w:val="left"/>
      </w:pPr>
      <w:r>
        <w:t>Smluvní strany</w:t>
      </w:r>
    </w:p>
    <w:p w:rsidR="00EE4917" w:rsidRDefault="00EE4917">
      <w:pPr>
        <w:pStyle w:val="Zkladntext"/>
        <w:spacing w:before="1"/>
        <w:ind w:left="0"/>
        <w:jc w:val="left"/>
      </w:pPr>
    </w:p>
    <w:p w:rsidR="00EE4917" w:rsidRDefault="006D0420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EE4917" w:rsidRDefault="006D0420">
      <w:pPr>
        <w:pStyle w:val="Zkladntext"/>
        <w:tabs>
          <w:tab w:val="left" w:pos="3122"/>
        </w:tabs>
        <w:spacing w:before="0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EE4917" w:rsidRDefault="006D0420">
      <w:pPr>
        <w:pStyle w:val="Zkladntext"/>
        <w:tabs>
          <w:tab w:val="left" w:pos="3122"/>
        </w:tabs>
        <w:spacing w:before="0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EE4917" w:rsidRDefault="006D0420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EE4917" w:rsidRDefault="006D0420">
      <w:pPr>
        <w:pStyle w:val="Zkladntext"/>
        <w:tabs>
          <w:tab w:val="left" w:pos="3122"/>
        </w:tabs>
        <w:spacing w:before="0"/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</w:p>
    <w:p w:rsidR="00EE4917" w:rsidRDefault="006D0420">
      <w:pPr>
        <w:pStyle w:val="Zkladntext"/>
        <w:tabs>
          <w:tab w:val="left" w:pos="3122"/>
        </w:tabs>
        <w:spacing w:before="0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EE4917" w:rsidRDefault="006D0420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EE4917" w:rsidRDefault="00EE4917">
      <w:pPr>
        <w:pStyle w:val="Zkladntext"/>
        <w:spacing w:before="1"/>
        <w:ind w:left="0"/>
        <w:jc w:val="left"/>
      </w:pPr>
    </w:p>
    <w:p w:rsidR="00EE4917" w:rsidRDefault="006D0420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EE4917" w:rsidRDefault="00EE4917">
      <w:pPr>
        <w:pStyle w:val="Zkladntext"/>
        <w:spacing w:before="0"/>
        <w:ind w:left="0"/>
        <w:jc w:val="left"/>
      </w:pPr>
    </w:p>
    <w:p w:rsidR="00EE4917" w:rsidRDefault="006D0420">
      <w:pPr>
        <w:pStyle w:val="Nadpis1"/>
        <w:ind w:right="0"/>
        <w:jc w:val="left"/>
      </w:pPr>
      <w:r>
        <w:t>město Janské Lázně</w:t>
      </w:r>
    </w:p>
    <w:p w:rsidR="00EE4917" w:rsidRDefault="006D0420">
      <w:pPr>
        <w:pStyle w:val="Zkladntext"/>
        <w:tabs>
          <w:tab w:val="left" w:pos="3122"/>
        </w:tabs>
        <w:spacing w:before="3" w:line="237" w:lineRule="auto"/>
        <w:ind w:left="242" w:right="44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Janské Lázně, náměstí Svobody 273, 542 25 Janské lázně IČO:</w:t>
      </w:r>
      <w:r>
        <w:tab/>
        <w:t>00277967</w:t>
      </w:r>
    </w:p>
    <w:p w:rsidR="00EE4917" w:rsidRDefault="006D0420">
      <w:pPr>
        <w:pStyle w:val="Zkladntext"/>
        <w:tabs>
          <w:tab w:val="left" w:pos="3122"/>
        </w:tabs>
        <w:spacing w:before="1"/>
        <w:ind w:left="242"/>
        <w:jc w:val="left"/>
      </w:pPr>
      <w:r>
        <w:t>zastoupené:</w:t>
      </w:r>
      <w:r>
        <w:tab/>
        <w:t>Ing.</w:t>
      </w:r>
      <w:r>
        <w:rPr>
          <w:spacing w:val="-1"/>
        </w:rPr>
        <w:t xml:space="preserve"> </w:t>
      </w:r>
      <w:r>
        <w:t>Jiřím</w:t>
      </w:r>
      <w:r>
        <w:rPr>
          <w:spacing w:val="-1"/>
        </w:rPr>
        <w:t xml:space="preserve"> </w:t>
      </w:r>
      <w:r>
        <w:t>H</w:t>
      </w:r>
      <w:r>
        <w:rPr>
          <w:spacing w:val="-14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ý</w:t>
      </w:r>
      <w:r>
        <w:rPr>
          <w:spacing w:val="-11"/>
        </w:rPr>
        <w:t xml:space="preserve"> </w:t>
      </w:r>
      <w:r>
        <w:t>m,</w:t>
      </w:r>
      <w:r>
        <w:rPr>
          <w:spacing w:val="26"/>
        </w:rPr>
        <w:t xml:space="preserve"> </w:t>
      </w:r>
      <w:r>
        <w:t>starostou</w:t>
      </w:r>
    </w:p>
    <w:p w:rsidR="00EE4917" w:rsidRPr="00C54D2F" w:rsidRDefault="006D0420">
      <w:pPr>
        <w:pStyle w:val="Zkladntext"/>
        <w:tabs>
          <w:tab w:val="left" w:pos="3122"/>
        </w:tabs>
        <w:spacing w:before="1"/>
        <w:ind w:left="242"/>
        <w:jc w:val="left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54D2F" w:rsidRPr="00C54D2F">
        <w:rPr>
          <w:highlight w:val="yellow"/>
        </w:rPr>
        <w:t>xxxx</w:t>
      </w:r>
    </w:p>
    <w:p w:rsidR="00C54D2F" w:rsidRDefault="006D0420">
      <w:pPr>
        <w:pStyle w:val="Zkladntext"/>
        <w:tabs>
          <w:tab w:val="left" w:pos="3122"/>
        </w:tabs>
        <w:spacing w:before="0"/>
        <w:ind w:left="242" w:right="5075"/>
        <w:jc w:val="left"/>
        <w:rPr>
          <w:w w:val="95"/>
        </w:rPr>
      </w:pPr>
      <w:bookmarkStart w:id="0" w:name="_GoBack"/>
      <w:bookmarkEnd w:id="0"/>
      <w:r w:rsidRPr="00C54D2F">
        <w:t>číslo</w:t>
      </w:r>
      <w:r w:rsidRPr="00C54D2F">
        <w:rPr>
          <w:spacing w:val="-2"/>
        </w:rPr>
        <w:t xml:space="preserve"> </w:t>
      </w:r>
      <w:r w:rsidRPr="00C54D2F">
        <w:t>účtu:</w:t>
      </w:r>
      <w:r w:rsidRPr="00C54D2F">
        <w:tab/>
      </w:r>
      <w:r w:rsidR="00C54D2F" w:rsidRPr="00C54D2F">
        <w:rPr>
          <w:w w:val="95"/>
          <w:highlight w:val="yellow"/>
        </w:rPr>
        <w:t>xxxx</w:t>
      </w:r>
    </w:p>
    <w:p w:rsidR="00EE4917" w:rsidRDefault="006D0420">
      <w:pPr>
        <w:pStyle w:val="Zkladntext"/>
        <w:tabs>
          <w:tab w:val="left" w:pos="3122"/>
        </w:tabs>
        <w:spacing w:before="0"/>
        <w:ind w:left="24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EE4917" w:rsidRDefault="00EE4917">
      <w:pPr>
        <w:pStyle w:val="Zkladntext"/>
        <w:spacing w:before="1"/>
        <w:ind w:left="0"/>
        <w:jc w:val="left"/>
      </w:pPr>
    </w:p>
    <w:p w:rsidR="00EE4917" w:rsidRDefault="006D0420">
      <w:pPr>
        <w:pStyle w:val="Zkladntext"/>
        <w:spacing w:before="1"/>
        <w:ind w:left="242"/>
        <w:jc w:val="left"/>
      </w:pPr>
      <w:r>
        <w:t>se dohodly takto:</w:t>
      </w:r>
    </w:p>
    <w:p w:rsidR="00EE4917" w:rsidRDefault="00EE4917">
      <w:pPr>
        <w:pStyle w:val="Zkladntext"/>
        <w:spacing w:before="12"/>
        <w:ind w:left="0"/>
        <w:jc w:val="left"/>
        <w:rPr>
          <w:sz w:val="35"/>
        </w:rPr>
      </w:pPr>
    </w:p>
    <w:p w:rsidR="00EE4917" w:rsidRDefault="006D0420">
      <w:pPr>
        <w:pStyle w:val="Nadpis1"/>
        <w:ind w:left="3276"/>
      </w:pPr>
      <w:r>
        <w:t>I.</w:t>
      </w:r>
    </w:p>
    <w:p w:rsidR="00EE4917" w:rsidRDefault="006D0420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EE4917" w:rsidRDefault="00EE4917">
      <w:pPr>
        <w:pStyle w:val="Zkladntext"/>
        <w:spacing w:before="0"/>
        <w:ind w:left="0"/>
        <w:jc w:val="left"/>
        <w:rPr>
          <w:b/>
          <w:sz w:val="18"/>
        </w:rPr>
      </w:pPr>
    </w:p>
    <w:p w:rsidR="00EE4917" w:rsidRDefault="006D0420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E4917" w:rsidRDefault="006D0420">
      <w:pPr>
        <w:pStyle w:val="Zkladntext"/>
        <w:spacing w:before="1"/>
        <w:ind w:right="111"/>
      </w:pPr>
      <w:r>
        <w:t>„Smlouva“) se uzavírá na základě Rozhodnutí ministra životního prostředí č. 1190800045 o poskytnutí 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</w:t>
      </w:r>
      <w:r>
        <w:t>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EE4917" w:rsidRDefault="006D0420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8/2019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</w:t>
      </w:r>
      <w:r>
        <w:rPr>
          <w:sz w:val="20"/>
        </w:rPr>
        <w:t>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EE4917" w:rsidRDefault="00EE4917">
      <w:pPr>
        <w:jc w:val="both"/>
        <w:rPr>
          <w:sz w:val="20"/>
        </w:rPr>
        <w:sectPr w:rsidR="00EE4917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EE4917" w:rsidRDefault="006D0420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EE4917" w:rsidRDefault="006D0420">
      <w:pPr>
        <w:pStyle w:val="Nadpis1"/>
        <w:spacing w:before="120"/>
        <w:ind w:left="2214" w:right="0"/>
        <w:jc w:val="left"/>
      </w:pPr>
      <w:r>
        <w:t>„VO Janské Lázně III. etapa – lokalita centrální parkoviště“</w:t>
      </w:r>
    </w:p>
    <w:p w:rsidR="00EE4917" w:rsidRDefault="006D0420">
      <w:pPr>
        <w:pStyle w:val="Zkladntext"/>
        <w:jc w:val="left"/>
      </w:pPr>
      <w:r>
        <w:t>(dále jen „projekt“ nebo „akce“) realizovanou v roce 2020. Akce je investiční.</w:t>
      </w:r>
    </w:p>
    <w:p w:rsidR="00EE4917" w:rsidRDefault="00EE4917">
      <w:pPr>
        <w:pStyle w:val="Zkladntext"/>
        <w:spacing w:before="1"/>
        <w:ind w:left="0"/>
        <w:jc w:val="left"/>
        <w:rPr>
          <w:sz w:val="36"/>
        </w:rPr>
      </w:pPr>
    </w:p>
    <w:p w:rsidR="00EE4917" w:rsidRDefault="006D0420">
      <w:pPr>
        <w:pStyle w:val="Nadpis1"/>
        <w:ind w:left="3276"/>
      </w:pPr>
      <w:r>
        <w:t>II.</w:t>
      </w:r>
    </w:p>
    <w:p w:rsidR="00EE4917" w:rsidRDefault="006D0420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EE4917" w:rsidRDefault="00EE4917">
      <w:pPr>
        <w:pStyle w:val="Zkladntext"/>
        <w:spacing w:before="3"/>
        <w:ind w:left="0"/>
        <w:jc w:val="left"/>
        <w:rPr>
          <w:b/>
          <w:sz w:val="18"/>
        </w:rPr>
      </w:pPr>
    </w:p>
    <w:p w:rsidR="00EE4917" w:rsidRDefault="006D0420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1 899 923,23 Kč </w:t>
      </w:r>
      <w:r>
        <w:rPr>
          <w:sz w:val="20"/>
        </w:rPr>
        <w:t>(slovy: jeden milión osm set devadesát devět tisíc devět set dvacet tři korun českých, dvacet tři</w:t>
      </w:r>
      <w:r>
        <w:rPr>
          <w:spacing w:val="-21"/>
          <w:sz w:val="20"/>
        </w:rPr>
        <w:t xml:space="preserve"> </w:t>
      </w:r>
      <w:r>
        <w:rPr>
          <w:sz w:val="20"/>
        </w:rPr>
        <w:t>haléřů).</w:t>
      </w:r>
    </w:p>
    <w:p w:rsidR="00EE4917" w:rsidRDefault="006D0420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</w:t>
      </w:r>
      <w:r>
        <w:rPr>
          <w:sz w:val="20"/>
        </w:rPr>
        <w:t>tanoveným Fondem dle žádosti a jejích příloh a činí 2 352 846,10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E4917" w:rsidRDefault="006D0420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80,75 %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E4917" w:rsidRDefault="006D0420">
      <w:pPr>
        <w:pStyle w:val="Odstavecseseznamem"/>
        <w:numPr>
          <w:ilvl w:val="0"/>
          <w:numId w:val="7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</w:t>
      </w:r>
      <w:r>
        <w:rPr>
          <w:sz w:val="20"/>
        </w:rPr>
        <w:t>zace akce) překročí základ pro stanovení podpory (popřípadě jeho část odpovídající postupu realizace akce), uhradí příjemce podpory částku tohoto překročení z vlastních zdrojů.</w:t>
      </w:r>
    </w:p>
    <w:p w:rsidR="00EE4917" w:rsidRDefault="006D0420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</w:t>
      </w:r>
      <w:r>
        <w:rPr>
          <w:sz w:val="20"/>
        </w:rPr>
        <w:t>vněně a nezbytně vynaložených výdajů v přímé souvislosti s realizací projektu a které vznikly a byly uhrazeny v období realizace projektu (tj. po zahájení projektu a před dokončením projektu), nejdříve však po dni podání žádosti o poskytnutí dotace, s výji</w:t>
      </w:r>
      <w:r>
        <w:rPr>
          <w:sz w:val="20"/>
        </w:rPr>
        <w:t>mkou výdajů na projektovou přípravu, které mohou být uznány jako způsobilé i v případě, že vznikly a byly uhrazeny před tímto</w:t>
      </w:r>
      <w:r>
        <w:rPr>
          <w:spacing w:val="-7"/>
          <w:sz w:val="20"/>
        </w:rPr>
        <w:t xml:space="preserve"> </w:t>
      </w:r>
      <w:r>
        <w:rPr>
          <w:sz w:val="20"/>
        </w:rPr>
        <w:t>datem.</w:t>
      </w:r>
    </w:p>
    <w:p w:rsidR="00EE4917" w:rsidRDefault="006D0420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</w:t>
      </w:r>
      <w:r>
        <w:rPr>
          <w:sz w:val="20"/>
        </w:rPr>
        <w:t>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E4917" w:rsidRDefault="006D0420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EE4917" w:rsidRDefault="006D0420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20"/>
        <w:jc w:val="both"/>
        <w:rPr>
          <w:sz w:val="20"/>
        </w:rPr>
      </w:pPr>
      <w:r>
        <w:rPr>
          <w:sz w:val="20"/>
        </w:rPr>
        <w:t>Částka podpory uvedená v bodu 1 odpovídá výši podpory po odečtení finanční opravy stanovené na základě níže popsaného pochybení identifikovaného v rámci zadávacího/výběrového</w:t>
      </w:r>
      <w:r>
        <w:rPr>
          <w:spacing w:val="-9"/>
          <w:sz w:val="20"/>
        </w:rPr>
        <w:t xml:space="preserve"> </w:t>
      </w:r>
      <w:r>
        <w:rPr>
          <w:sz w:val="20"/>
        </w:rPr>
        <w:t>řízení.</w:t>
      </w:r>
    </w:p>
    <w:p w:rsidR="00EE4917" w:rsidRDefault="006D0420">
      <w:pPr>
        <w:pStyle w:val="Zkladntext"/>
        <w:ind w:right="111"/>
      </w:pPr>
      <w:r>
        <w:t>Příjemce</w:t>
      </w:r>
      <w:r>
        <w:rPr>
          <w:spacing w:val="-9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zadavatel</w:t>
      </w:r>
      <w:r>
        <w:rPr>
          <w:spacing w:val="-7"/>
        </w:rPr>
        <w:t xml:space="preserve"> </w:t>
      </w:r>
      <w:r>
        <w:t>porušil</w:t>
      </w:r>
      <w:r>
        <w:rPr>
          <w:spacing w:val="-7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2.7.3</w:t>
      </w:r>
      <w:r>
        <w:rPr>
          <w:spacing w:val="-5"/>
        </w:rPr>
        <w:t xml:space="preserve"> </w:t>
      </w:r>
      <w:r>
        <w:t>Pokynů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spojen</w:t>
      </w:r>
      <w:r>
        <w:t>í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ustanovením</w:t>
      </w:r>
      <w:r>
        <w:rPr>
          <w:spacing w:val="-8"/>
        </w:rPr>
        <w:t xml:space="preserve"> </w:t>
      </w:r>
      <w:r>
        <w:t>2.1.1</w:t>
      </w:r>
      <w:r>
        <w:rPr>
          <w:spacing w:val="-6"/>
        </w:rPr>
        <w:t xml:space="preserve"> </w:t>
      </w:r>
      <w:r>
        <w:t>písm.</w:t>
      </w:r>
      <w:r>
        <w:rPr>
          <w:spacing w:val="-7"/>
        </w:rPr>
        <w:t xml:space="preserve"> </w:t>
      </w:r>
      <w:r>
        <w:t>d) Pokynů tím, že uvedl značkovou specifikaci, a to v případě specifikace parametrů v zadávacích podmínkách, a to konkrétní specifikaci svítidel značky PHILIPS, čímž neodůvodněně zvýhodnil určité výrobky a dodavatele, ačkoli pot</w:t>
      </w:r>
      <w:r>
        <w:t>encionální dodavatelé by mohli nabídnout výrobky jiné či od jiných výrobců, které by taktéž vyhověly požadavkům zadavatele, pokud by tyto byly formulovány v obecné rovině.</w:t>
      </w:r>
    </w:p>
    <w:p w:rsidR="00EE4917" w:rsidRDefault="006D0420">
      <w:pPr>
        <w:pStyle w:val="Zkladntext"/>
        <w:spacing w:before="120"/>
        <w:ind w:right="114"/>
      </w:pPr>
      <w:r>
        <w:t>Za porušení pravidel pro zadávání zakázek se stanovuje příslušná finanční oprava v s</w:t>
      </w:r>
      <w:r>
        <w:t>ouladu s Přílohou č.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Smlouvě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Státního</w:t>
      </w:r>
      <w:r>
        <w:rPr>
          <w:spacing w:val="-6"/>
        </w:rPr>
        <w:t xml:space="preserve"> </w:t>
      </w:r>
      <w:r>
        <w:t>fondu</w:t>
      </w:r>
      <w:r>
        <w:rPr>
          <w:spacing w:val="-7"/>
        </w:rPr>
        <w:t xml:space="preserve"> </w:t>
      </w:r>
      <w:r>
        <w:t>životního</w:t>
      </w:r>
      <w:r>
        <w:rPr>
          <w:spacing w:val="-6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republiky,</w:t>
      </w:r>
      <w:r>
        <w:rPr>
          <w:spacing w:val="-7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toto porušení podřazuje pod typ porušení č. 11 – Stanovení technických podmínek nebo jiných podmínek účasti v řízení v rozporu se zákonem nebo s Pokyny OPŽP, příp. s dokumentem Zadávání VZ v OPŽP,    s tím, že je navržena finanční oprava ve výši 5 % z celk</w:t>
      </w:r>
      <w:r>
        <w:t>ové možné částky dotace použité na financování předmětné zakázky. U tohoto porušení nejsou shledány důvody pro snížení finanční</w:t>
      </w:r>
      <w:r>
        <w:rPr>
          <w:spacing w:val="-13"/>
        </w:rPr>
        <w:t xml:space="preserve"> </w:t>
      </w:r>
      <w:r>
        <w:t>opravy.</w:t>
      </w:r>
    </w:p>
    <w:p w:rsidR="00EE4917" w:rsidRDefault="00EE4917">
      <w:pPr>
        <w:sectPr w:rsidR="00EE4917">
          <w:pgSz w:w="12240" w:h="15840"/>
          <w:pgMar w:top="1060" w:right="1020" w:bottom="1660" w:left="1460" w:header="0" w:footer="1380" w:gutter="0"/>
          <w:cols w:space="708"/>
        </w:sectPr>
      </w:pPr>
    </w:p>
    <w:p w:rsidR="00EE4917" w:rsidRDefault="006D0420">
      <w:pPr>
        <w:pStyle w:val="Zkladntext"/>
        <w:spacing w:before="73"/>
        <w:ind w:right="220"/>
        <w:jc w:val="left"/>
      </w:pPr>
      <w:r>
        <w:lastRenderedPageBreak/>
        <w:t>Daná finanční  oprava  se  vztahuje  k  finančním prostředkům poskytnutým na  předmětnou  zakázku  v násle</w:t>
      </w:r>
      <w:r>
        <w:t>dujícím</w:t>
      </w:r>
      <w:r>
        <w:rPr>
          <w:spacing w:val="-3"/>
        </w:rPr>
        <w:t xml:space="preserve"> </w:t>
      </w:r>
      <w:r>
        <w:t>členění:</w:t>
      </w:r>
    </w:p>
    <w:p w:rsidR="00EE4917" w:rsidRDefault="006D0420">
      <w:pPr>
        <w:pStyle w:val="Odstavecseseznamem"/>
        <w:numPr>
          <w:ilvl w:val="0"/>
          <w:numId w:val="6"/>
        </w:numPr>
        <w:tabs>
          <w:tab w:val="left" w:pos="950"/>
          <w:tab w:val="left" w:pos="3842"/>
        </w:tabs>
        <w:jc w:val="left"/>
        <w:rPr>
          <w:sz w:val="20"/>
        </w:rPr>
      </w:pPr>
      <w:r>
        <w:rPr>
          <w:sz w:val="20"/>
        </w:rPr>
        <w:t>způsobilé výdaje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zakázku</w:t>
      </w:r>
      <w:r>
        <w:rPr>
          <w:sz w:val="20"/>
        </w:rPr>
        <w:tab/>
        <w:t>2 352 846,10</w:t>
      </w:r>
      <w:r>
        <w:rPr>
          <w:spacing w:val="1"/>
          <w:sz w:val="20"/>
        </w:rPr>
        <w:t xml:space="preserve"> </w:t>
      </w:r>
      <w:r>
        <w:rPr>
          <w:sz w:val="20"/>
        </w:rPr>
        <w:t>Kč,</w:t>
      </w:r>
    </w:p>
    <w:p w:rsidR="00EE4917" w:rsidRDefault="006D0420">
      <w:pPr>
        <w:pStyle w:val="Odstavecseseznamem"/>
        <w:numPr>
          <w:ilvl w:val="0"/>
          <w:numId w:val="6"/>
        </w:numPr>
        <w:tabs>
          <w:tab w:val="left" w:pos="950"/>
          <w:tab w:val="left" w:pos="7109"/>
        </w:tabs>
        <w:spacing w:before="120"/>
        <w:jc w:val="left"/>
        <w:rPr>
          <w:sz w:val="20"/>
        </w:rPr>
      </w:pPr>
      <w:r>
        <w:rPr>
          <w:sz w:val="20"/>
        </w:rPr>
        <w:t>finanční oprava v Kč uplatněná vůči výdajům na</w:t>
      </w:r>
      <w:r>
        <w:rPr>
          <w:spacing w:val="-16"/>
          <w:sz w:val="20"/>
        </w:rPr>
        <w:t xml:space="preserve"> </w:t>
      </w:r>
      <w:r>
        <w:rPr>
          <w:sz w:val="20"/>
        </w:rPr>
        <w:t>danou</w:t>
      </w:r>
      <w:r>
        <w:rPr>
          <w:spacing w:val="1"/>
          <w:sz w:val="20"/>
        </w:rPr>
        <w:t xml:space="preserve"> </w:t>
      </w:r>
      <w:r>
        <w:rPr>
          <w:sz w:val="20"/>
        </w:rPr>
        <w:t>zakázku</w:t>
      </w:r>
      <w:r>
        <w:rPr>
          <w:sz w:val="20"/>
        </w:rPr>
        <w:tab/>
        <w:t>99 995,95</w:t>
      </w:r>
      <w:r>
        <w:rPr>
          <w:spacing w:val="-1"/>
          <w:sz w:val="20"/>
        </w:rPr>
        <w:t xml:space="preserve"> </w:t>
      </w:r>
      <w:r>
        <w:rPr>
          <w:sz w:val="20"/>
        </w:rPr>
        <w:t>Kč,</w:t>
      </w:r>
    </w:p>
    <w:p w:rsidR="00EE4917" w:rsidRDefault="006D0420">
      <w:pPr>
        <w:pStyle w:val="Odstavecseseznamem"/>
        <w:numPr>
          <w:ilvl w:val="0"/>
          <w:numId w:val="6"/>
        </w:numPr>
        <w:tabs>
          <w:tab w:val="left" w:pos="950"/>
          <w:tab w:val="left" w:pos="7217"/>
        </w:tabs>
        <w:jc w:val="left"/>
        <w:rPr>
          <w:sz w:val="20"/>
        </w:rPr>
      </w:pPr>
      <w:r>
        <w:rPr>
          <w:sz w:val="20"/>
        </w:rPr>
        <w:t>poskytnutá podpora k dané zakázce po odečtení</w:t>
      </w:r>
      <w:r>
        <w:rPr>
          <w:spacing w:val="-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opravy</w:t>
      </w:r>
      <w:r>
        <w:rPr>
          <w:sz w:val="20"/>
        </w:rPr>
        <w:tab/>
        <w:t>1 899 923,23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EE4917" w:rsidRDefault="00EE4917">
      <w:pPr>
        <w:pStyle w:val="Zkladntext"/>
        <w:spacing w:before="1"/>
        <w:ind w:left="0"/>
        <w:jc w:val="left"/>
        <w:rPr>
          <w:sz w:val="36"/>
        </w:rPr>
      </w:pPr>
    </w:p>
    <w:p w:rsidR="00EE4917" w:rsidRDefault="006D0420">
      <w:pPr>
        <w:pStyle w:val="Nadpis1"/>
        <w:ind w:left="3275"/>
      </w:pPr>
      <w:r>
        <w:t>III.</w:t>
      </w:r>
    </w:p>
    <w:p w:rsidR="00EE4917" w:rsidRDefault="006D0420">
      <w:pPr>
        <w:spacing w:before="1"/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EE4917" w:rsidRDefault="00EE4917">
      <w:pPr>
        <w:pStyle w:val="Zkladntext"/>
        <w:spacing w:before="11"/>
        <w:ind w:left="0"/>
        <w:jc w:val="left"/>
        <w:rPr>
          <w:b/>
          <w:sz w:val="17"/>
        </w:rPr>
      </w:pP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EE4917" w:rsidRDefault="00EE4917">
      <w:pPr>
        <w:pStyle w:val="Zkladntext"/>
        <w:spacing w:before="0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E4917">
        <w:trPr>
          <w:trHeight w:val="506"/>
        </w:trPr>
        <w:tc>
          <w:tcPr>
            <w:tcW w:w="4532" w:type="dxa"/>
          </w:tcPr>
          <w:p w:rsidR="00EE4917" w:rsidRDefault="006D0420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EE4917" w:rsidRDefault="006D0420">
            <w:pPr>
              <w:pStyle w:val="TableParagraph"/>
              <w:spacing w:before="120"/>
              <w:ind w:left="1845" w:right="1842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EE4917">
        <w:trPr>
          <w:trHeight w:val="505"/>
        </w:trPr>
        <w:tc>
          <w:tcPr>
            <w:tcW w:w="4532" w:type="dxa"/>
          </w:tcPr>
          <w:p w:rsidR="00EE4917" w:rsidRDefault="006D0420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866" w:type="dxa"/>
          </w:tcPr>
          <w:p w:rsidR="00EE4917" w:rsidRDefault="006D0420">
            <w:pPr>
              <w:pStyle w:val="TableParagraph"/>
              <w:spacing w:before="120"/>
              <w:ind w:left="1849" w:right="1842"/>
              <w:jc w:val="center"/>
              <w:rPr>
                <w:sz w:val="20"/>
              </w:rPr>
            </w:pPr>
            <w:r>
              <w:rPr>
                <w:sz w:val="20"/>
              </w:rPr>
              <w:t>1 899 923,23</w:t>
            </w:r>
          </w:p>
        </w:tc>
      </w:tr>
    </w:tbl>
    <w:p w:rsidR="00EE4917" w:rsidRDefault="00EE4917">
      <w:pPr>
        <w:pStyle w:val="Zkladntext"/>
        <w:spacing w:before="11"/>
        <w:ind w:left="0"/>
        <w:jc w:val="left"/>
        <w:rPr>
          <w:sz w:val="28"/>
        </w:rPr>
      </w:pP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příslušné doklady prokazující oprávněnost v</w:t>
      </w:r>
      <w:r>
        <w:rPr>
          <w:sz w:val="20"/>
        </w:rPr>
        <w:t>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</w:t>
      </w:r>
      <w:r>
        <w:rPr>
          <w:sz w:val="20"/>
        </w:rPr>
        <w:t>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4"/>
          <w:sz w:val="20"/>
        </w:rPr>
        <w:t xml:space="preserve"> </w:t>
      </w:r>
      <w:r>
        <w:rPr>
          <w:sz w:val="20"/>
        </w:rPr>
        <w:t>akce.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</w:t>
      </w:r>
      <w:r>
        <w:rPr>
          <w:sz w:val="20"/>
        </w:rPr>
        <w:t>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   dle    Fondem     akceptovaného     finančně     platebního     kalendáře     v AIS     SFŽP     ČR a na základě žádostí o uvolnění finančníc</w:t>
      </w:r>
      <w:r>
        <w:rPr>
          <w:sz w:val="20"/>
        </w:rPr>
        <w:t>h prostředků doručených Fondu příjemcem podpory prostřednictvím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EE4917" w:rsidRDefault="00EE4917">
      <w:pPr>
        <w:jc w:val="both"/>
        <w:rPr>
          <w:sz w:val="20"/>
        </w:rPr>
        <w:sectPr w:rsidR="00EE4917">
          <w:pgSz w:w="12240" w:h="15840"/>
          <w:pgMar w:top="1060" w:right="1020" w:bottom="1660" w:left="1460" w:header="0" w:footer="1380" w:gutter="0"/>
          <w:cols w:space="708"/>
        </w:sectPr>
      </w:pP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hanging="426"/>
        <w:jc w:val="both"/>
        <w:rPr>
          <w:sz w:val="20"/>
        </w:rPr>
      </w:pPr>
      <w:r>
        <w:rPr>
          <w:sz w:val="20"/>
        </w:rPr>
        <w:lastRenderedPageBreak/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EE4917" w:rsidRDefault="006D042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EE4917" w:rsidRDefault="006D0420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6" w:hanging="358"/>
        <w:jc w:val="both"/>
        <w:rPr>
          <w:sz w:val="20"/>
        </w:rPr>
      </w:pPr>
      <w:r>
        <w:rPr>
          <w:sz w:val="20"/>
        </w:rPr>
        <w:t>kopie bankovních výpisů dokladující uhrazení fakt</w:t>
      </w:r>
      <w:r>
        <w:rPr>
          <w:sz w:val="20"/>
        </w:rPr>
        <w:t>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</w:t>
      </w:r>
      <w:r>
        <w:rPr>
          <w:sz w:val="20"/>
        </w:rPr>
        <w:t>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09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 předloží Fondu neuhrazené nebo částečně uhrazené faktury, doloží příjemce podpory Fondu nejpozději do 10 kalendářních dnů od uvolnění finančních prostř</w:t>
      </w:r>
      <w:r>
        <w:rPr>
          <w:sz w:val="20"/>
        </w:rPr>
        <w:t>edků relevantní doklady prokazující uhrazení těchto faktur, včetně podílu vlastních zdrojů. Fond akceptuje předložení faktur i z roku předcházejícího uvolnění podpory, pokud fakturace odpovídá termínům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</w:t>
      </w:r>
      <w:r>
        <w:rPr>
          <w:sz w:val="20"/>
        </w:rPr>
        <w:t>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 kalendáře.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</w:t>
      </w:r>
      <w:r>
        <w:rPr>
          <w:sz w:val="20"/>
        </w:rPr>
        <w:t xml:space="preserve"> nebo dobropis faktury, je povinen tyto doklady včetně zdůvodnění 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Pokud bude akce nebo její část realizována svépo</w:t>
      </w:r>
      <w:r>
        <w:rPr>
          <w:sz w:val="20"/>
        </w:rPr>
        <w:t>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 účetními doklady.</w:t>
      </w:r>
    </w:p>
    <w:p w:rsidR="00EE4917" w:rsidRDefault="006D042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EE4917" w:rsidRDefault="00EE4917">
      <w:pPr>
        <w:pStyle w:val="Zkladntext"/>
        <w:spacing w:before="9"/>
        <w:ind w:left="0"/>
        <w:jc w:val="left"/>
        <w:rPr>
          <w:sz w:val="28"/>
        </w:rPr>
      </w:pPr>
    </w:p>
    <w:p w:rsidR="00EE4917" w:rsidRDefault="006D0420">
      <w:pPr>
        <w:pStyle w:val="Nadpis1"/>
        <w:spacing w:before="99"/>
        <w:ind w:left="3279"/>
      </w:pPr>
      <w:r>
        <w:t>IV.</w:t>
      </w:r>
    </w:p>
    <w:p w:rsidR="00EE4917" w:rsidRDefault="006D0420">
      <w:pPr>
        <w:spacing w:before="1"/>
        <w:ind w:left="1142" w:right="1013"/>
        <w:jc w:val="center"/>
        <w:rPr>
          <w:b/>
          <w:sz w:val="20"/>
        </w:rPr>
      </w:pPr>
      <w:r>
        <w:rPr>
          <w:b/>
          <w:sz w:val="20"/>
        </w:rPr>
        <w:t>Zák</w:t>
      </w:r>
      <w:r>
        <w:rPr>
          <w:b/>
          <w:sz w:val="20"/>
        </w:rPr>
        <w:t>ladní závazky a další povinnosti příjemce podpory</w:t>
      </w:r>
    </w:p>
    <w:p w:rsidR="00EE4917" w:rsidRDefault="00EE4917">
      <w:pPr>
        <w:pStyle w:val="Zkladntext"/>
        <w:spacing w:before="11"/>
        <w:ind w:left="0"/>
        <w:jc w:val="left"/>
        <w:rPr>
          <w:b/>
          <w:sz w:val="17"/>
        </w:rPr>
      </w:pPr>
    </w:p>
    <w:p w:rsidR="00EE4917" w:rsidRDefault="006D0420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7"/>
        <w:rPr>
          <w:sz w:val="20"/>
        </w:rPr>
      </w:pPr>
      <w:r>
        <w:rPr>
          <w:sz w:val="20"/>
        </w:rPr>
        <w:t>akce byla provedena podle Fondem odsouhlasené projektové dokumentace, zpracované Pavlem Munzarem (10/2019) a v souladu s energetickým posudkem, zpracovaným Ing. Petrem Čeňkem (11/2019),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provede rekonstrukci veřejného osvětlení, při které bude vyměněno 30 s</w:t>
      </w:r>
      <w:r>
        <w:rPr>
          <w:sz w:val="20"/>
        </w:rPr>
        <w:t>vítidel a dosaženo roční energetické úspory ve výši 1,99</w:t>
      </w:r>
      <w:r>
        <w:rPr>
          <w:spacing w:val="-2"/>
          <w:sz w:val="20"/>
        </w:rPr>
        <w:t xml:space="preserve"> </w:t>
      </w:r>
      <w:r>
        <w:rPr>
          <w:sz w:val="20"/>
        </w:rPr>
        <w:t>MWh/rok,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9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 čtvrté) po dobu 5 let od ukončení realizace akce (příslušné doklad</w:t>
      </w:r>
      <w:r>
        <w:rPr>
          <w:sz w:val="20"/>
        </w:rPr>
        <w:t>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rPr>
          <w:sz w:val="20"/>
        </w:rPr>
      </w:pPr>
      <w:r>
        <w:rPr>
          <w:sz w:val="20"/>
        </w:rPr>
        <w:t>se zavazuje k tomu,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EE4917" w:rsidRDefault="00EE4917">
      <w:pPr>
        <w:rPr>
          <w:sz w:val="20"/>
        </w:rPr>
        <w:sectPr w:rsidR="00EE4917">
          <w:pgSz w:w="12240" w:h="15840"/>
          <w:pgMar w:top="1060" w:right="1020" w:bottom="1660" w:left="1460" w:header="0" w:footer="1380" w:gutter="0"/>
          <w:cols w:space="708"/>
        </w:sectPr>
      </w:pPr>
    </w:p>
    <w:p w:rsidR="00EE4917" w:rsidRDefault="006D0420">
      <w:pPr>
        <w:pStyle w:val="Zkladntext"/>
        <w:spacing w:before="73"/>
        <w:ind w:left="923"/>
      </w:pPr>
      <w:r>
        <w:lastRenderedPageBreak/>
        <w:t xml:space="preserve">a jejich výstupů řádně plněn </w:t>
      </w:r>
      <w:r>
        <w:t>po dobu 5 let od ukončení realizace akce,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 akcí odděleně identifikovat od ostatních účetních</w:t>
      </w:r>
      <w:r>
        <w:rPr>
          <w:spacing w:val="-39"/>
          <w:sz w:val="20"/>
        </w:rPr>
        <w:t xml:space="preserve"> </w:t>
      </w:r>
      <w:r>
        <w:rPr>
          <w:sz w:val="20"/>
        </w:rPr>
        <w:t xml:space="preserve">transakcí, které s akcí nesouvisejí, a zavazuje se vést </w:t>
      </w:r>
      <w:r>
        <w:rPr>
          <w:sz w:val="20"/>
        </w:rPr>
        <w:t>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0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 dobu od podání žádosti o poskytnutí d</w:t>
      </w:r>
      <w:r>
        <w:rPr>
          <w:sz w:val="20"/>
        </w:rPr>
        <w:t>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článku 14.3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termín dokončení akce do konce 12/2020 a o dodržení tohoto termínu Fond bez zbytečného 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 díla u relevantních aktivit). Přitom se konstatuje, že akce byla zahájena v</w:t>
      </w:r>
      <w:r>
        <w:rPr>
          <w:spacing w:val="-5"/>
          <w:sz w:val="20"/>
        </w:rPr>
        <w:t xml:space="preserve"> </w:t>
      </w:r>
      <w:r>
        <w:rPr>
          <w:sz w:val="20"/>
        </w:rPr>
        <w:t>5/2020,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</w:t>
      </w:r>
      <w:r>
        <w:rPr>
          <w:sz w:val="20"/>
        </w:rPr>
        <w:t>FŽP ČR Fondu tyto podklady k závěrečnému vyhodnocení akce (dále jen</w:t>
      </w:r>
      <w:r>
        <w:rPr>
          <w:spacing w:val="-5"/>
          <w:sz w:val="20"/>
        </w:rPr>
        <w:t xml:space="preserve"> </w:t>
      </w:r>
      <w:r>
        <w:rPr>
          <w:sz w:val="20"/>
        </w:rPr>
        <w:t>„ZVA"):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stručnou závěrečnou zprávu o realizaci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9"/>
        <w:rPr>
          <w:sz w:val="20"/>
        </w:rPr>
      </w:pPr>
      <w:r>
        <w:rPr>
          <w:sz w:val="20"/>
        </w:rPr>
        <w:t>protokol o ověření osvětlenosti pozemních komunikací a dalších výzvou požadovaných parametrů vypracovaný dle metodického pokynu,</w:t>
      </w:r>
    </w:p>
    <w:p w:rsidR="00EE4917" w:rsidRDefault="006D0420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posouzení reálně dosažených úspor energie po jednom roce</w:t>
      </w:r>
      <w:r>
        <w:rPr>
          <w:spacing w:val="-8"/>
          <w:sz w:val="20"/>
        </w:rPr>
        <w:t xml:space="preserve"> </w:t>
      </w:r>
      <w:r>
        <w:rPr>
          <w:sz w:val="20"/>
        </w:rPr>
        <w:t>provozu.</w:t>
      </w:r>
    </w:p>
    <w:p w:rsidR="00EE4917" w:rsidRDefault="006D0420">
      <w:pPr>
        <w:pStyle w:val="Zkladntext"/>
        <w:ind w:right="112"/>
      </w:pPr>
      <w:r>
        <w:t>K ZVA může Fond vydat závazné pokyny (či požádat o informace)</w:t>
      </w:r>
      <w:r>
        <w:t>, které mohou jeho obsah blíže specifikovat či rozšířit. Příjemce podpory je povinen tyto pokyny (žádost o informace) bez zbytečného odkladu (případně ve lhůtě stanovené Fondem) splnit. Fond není povinen vydat protokol o závěrečném vyhodnocení</w:t>
      </w:r>
      <w:r>
        <w:rPr>
          <w:spacing w:val="-6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dříve,</w:t>
      </w:r>
      <w:r>
        <w:rPr>
          <w:spacing w:val="-4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veškeré</w:t>
      </w:r>
      <w:r>
        <w:rPr>
          <w:spacing w:val="-5"/>
        </w:rPr>
        <w:t xml:space="preserve"> </w:t>
      </w:r>
      <w:r>
        <w:t>požadované</w:t>
      </w:r>
      <w:r>
        <w:rPr>
          <w:spacing w:val="-5"/>
        </w:rPr>
        <w:t xml:space="preserve"> </w:t>
      </w:r>
      <w:r>
        <w:t>podklady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informace,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kterých</w:t>
      </w:r>
      <w:r>
        <w:rPr>
          <w:spacing w:val="-4"/>
        </w:rPr>
        <w:t xml:space="preserve"> </w:t>
      </w:r>
      <w:r>
        <w:t>bude moci</w:t>
      </w:r>
      <w:r>
        <w:rPr>
          <w:spacing w:val="-12"/>
        </w:rPr>
        <w:t xml:space="preserve"> </w:t>
      </w:r>
      <w:r>
        <w:t>jednoznačně</w:t>
      </w:r>
      <w:r>
        <w:rPr>
          <w:spacing w:val="-11"/>
        </w:rPr>
        <w:t xml:space="preserve"> </w:t>
      </w:r>
      <w:r>
        <w:t>rozhodnout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podmínek</w:t>
      </w:r>
      <w:r>
        <w:rPr>
          <w:spacing w:val="-12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rovněž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podpory je v prodlení s plněním finančních závazků vůči Fondu. Protokol o závěrečném vyho</w:t>
      </w:r>
      <w:r>
        <w:t>dnocení akce bude obsahovat vypořádání čerpaných prostředků a vyhodnocení plnění smluvních</w:t>
      </w:r>
      <w:r>
        <w:rPr>
          <w:spacing w:val="-8"/>
        </w:rPr>
        <w:t xml:space="preserve"> </w:t>
      </w:r>
      <w:r>
        <w:t>podmínek.</w:t>
      </w:r>
    </w:p>
    <w:p w:rsidR="00EE4917" w:rsidRDefault="006D042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z w:val="20"/>
        </w:rPr>
        <w:t xml:space="preserve"> předpisy,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5"/>
          <w:sz w:val="20"/>
        </w:rPr>
        <w:t xml:space="preserve"> </w:t>
      </w:r>
      <w:r>
        <w:rPr>
          <w:sz w:val="20"/>
        </w:rPr>
        <w:t>dobu,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</w:t>
      </w:r>
      <w:r>
        <w:rPr>
          <w:sz w:val="20"/>
        </w:rPr>
        <w:t>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EE4917" w:rsidRDefault="00EE4917">
      <w:pPr>
        <w:jc w:val="both"/>
        <w:rPr>
          <w:sz w:val="20"/>
        </w:rPr>
        <w:sectPr w:rsidR="00EE4917">
          <w:pgSz w:w="12240" w:h="15840"/>
          <w:pgMar w:top="1060" w:right="1020" w:bottom="1660" w:left="1460" w:header="0" w:footer="1380" w:gutter="0"/>
          <w:cols w:space="708"/>
        </w:sectPr>
      </w:pP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6"/>
        <w:jc w:val="both"/>
        <w:rPr>
          <w:sz w:val="20"/>
        </w:rPr>
      </w:pPr>
      <w:r>
        <w:rPr>
          <w:sz w:val="20"/>
        </w:rPr>
        <w:lastRenderedPageBreak/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 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 Fondu poskytl před uzavřením této Smlouvy, byly pravdivé, nezkres</w:t>
      </w:r>
      <w:r>
        <w:rPr>
          <w:sz w:val="20"/>
        </w:rPr>
        <w:t>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</w:t>
      </w:r>
      <w:r>
        <w:rPr>
          <w:sz w:val="20"/>
        </w:rPr>
        <w:t xml:space="preserve">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EE4917" w:rsidRDefault="006D042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Specifické povinnosti relevantní </w:t>
      </w:r>
      <w:r>
        <w:rPr>
          <w:sz w:val="20"/>
        </w:rPr>
        <w:t>pouze pro OPŽP 2014-2020 se na příjemce podpory nevztahují.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EE4917" w:rsidRDefault="00EE4917">
      <w:pPr>
        <w:pStyle w:val="Zkladntext"/>
        <w:spacing w:before="1"/>
        <w:ind w:left="0"/>
        <w:jc w:val="left"/>
        <w:rPr>
          <w:sz w:val="36"/>
        </w:rPr>
      </w:pPr>
    </w:p>
    <w:p w:rsidR="00EE4917" w:rsidRDefault="006D0420">
      <w:pPr>
        <w:pStyle w:val="Nadpis1"/>
        <w:spacing w:before="1"/>
        <w:ind w:left="3274"/>
      </w:pPr>
      <w:r>
        <w:t>V.</w:t>
      </w:r>
    </w:p>
    <w:p w:rsidR="00EE4917" w:rsidRDefault="006D0420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EE4917" w:rsidRDefault="00EE4917">
      <w:pPr>
        <w:pStyle w:val="Zkladntext"/>
        <w:spacing w:before="1"/>
        <w:ind w:left="0"/>
        <w:jc w:val="left"/>
        <w:rPr>
          <w:b/>
          <w:sz w:val="18"/>
        </w:rPr>
      </w:pPr>
    </w:p>
    <w:p w:rsidR="00EE4917" w:rsidRDefault="006D0420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EE4917" w:rsidRDefault="006D042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článku</w:t>
      </w:r>
      <w:r>
        <w:rPr>
          <w:spacing w:val="15"/>
          <w:sz w:val="20"/>
        </w:rPr>
        <w:t xml:space="preserve"> </w:t>
      </w:r>
      <w:r>
        <w:rPr>
          <w:sz w:val="20"/>
        </w:rPr>
        <w:t>II</w:t>
      </w:r>
      <w:r>
        <w:rPr>
          <w:spacing w:val="14"/>
          <w:sz w:val="20"/>
        </w:rPr>
        <w:t xml:space="preserve"> </w:t>
      </w:r>
      <w:r>
        <w:rPr>
          <w:sz w:val="20"/>
        </w:rPr>
        <w:t>bodů</w:t>
      </w:r>
      <w:r>
        <w:rPr>
          <w:spacing w:val="15"/>
          <w:sz w:val="20"/>
        </w:rPr>
        <w:t xml:space="preserve"> </w:t>
      </w:r>
      <w:r>
        <w:rPr>
          <w:sz w:val="20"/>
        </w:rPr>
        <w:t>5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  <w:r>
        <w:rPr>
          <w:spacing w:val="16"/>
          <w:sz w:val="20"/>
        </w:rPr>
        <w:t xml:space="preserve"> </w:t>
      </w:r>
      <w:r>
        <w:rPr>
          <w:sz w:val="20"/>
        </w:rPr>
        <w:t>6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4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písm.</w:t>
      </w:r>
      <w:r>
        <w:rPr>
          <w:spacing w:val="15"/>
          <w:sz w:val="20"/>
        </w:rPr>
        <w:t xml:space="preserve"> </w:t>
      </w:r>
      <w:r>
        <w:rPr>
          <w:sz w:val="20"/>
        </w:rPr>
        <w:t>a),</w:t>
      </w:r>
      <w:r>
        <w:rPr>
          <w:spacing w:val="15"/>
          <w:sz w:val="20"/>
        </w:rPr>
        <w:t xml:space="preserve"> </w:t>
      </w:r>
      <w:r>
        <w:rPr>
          <w:sz w:val="20"/>
        </w:rPr>
        <w:t>c),</w:t>
      </w:r>
      <w:r>
        <w:rPr>
          <w:spacing w:val="15"/>
          <w:sz w:val="20"/>
        </w:rPr>
        <w:t xml:space="preserve"> </w:t>
      </w:r>
      <w:r>
        <w:rPr>
          <w:sz w:val="20"/>
        </w:rPr>
        <w:t>d)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</w:p>
    <w:p w:rsidR="00EE4917" w:rsidRDefault="006D0420">
      <w:pPr>
        <w:pStyle w:val="Zkladntext"/>
        <w:spacing w:before="0"/>
        <w:ind w:right="110"/>
      </w:pPr>
      <w:r>
        <w:t>e) bude postiženo odvodem ve výši 100 % z poskytnuté podpory. Porušení povinností podle článku    IV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první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druhou</w:t>
      </w:r>
      <w:r>
        <w:rPr>
          <w:spacing w:val="-6"/>
        </w:rPr>
        <w:t xml:space="preserve"> </w:t>
      </w:r>
      <w:r>
        <w:t>odrážkou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postiženo</w:t>
      </w:r>
      <w:r>
        <w:rPr>
          <w:spacing w:val="-5"/>
        </w:rPr>
        <w:t xml:space="preserve"> </w:t>
      </w:r>
      <w:r>
        <w:t>odvodem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poskytnuté podpory.</w:t>
      </w:r>
    </w:p>
    <w:p w:rsidR="00EE4917" w:rsidRDefault="006D0420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 podle článku IV bodu 1 písm. a) za druhou odrážkou na méně než 50 % stanovených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50-90  %  stanovených  indikátorů,  bude  toto  porušení  postiženo  odvodem  v rozmezí  10-50   %    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EE4917" w:rsidRDefault="00EE4917">
      <w:pPr>
        <w:jc w:val="both"/>
        <w:rPr>
          <w:sz w:val="20"/>
        </w:rPr>
        <w:sectPr w:rsidR="00EE4917">
          <w:pgSz w:w="12240" w:h="15840"/>
          <w:pgMar w:top="1060" w:right="1020" w:bottom="1660" w:left="1460" w:header="0" w:footer="1380" w:gutter="0"/>
          <w:cols w:space="708"/>
        </w:sectPr>
      </w:pPr>
    </w:p>
    <w:p w:rsidR="00EE4917" w:rsidRDefault="006D0420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Porušení povinností podle článku IV bodu 1 písm. c)  nebo d)  bude postiženo odvodem ve výši 0,5 %   z poskytnuté podpory za každý započatý měsíc prodlení. Porušení těch</w:t>
      </w:r>
      <w:r>
        <w:rPr>
          <w:sz w:val="20"/>
        </w:rPr>
        <w:t>to povinností nepřesahující lhůtu 10 kalendářních dnů nebude postiženo a nebude tak považováno za porušení podmínek poskytnutí podpory.</w:t>
      </w:r>
    </w:p>
    <w:p w:rsidR="00EE4917" w:rsidRDefault="006D042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</w:t>
      </w:r>
      <w:r>
        <w:rPr>
          <w:sz w:val="20"/>
        </w:rPr>
        <w:t>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EE4917" w:rsidRDefault="006D0420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EE4917" w:rsidRDefault="00EE4917">
      <w:pPr>
        <w:pStyle w:val="Zkladntext"/>
        <w:spacing w:before="2"/>
        <w:ind w:left="0"/>
        <w:jc w:val="left"/>
        <w:rPr>
          <w:sz w:val="36"/>
        </w:rPr>
      </w:pPr>
    </w:p>
    <w:p w:rsidR="00EE4917" w:rsidRDefault="006D0420">
      <w:pPr>
        <w:pStyle w:val="Nadpis1"/>
        <w:ind w:left="3277"/>
      </w:pPr>
      <w:r>
        <w:t>VI.</w:t>
      </w:r>
    </w:p>
    <w:p w:rsidR="00EE4917" w:rsidRDefault="006D0420">
      <w:pPr>
        <w:ind w:left="3275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E4917" w:rsidRDefault="00EE4917">
      <w:pPr>
        <w:pStyle w:val="Zkladntext"/>
        <w:spacing w:before="1"/>
        <w:ind w:left="0"/>
        <w:jc w:val="left"/>
        <w:rPr>
          <w:b/>
          <w:sz w:val="18"/>
        </w:rPr>
      </w:pP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3"/>
          <w:sz w:val="20"/>
        </w:rPr>
        <w:t xml:space="preserve"> </w:t>
      </w:r>
      <w:r>
        <w:rPr>
          <w:sz w:val="20"/>
        </w:rPr>
        <w:t>týkat.</w:t>
      </w: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</w:t>
      </w:r>
      <w:r>
        <w:rPr>
          <w:sz w:val="20"/>
        </w:rPr>
        <w:t>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 účely této  Smlouvy se informací (povinností 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Sb., o zvláštních podmínkách účinnosti některých smluv, uveřejňování těchto smluv a o registru smluv (zákon o registru smluv), ve znění pozdějš</w:t>
      </w:r>
      <w:r>
        <w:rPr>
          <w:sz w:val="20"/>
        </w:rPr>
        <w:t>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EE4917" w:rsidRDefault="006D042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</w:t>
      </w:r>
      <w:r>
        <w:rPr>
          <w:sz w:val="20"/>
        </w:rPr>
        <w:t>depsána vlastnoručně; každý exemplář má platnost originálu. Každá smluvní strana obdrží jeden exemplář.</w:t>
      </w:r>
    </w:p>
    <w:p w:rsidR="00EE4917" w:rsidRDefault="00EE4917">
      <w:pPr>
        <w:jc w:val="both"/>
        <w:rPr>
          <w:sz w:val="20"/>
        </w:rPr>
        <w:sectPr w:rsidR="00EE4917">
          <w:pgSz w:w="12240" w:h="15840"/>
          <w:pgMar w:top="1060" w:right="1020" w:bottom="1660" w:left="1460" w:header="0" w:footer="1380" w:gutter="0"/>
          <w:cols w:space="708"/>
        </w:sectPr>
      </w:pPr>
    </w:p>
    <w:p w:rsidR="00EE4917" w:rsidRDefault="006D0420">
      <w:pPr>
        <w:pStyle w:val="Zkladntext"/>
        <w:tabs>
          <w:tab w:val="left" w:pos="6713"/>
        </w:tabs>
        <w:spacing w:before="73"/>
        <w:ind w:left="242"/>
        <w:jc w:val="left"/>
      </w:pPr>
      <w:r>
        <w:lastRenderedPageBreak/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EE4917" w:rsidRDefault="00EE4917">
      <w:pPr>
        <w:pStyle w:val="Zkladntext"/>
        <w:spacing w:before="1"/>
        <w:ind w:left="0"/>
        <w:jc w:val="left"/>
        <w:rPr>
          <w:sz w:val="18"/>
        </w:rPr>
      </w:pPr>
    </w:p>
    <w:p w:rsidR="00EE4917" w:rsidRDefault="006D0420">
      <w:pPr>
        <w:pStyle w:val="Zkladntext"/>
        <w:spacing w:before="0"/>
        <w:ind w:left="242"/>
        <w:jc w:val="left"/>
      </w:pPr>
      <w:r>
        <w:t>dne:</w:t>
      </w:r>
    </w:p>
    <w:p w:rsidR="00EE4917" w:rsidRDefault="00EE4917">
      <w:pPr>
        <w:pStyle w:val="Zkladntext"/>
        <w:spacing w:before="0"/>
        <w:ind w:left="0"/>
        <w:jc w:val="left"/>
        <w:rPr>
          <w:sz w:val="26"/>
        </w:rPr>
      </w:pPr>
    </w:p>
    <w:p w:rsidR="00EE4917" w:rsidRDefault="00EE4917">
      <w:pPr>
        <w:pStyle w:val="Zkladntext"/>
        <w:spacing w:before="0"/>
        <w:ind w:left="0"/>
        <w:jc w:val="left"/>
        <w:rPr>
          <w:sz w:val="26"/>
        </w:rPr>
      </w:pPr>
    </w:p>
    <w:p w:rsidR="00EE4917" w:rsidRDefault="00EE4917">
      <w:pPr>
        <w:pStyle w:val="Zkladntext"/>
        <w:spacing w:before="3"/>
        <w:ind w:left="0"/>
        <w:jc w:val="left"/>
        <w:rPr>
          <w:sz w:val="29"/>
        </w:rPr>
      </w:pPr>
    </w:p>
    <w:p w:rsidR="00EE4917" w:rsidRDefault="006D0420">
      <w:pPr>
        <w:pStyle w:val="Zkladntext"/>
        <w:tabs>
          <w:tab w:val="left" w:pos="6722"/>
        </w:tabs>
        <w:spacing w:before="0"/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EE4917" w:rsidRDefault="006D0420">
      <w:pPr>
        <w:pStyle w:val="Zkladntext"/>
        <w:tabs>
          <w:tab w:val="left" w:pos="6722"/>
        </w:tabs>
        <w:spacing w:before="0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EE4917" w:rsidRDefault="00EE4917">
      <w:pPr>
        <w:pStyle w:val="Zkladntext"/>
        <w:spacing w:before="0"/>
        <w:ind w:left="0"/>
        <w:jc w:val="left"/>
        <w:rPr>
          <w:sz w:val="26"/>
        </w:rPr>
      </w:pPr>
    </w:p>
    <w:p w:rsidR="00EE4917" w:rsidRDefault="00EE4917">
      <w:pPr>
        <w:pStyle w:val="Zkladntext"/>
        <w:spacing w:before="0"/>
        <w:ind w:left="0"/>
        <w:jc w:val="left"/>
        <w:rPr>
          <w:sz w:val="26"/>
        </w:rPr>
      </w:pPr>
    </w:p>
    <w:p w:rsidR="00EE4917" w:rsidRDefault="00EE4917">
      <w:pPr>
        <w:pStyle w:val="Zkladntext"/>
        <w:spacing w:before="0"/>
        <w:ind w:left="0"/>
        <w:jc w:val="left"/>
        <w:rPr>
          <w:sz w:val="26"/>
        </w:rPr>
      </w:pPr>
    </w:p>
    <w:p w:rsidR="00EE4917" w:rsidRDefault="00EE4917">
      <w:pPr>
        <w:pStyle w:val="Zkladntext"/>
        <w:spacing w:before="0"/>
        <w:ind w:left="0"/>
        <w:jc w:val="left"/>
        <w:rPr>
          <w:sz w:val="26"/>
        </w:rPr>
      </w:pPr>
    </w:p>
    <w:p w:rsidR="00EE4917" w:rsidRDefault="00EE4917">
      <w:pPr>
        <w:pStyle w:val="Zkladntext"/>
        <w:spacing w:before="0"/>
        <w:ind w:left="0"/>
        <w:jc w:val="left"/>
        <w:rPr>
          <w:sz w:val="26"/>
        </w:rPr>
      </w:pPr>
    </w:p>
    <w:p w:rsidR="00EE4917" w:rsidRDefault="00EE4917">
      <w:pPr>
        <w:pStyle w:val="Zkladntext"/>
        <w:spacing w:before="4"/>
        <w:ind w:left="0"/>
        <w:jc w:val="left"/>
        <w:rPr>
          <w:sz w:val="21"/>
        </w:rPr>
      </w:pPr>
    </w:p>
    <w:p w:rsidR="00EE4917" w:rsidRDefault="006D0420">
      <w:pPr>
        <w:pStyle w:val="Zkladntext"/>
        <w:spacing w:before="0" w:line="261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EE4917" w:rsidRDefault="00EE4917">
      <w:pPr>
        <w:spacing w:line="261" w:lineRule="auto"/>
        <w:sectPr w:rsidR="00EE4917">
          <w:pgSz w:w="12240" w:h="15840"/>
          <w:pgMar w:top="1060" w:right="1020" w:bottom="1660" w:left="1460" w:header="0" w:footer="1380" w:gutter="0"/>
          <w:cols w:space="708"/>
        </w:sectPr>
      </w:pPr>
    </w:p>
    <w:p w:rsidR="00EE4917" w:rsidRDefault="006D0420">
      <w:pPr>
        <w:pStyle w:val="Zkladntext"/>
        <w:spacing w:before="73"/>
        <w:ind w:left="242"/>
        <w:jc w:val="left"/>
      </w:pPr>
      <w:r>
        <w:lastRenderedPageBreak/>
        <w:t>Příloha č. 1 Smlouva o poskytnutí podpory ze Státního fondu životního prostředí České republiky</w:t>
      </w:r>
    </w:p>
    <w:p w:rsidR="00EE4917" w:rsidRDefault="00EE4917">
      <w:pPr>
        <w:pStyle w:val="Zkladntext"/>
        <w:spacing w:before="0"/>
        <w:ind w:left="0"/>
        <w:jc w:val="left"/>
        <w:rPr>
          <w:sz w:val="26"/>
        </w:rPr>
      </w:pPr>
    </w:p>
    <w:p w:rsidR="00EE4917" w:rsidRDefault="00EE4917">
      <w:pPr>
        <w:pStyle w:val="Zkladntext"/>
        <w:spacing w:before="2"/>
        <w:ind w:left="0"/>
        <w:jc w:val="left"/>
        <w:rPr>
          <w:sz w:val="32"/>
        </w:rPr>
      </w:pPr>
    </w:p>
    <w:p w:rsidR="00EE4917" w:rsidRDefault="006D0420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EE4917" w:rsidRDefault="00EE4917">
      <w:pPr>
        <w:pStyle w:val="Zkladntext"/>
        <w:spacing w:before="1"/>
        <w:ind w:left="0"/>
        <w:jc w:val="left"/>
        <w:rPr>
          <w:b/>
          <w:sz w:val="27"/>
        </w:rPr>
      </w:pPr>
    </w:p>
    <w:p w:rsidR="00EE4917" w:rsidRDefault="006D0420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z w:val="20"/>
        </w:rPr>
        <w:t>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řízení (dál</w:t>
      </w:r>
      <w:r>
        <w:rPr>
          <w:sz w:val="20"/>
        </w:rPr>
        <w:t>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3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EE4917" w:rsidRDefault="006D0420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EE4917" w:rsidRDefault="006D042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 xml:space="preserve">Pokud je možné přesně vyčíslit finanční dopad identifikovaného porušení, bude finanční oprava stanovena ve výši vyčísleného finančního dopadu. V </w:t>
      </w:r>
      <w:r>
        <w:rPr>
          <w:sz w:val="20"/>
        </w:rPr>
        <w:t>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EE4917" w:rsidRDefault="006D0420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</w:t>
      </w:r>
      <w:r>
        <w:rPr>
          <w:sz w:val="20"/>
        </w:rPr>
        <w:t>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EE4917" w:rsidRDefault="006D042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EE4917" w:rsidRDefault="006D042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</w:t>
      </w:r>
      <w:r>
        <w:rPr>
          <w:sz w:val="20"/>
        </w:rPr>
        <w:t>y porušení základních zásad zadávání veřejných zakázek    a z hlediska míry porušení principů hospodárnosti, efektivity a účelnosti při vynakládání veřejných prostředků. Porušení je nutno považovat za závažné především v případech, kdy v jeho důsledku došl</w:t>
      </w:r>
      <w:r>
        <w:rPr>
          <w:sz w:val="20"/>
        </w:rPr>
        <w:t>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E4917" w:rsidRDefault="006D0420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9" w:hanging="425"/>
        <w:jc w:val="both"/>
        <w:rPr>
          <w:sz w:val="20"/>
        </w:rPr>
      </w:pPr>
      <w:r>
        <w:rPr>
          <w:sz w:val="20"/>
        </w:rPr>
        <w:t xml:space="preserve">V případě, že bude identifikováno porušení, které nelze podřadit pod konkrétní typ porušení uvedený </w:t>
      </w:r>
      <w:r>
        <w:rPr>
          <w:sz w:val="20"/>
        </w:rPr>
        <w:t xml:space="preserve">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EE4917" w:rsidRDefault="00EE4917">
      <w:pPr>
        <w:spacing w:line="264" w:lineRule="auto"/>
        <w:jc w:val="both"/>
        <w:rPr>
          <w:sz w:val="20"/>
        </w:rPr>
        <w:sectPr w:rsidR="00EE4917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E491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E491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E4917" w:rsidRDefault="006D0420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EE4917" w:rsidRDefault="006D042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EE4917" w:rsidRDefault="006D0420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E491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EE4917" w:rsidRDefault="006D0420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EE491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E4917" w:rsidRDefault="006D042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E4917" w:rsidRDefault="006D0420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E4917" w:rsidRDefault="006D042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E491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</w:t>
            </w:r>
          </w:p>
          <w:p w:rsidR="00EE4917" w:rsidRDefault="006D0420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EE491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EE4917" w:rsidRDefault="006D0420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EE4917" w:rsidRDefault="006D042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EE4917" w:rsidRDefault="006D042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EE4917" w:rsidRDefault="006D042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EE4917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EE4917" w:rsidRDefault="006D042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EE491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EE4917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EE4917" w:rsidRDefault="006D0420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EE4917" w:rsidRDefault="006D0420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EE4917" w:rsidRDefault="006D042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EE4917" w:rsidRDefault="006D042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EE491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EE4917" w:rsidRDefault="006D042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EE4917" w:rsidRDefault="006D042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EE4917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EE4917" w:rsidRDefault="006D0420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EE4917" w:rsidRDefault="00EE4917">
      <w:pPr>
        <w:spacing w:line="261" w:lineRule="auto"/>
        <w:rPr>
          <w:sz w:val="20"/>
        </w:rPr>
        <w:sectPr w:rsidR="00EE491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E491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E491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E4917" w:rsidRDefault="006D0420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EE4917" w:rsidRDefault="006D0420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EE4917" w:rsidRDefault="006D042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E4917" w:rsidRDefault="006D042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EE4917" w:rsidRDefault="006D0420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EE4917" w:rsidRDefault="006D042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E491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EE4917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EE4917" w:rsidRDefault="006D0420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EE4917" w:rsidRDefault="006D042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EE4917" w:rsidRDefault="006D0420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EE4917" w:rsidRDefault="006D042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E491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E4917" w:rsidRDefault="006D0420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E4917" w:rsidRDefault="006D0420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E4917" w:rsidRDefault="006D042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EE4917" w:rsidRDefault="006D0420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EE4917" w:rsidRDefault="006D0420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E491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E4917" w:rsidRDefault="006D0420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EE4917" w:rsidRDefault="006D0420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EE4917" w:rsidRDefault="006D0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EE4917" w:rsidRDefault="006D042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EE4917" w:rsidRDefault="006D042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EE4917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EE4917" w:rsidRDefault="006D0420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EE4917" w:rsidRDefault="006D0420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E4917" w:rsidRDefault="00EE4917">
      <w:pPr>
        <w:spacing w:line="264" w:lineRule="auto"/>
        <w:rPr>
          <w:sz w:val="20"/>
        </w:rPr>
        <w:sectPr w:rsidR="00EE491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E491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E491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EE4917" w:rsidRDefault="006D0420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EE4917" w:rsidRDefault="006D0420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EE4917" w:rsidRDefault="006D0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E491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EE4917" w:rsidRDefault="006D0420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4917" w:rsidRDefault="006D0420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EE4917" w:rsidRDefault="006D0420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EE4917" w:rsidRDefault="006D0420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E4917" w:rsidRDefault="006D0420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E4917" w:rsidRDefault="006D0420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E491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EE4917" w:rsidRDefault="006D042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E491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EE491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EE491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EE4917" w:rsidRDefault="006D0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E491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EE491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E4917" w:rsidRDefault="006D0420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EE4917" w:rsidRDefault="006D0420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EE4917" w:rsidRDefault="006D042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E4917" w:rsidRDefault="006D0420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E4917" w:rsidRDefault="006D042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E4917" w:rsidRDefault="00EE4917">
      <w:pPr>
        <w:spacing w:line="264" w:lineRule="auto"/>
        <w:rPr>
          <w:sz w:val="20"/>
        </w:rPr>
        <w:sectPr w:rsidR="00EE491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E491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E491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E4917" w:rsidRDefault="006D042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EE4917" w:rsidRDefault="006D042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EE4917" w:rsidRDefault="006D0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EE4917" w:rsidRDefault="006D0420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E4917" w:rsidRDefault="006D042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E4917" w:rsidRDefault="006D0420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EE4917" w:rsidRDefault="006D0420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E4917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EE4917" w:rsidRDefault="006D04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EE4917" w:rsidRDefault="006D04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E4917" w:rsidRDefault="006D0420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EE4917" w:rsidRDefault="006D0420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EE4917" w:rsidRDefault="006D0420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EE4917" w:rsidRDefault="006D042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EE4917" w:rsidRDefault="006D0420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EE4917" w:rsidRDefault="006D042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E4917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EE4917" w:rsidRDefault="006D042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EE4917" w:rsidRDefault="006D042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E4917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EE4917" w:rsidRDefault="00EE4917">
      <w:pPr>
        <w:spacing w:line="264" w:lineRule="auto"/>
        <w:rPr>
          <w:sz w:val="20"/>
        </w:rPr>
        <w:sectPr w:rsidR="00EE491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E491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E4917" w:rsidRDefault="006D0420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E4917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EE4917" w:rsidRDefault="006D0420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EE4917" w:rsidRDefault="006D0420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EE4917" w:rsidRDefault="006D042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EE4917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EE4917" w:rsidRDefault="006D0420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EE4917" w:rsidRDefault="006D0420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EE4917" w:rsidRDefault="006D0420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EE4917" w:rsidRDefault="006D0420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EE491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EE4917" w:rsidRDefault="006D04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EE4917" w:rsidRDefault="006D042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E4917" w:rsidRDefault="006D042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EE4917" w:rsidRDefault="006D042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EE4917" w:rsidRDefault="006D0420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EE4917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EE4917" w:rsidRDefault="006D0420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EE4917" w:rsidRDefault="006D0420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EE4917" w:rsidRDefault="006D0420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E4917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E4917" w:rsidRDefault="006D0420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EE4917" w:rsidRDefault="006D042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EE4917" w:rsidRDefault="006D0420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EE4917" w:rsidRDefault="006D0420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917" w:rsidRDefault="006D0420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E4917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4917" w:rsidRDefault="00EE491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EE4917" w:rsidRDefault="006D0420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6D0420" w:rsidRDefault="006D0420"/>
    <w:sectPr w:rsidR="006D0420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20" w:rsidRDefault="006D0420">
      <w:r>
        <w:separator/>
      </w:r>
    </w:p>
  </w:endnote>
  <w:endnote w:type="continuationSeparator" w:id="0">
    <w:p w:rsidR="006D0420" w:rsidRDefault="006D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17" w:rsidRDefault="006D0420">
    <w:pPr>
      <w:pStyle w:val="Zkladntext"/>
      <w:spacing w:before="0"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EE4917" w:rsidRDefault="006D0420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4D2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20" w:rsidRDefault="006D0420">
      <w:r>
        <w:separator/>
      </w:r>
    </w:p>
  </w:footnote>
  <w:footnote w:type="continuationSeparator" w:id="0">
    <w:p w:rsidR="006D0420" w:rsidRDefault="006D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D1"/>
    <w:multiLevelType w:val="hybridMultilevel"/>
    <w:tmpl w:val="7A0235B2"/>
    <w:lvl w:ilvl="0" w:tplc="74A8E63E">
      <w:numFmt w:val="bullet"/>
      <w:lvlText w:val=""/>
      <w:lvlJc w:val="left"/>
      <w:pPr>
        <w:ind w:left="950" w:hanging="281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79786EFC">
      <w:numFmt w:val="bullet"/>
      <w:lvlText w:val="•"/>
      <w:lvlJc w:val="left"/>
      <w:pPr>
        <w:ind w:left="1840" w:hanging="281"/>
      </w:pPr>
      <w:rPr>
        <w:rFonts w:hint="default"/>
        <w:lang w:val="cs-CZ" w:eastAsia="cs-CZ" w:bidi="cs-CZ"/>
      </w:rPr>
    </w:lvl>
    <w:lvl w:ilvl="2" w:tplc="34B6A724">
      <w:numFmt w:val="bullet"/>
      <w:lvlText w:val="•"/>
      <w:lvlJc w:val="left"/>
      <w:pPr>
        <w:ind w:left="2720" w:hanging="281"/>
      </w:pPr>
      <w:rPr>
        <w:rFonts w:hint="default"/>
        <w:lang w:val="cs-CZ" w:eastAsia="cs-CZ" w:bidi="cs-CZ"/>
      </w:rPr>
    </w:lvl>
    <w:lvl w:ilvl="3" w:tplc="AD448952">
      <w:numFmt w:val="bullet"/>
      <w:lvlText w:val="•"/>
      <w:lvlJc w:val="left"/>
      <w:pPr>
        <w:ind w:left="3600" w:hanging="281"/>
      </w:pPr>
      <w:rPr>
        <w:rFonts w:hint="default"/>
        <w:lang w:val="cs-CZ" w:eastAsia="cs-CZ" w:bidi="cs-CZ"/>
      </w:rPr>
    </w:lvl>
    <w:lvl w:ilvl="4" w:tplc="AA9A426E">
      <w:numFmt w:val="bullet"/>
      <w:lvlText w:val="•"/>
      <w:lvlJc w:val="left"/>
      <w:pPr>
        <w:ind w:left="4480" w:hanging="281"/>
      </w:pPr>
      <w:rPr>
        <w:rFonts w:hint="default"/>
        <w:lang w:val="cs-CZ" w:eastAsia="cs-CZ" w:bidi="cs-CZ"/>
      </w:rPr>
    </w:lvl>
    <w:lvl w:ilvl="5" w:tplc="C1A6914A">
      <w:numFmt w:val="bullet"/>
      <w:lvlText w:val="•"/>
      <w:lvlJc w:val="left"/>
      <w:pPr>
        <w:ind w:left="5360" w:hanging="281"/>
      </w:pPr>
      <w:rPr>
        <w:rFonts w:hint="default"/>
        <w:lang w:val="cs-CZ" w:eastAsia="cs-CZ" w:bidi="cs-CZ"/>
      </w:rPr>
    </w:lvl>
    <w:lvl w:ilvl="6" w:tplc="42ECE8D6">
      <w:numFmt w:val="bullet"/>
      <w:lvlText w:val="•"/>
      <w:lvlJc w:val="left"/>
      <w:pPr>
        <w:ind w:left="6240" w:hanging="281"/>
      </w:pPr>
      <w:rPr>
        <w:rFonts w:hint="default"/>
        <w:lang w:val="cs-CZ" w:eastAsia="cs-CZ" w:bidi="cs-CZ"/>
      </w:rPr>
    </w:lvl>
    <w:lvl w:ilvl="7" w:tplc="19D092B8">
      <w:numFmt w:val="bullet"/>
      <w:lvlText w:val="•"/>
      <w:lvlJc w:val="left"/>
      <w:pPr>
        <w:ind w:left="7120" w:hanging="281"/>
      </w:pPr>
      <w:rPr>
        <w:rFonts w:hint="default"/>
        <w:lang w:val="cs-CZ" w:eastAsia="cs-CZ" w:bidi="cs-CZ"/>
      </w:rPr>
    </w:lvl>
    <w:lvl w:ilvl="8" w:tplc="0EBED5E2">
      <w:numFmt w:val="bullet"/>
      <w:lvlText w:val="•"/>
      <w:lvlJc w:val="left"/>
      <w:pPr>
        <w:ind w:left="8000" w:hanging="281"/>
      </w:pPr>
      <w:rPr>
        <w:rFonts w:hint="default"/>
        <w:lang w:val="cs-CZ" w:eastAsia="cs-CZ" w:bidi="cs-CZ"/>
      </w:rPr>
    </w:lvl>
  </w:abstractNum>
  <w:abstractNum w:abstractNumId="1" w15:restartNumberingAfterBreak="0">
    <w:nsid w:val="42585BF5"/>
    <w:multiLevelType w:val="hybridMultilevel"/>
    <w:tmpl w:val="33EC71C2"/>
    <w:lvl w:ilvl="0" w:tplc="8432F6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6DC420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7DCA9E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632B4B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4AE3F0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098E5D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F26322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6B46D6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E2AD34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5951753"/>
    <w:multiLevelType w:val="hybridMultilevel"/>
    <w:tmpl w:val="1DAA69C6"/>
    <w:lvl w:ilvl="0" w:tplc="4EC66B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E34649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CE647B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240845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EC4C66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5610319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850EFD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5BC955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1DCC49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4DBD20F0"/>
    <w:multiLevelType w:val="hybridMultilevel"/>
    <w:tmpl w:val="BB1A7BEC"/>
    <w:lvl w:ilvl="0" w:tplc="AA806AA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69E9FA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4CEE9A6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D2C0BF3E">
      <w:numFmt w:val="bullet"/>
      <w:lvlText w:val="•"/>
      <w:lvlJc w:val="left"/>
      <w:pPr>
        <w:ind w:left="2025" w:hanging="286"/>
      </w:pPr>
      <w:rPr>
        <w:rFonts w:hint="default"/>
        <w:lang w:val="cs-CZ" w:eastAsia="cs-CZ" w:bidi="cs-CZ"/>
      </w:rPr>
    </w:lvl>
    <w:lvl w:ilvl="4" w:tplc="538EE454">
      <w:numFmt w:val="bullet"/>
      <w:lvlText w:val="•"/>
      <w:lvlJc w:val="left"/>
      <w:pPr>
        <w:ind w:left="3130" w:hanging="286"/>
      </w:pPr>
      <w:rPr>
        <w:rFonts w:hint="default"/>
        <w:lang w:val="cs-CZ" w:eastAsia="cs-CZ" w:bidi="cs-CZ"/>
      </w:rPr>
    </w:lvl>
    <w:lvl w:ilvl="5" w:tplc="24AAF85E">
      <w:numFmt w:val="bullet"/>
      <w:lvlText w:val="•"/>
      <w:lvlJc w:val="left"/>
      <w:pPr>
        <w:ind w:left="4235" w:hanging="286"/>
      </w:pPr>
      <w:rPr>
        <w:rFonts w:hint="default"/>
        <w:lang w:val="cs-CZ" w:eastAsia="cs-CZ" w:bidi="cs-CZ"/>
      </w:rPr>
    </w:lvl>
    <w:lvl w:ilvl="6" w:tplc="C6C641B8">
      <w:numFmt w:val="bullet"/>
      <w:lvlText w:val="•"/>
      <w:lvlJc w:val="left"/>
      <w:pPr>
        <w:ind w:left="5340" w:hanging="286"/>
      </w:pPr>
      <w:rPr>
        <w:rFonts w:hint="default"/>
        <w:lang w:val="cs-CZ" w:eastAsia="cs-CZ" w:bidi="cs-CZ"/>
      </w:rPr>
    </w:lvl>
    <w:lvl w:ilvl="7" w:tplc="981E2A66">
      <w:numFmt w:val="bullet"/>
      <w:lvlText w:val="•"/>
      <w:lvlJc w:val="left"/>
      <w:pPr>
        <w:ind w:left="6445" w:hanging="286"/>
      </w:pPr>
      <w:rPr>
        <w:rFonts w:hint="default"/>
        <w:lang w:val="cs-CZ" w:eastAsia="cs-CZ" w:bidi="cs-CZ"/>
      </w:rPr>
    </w:lvl>
    <w:lvl w:ilvl="8" w:tplc="E8A254FC">
      <w:numFmt w:val="bullet"/>
      <w:lvlText w:val="•"/>
      <w:lvlJc w:val="left"/>
      <w:pPr>
        <w:ind w:left="7550" w:hanging="286"/>
      </w:pPr>
      <w:rPr>
        <w:rFonts w:hint="default"/>
        <w:lang w:val="cs-CZ" w:eastAsia="cs-CZ" w:bidi="cs-CZ"/>
      </w:rPr>
    </w:lvl>
  </w:abstractNum>
  <w:abstractNum w:abstractNumId="4" w15:restartNumberingAfterBreak="0">
    <w:nsid w:val="604C1598"/>
    <w:multiLevelType w:val="hybridMultilevel"/>
    <w:tmpl w:val="49F2591A"/>
    <w:lvl w:ilvl="0" w:tplc="C2EAFF16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7F3C7E5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7DE2DAF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F8EEA9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03A800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F9AF99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8D0C98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D448AF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85636C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4833F55"/>
    <w:multiLevelType w:val="hybridMultilevel"/>
    <w:tmpl w:val="AA481788"/>
    <w:lvl w:ilvl="0" w:tplc="10807D6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828346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218186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5AC24A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C6E0C5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F0E33A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1F6A3F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112626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DF6808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DB80282"/>
    <w:multiLevelType w:val="hybridMultilevel"/>
    <w:tmpl w:val="ECF62DD0"/>
    <w:lvl w:ilvl="0" w:tplc="E1809B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970369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DC6257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64A8E1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6BC760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930B22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A7D663B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012774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894A60A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06F2448"/>
    <w:multiLevelType w:val="hybridMultilevel"/>
    <w:tmpl w:val="3F4829C4"/>
    <w:lvl w:ilvl="0" w:tplc="9D80ADE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E08C4D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EEEC6D94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2CA08302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72247036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3B663824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506CBF56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C4C20162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85CEB540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E4917"/>
    <w:rsid w:val="006D0420"/>
    <w:rsid w:val="00C54D2F"/>
    <w:rsid w:val="00E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6D76AD"/>
  <w15:docId w15:val="{442EF321-5801-4BC3-BF03-68B04DAD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4580</Words>
  <Characters>27023</Characters>
  <Application>Microsoft Office Word</Application>
  <DocSecurity>0</DocSecurity>
  <Lines>225</Lines>
  <Paragraphs>63</Paragraphs>
  <ScaleCrop>false</ScaleCrop>
  <Company>SFZP</Company>
  <LinksUpToDate>false</LinksUpToDate>
  <CharactersWithSpaces>31540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2020-11-16T07:18:00Z</dcterms:created>
  <dcterms:modified xsi:type="dcterms:W3CDTF">2020-11-16T07:19:00Z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