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D" w:rsidRDefault="0069351D">
      <w:pPr>
        <w:pStyle w:val="Heading20"/>
        <w:keepNext/>
        <w:keepLines/>
        <w:shd w:val="clear" w:color="auto" w:fill="auto"/>
        <w:spacing w:after="652" w:line="340" w:lineRule="exact"/>
        <w:ind w:right="340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1267"/>
        <w:gridCol w:w="1464"/>
      </w:tblGrid>
      <w:tr w:rsidR="0069351D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4603" w:type="dxa"/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170" w:lineRule="exact"/>
              <w:ind w:left="420" w:firstLine="0"/>
            </w:pPr>
            <w:r>
              <w:rPr>
                <w:rStyle w:val="Bodytext285ptBold"/>
              </w:rPr>
              <w:t>SMLOUVA 0 DÍLO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Bold"/>
              </w:rPr>
              <w:t>Rozesláno ekon.i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Bold"/>
              </w:rPr>
              <w:t>tv.dne: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603" w:type="dxa"/>
            <w:vMerge w:val="restart"/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"/>
              </w:rPr>
              <w:t>(žlutě vyznačené doplní účastník)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69351D">
            <w:pPr>
              <w:framePr w:w="73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300" w:lineRule="exact"/>
              <w:ind w:right="200" w:firstLine="0"/>
              <w:jc w:val="right"/>
            </w:pPr>
            <w:r>
              <w:rPr>
                <w:rStyle w:val="Bodytext215ptBoldItalic"/>
              </w:rPr>
              <w:t>í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603" w:type="dxa"/>
            <w:vMerge/>
            <w:shd w:val="clear" w:color="auto" w:fill="FFFFFF"/>
            <w:vAlign w:val="center"/>
          </w:tcPr>
          <w:p w:rsidR="0069351D" w:rsidRDefault="0069351D">
            <w:pPr>
              <w:framePr w:w="7334" w:wrap="notBeside" w:vAnchor="text" w:hAnchor="text" w:xAlign="right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360" w:lineRule="exact"/>
              <w:ind w:left="240" w:firstLine="0"/>
            </w:pPr>
            <w:r>
              <w:rPr>
                <w:rStyle w:val="Bodytext2BookmanOldStyle18ptBoldItalicSpacing-1pt"/>
              </w:rPr>
              <w:t>* rJ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tabs>
                <w:tab w:val="left" w:leader="dot" w:pos="437"/>
                <w:tab w:val="left" w:leader="dot" w:pos="514"/>
              </w:tabs>
              <w:spacing w:after="0" w:line="380" w:lineRule="exact"/>
              <w:ind w:firstLine="0"/>
              <w:jc w:val="both"/>
            </w:pPr>
            <w:r>
              <w:rPr>
                <w:rStyle w:val="Bodytext22"/>
              </w:rPr>
              <w:tab/>
            </w:r>
            <w:r>
              <w:rPr>
                <w:rStyle w:val="Bodytext22"/>
                <w:vertAlign w:val="superscript"/>
              </w:rPr>
              <w:tab/>
            </w:r>
            <w:r>
              <w:rPr>
                <w:rStyle w:val="Bodytext22"/>
              </w:rPr>
              <w:t xml:space="preserve"> </w:t>
            </w:r>
            <w:r>
              <w:rPr>
                <w:rStyle w:val="Bodytext2BookmanOldStyle19pt"/>
                <w:b w:val="0"/>
                <w:bCs w:val="0"/>
              </w:rPr>
              <w:t>(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603" w:type="dxa"/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170" w:lineRule="exact"/>
              <w:ind w:left="1420" w:firstLine="0"/>
            </w:pPr>
            <w:r>
              <w:rPr>
                <w:rStyle w:val="Bodytext285ptBold"/>
              </w:rPr>
              <w:t>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Bodytext212ptItalicSpacing0pt"/>
              </w:rPr>
              <w:t>OTF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Bodytext212ptItalicSpacing0pt0"/>
              </w:rPr>
              <w:t>l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4603" w:type="dxa"/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7334" w:wrap="notBeside" w:vAnchor="text" w:hAnchor="text" w:xAlign="right" w:y="1"/>
              <w:shd w:val="clear" w:color="auto" w:fill="auto"/>
              <w:spacing w:after="0" w:line="200" w:lineRule="exact"/>
              <w:ind w:left="740" w:firstLine="0"/>
            </w:pPr>
            <w:r>
              <w:rPr>
                <w:rStyle w:val="Bodytext2Bold"/>
              </w:rPr>
              <w:t>Smluvní strany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69351D">
            <w:pPr>
              <w:framePr w:w="73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69351D">
            <w:pPr>
              <w:framePr w:w="733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69351D" w:rsidRDefault="0069351D">
      <w:pPr>
        <w:framePr w:w="7334" w:wrap="notBeside" w:vAnchor="text" w:hAnchor="text" w:xAlign="right" w:y="1"/>
        <w:rPr>
          <w:sz w:val="2"/>
          <w:szCs w:val="2"/>
        </w:rPr>
      </w:pPr>
    </w:p>
    <w:p w:rsidR="0069351D" w:rsidRDefault="0069351D">
      <w:pPr>
        <w:rPr>
          <w:sz w:val="2"/>
          <w:szCs w:val="2"/>
        </w:rPr>
      </w:pPr>
    </w:p>
    <w:p w:rsidR="0069351D" w:rsidRDefault="007E3BEB">
      <w:pPr>
        <w:pStyle w:val="Bodytext20"/>
        <w:shd w:val="clear" w:color="auto" w:fill="auto"/>
        <w:ind w:left="380" w:right="19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-13.45pt;width:238.55pt;height:13.55pt;z-index:-125829376;mso-wrap-distance-left:5pt;mso-wrap-distance-top:10.3pt;mso-wrap-distance-right:5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3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5.85pt;margin-top:-1.2pt;width:114.25pt;height:98.65pt;z-index:-125829375;mso-wrap-distance-left:5pt;mso-wrap-distance-right:5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20"/>
                    <w:shd w:val="clear" w:color="auto" w:fill="auto"/>
                    <w:spacing w:after="0"/>
                    <w:ind w:right="1160"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Bodytext2Exact"/>
                    </w:rPr>
                    <w:t xml:space="preserve">osoba oprávněná jednat ve věcech technických: </w:t>
                  </w:r>
                  <w:r>
                    <w:rPr>
                      <w:rStyle w:val="Bodytext2Exact0"/>
                      <w:b w:val="0"/>
                      <w:bCs w:val="0"/>
                    </w:rPr>
                    <w:t>IČ: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739 61 Třinec - Dolní Líštná Ing. Martinem Sikorou - ředitelem</w:t>
      </w:r>
    </w:p>
    <w:p w:rsidR="0069351D" w:rsidRDefault="007E3BEB">
      <w:pPr>
        <w:pStyle w:val="Bodytext20"/>
        <w:shd w:val="clear" w:color="auto" w:fill="auto"/>
        <w:spacing w:after="0"/>
        <w:ind w:left="380" w:firstLine="0"/>
      </w:pPr>
      <w:r>
        <w:t>Bc. Jaroslav Brzyszkowski, provozně-technlcký náměstek</w:t>
      </w:r>
    </w:p>
    <w:p w:rsidR="0069351D" w:rsidRDefault="007E3BEB">
      <w:pPr>
        <w:pStyle w:val="Bodytext20"/>
        <w:shd w:val="clear" w:color="auto" w:fill="auto"/>
        <w:spacing w:after="0"/>
        <w:ind w:left="380" w:firstLine="0"/>
      </w:pPr>
      <w:r>
        <w:t>00534242</w:t>
      </w:r>
    </w:p>
    <w:p w:rsidR="0069351D" w:rsidRDefault="007E3BEB">
      <w:pPr>
        <w:pStyle w:val="Bodytext20"/>
        <w:shd w:val="clear" w:color="auto" w:fill="auto"/>
        <w:spacing w:after="0"/>
        <w:ind w:left="380" w:firstLine="0"/>
      </w:pPr>
      <w:r>
        <w:t>CZ00534242</w:t>
      </w:r>
    </w:p>
    <w:p w:rsidR="0069351D" w:rsidRDefault="007E3BEB">
      <w:pPr>
        <w:pStyle w:val="Bodytext20"/>
        <w:shd w:val="clear" w:color="auto" w:fill="auto"/>
        <w:spacing w:after="0"/>
        <w:ind w:left="380" w:firstLine="0"/>
      </w:pPr>
      <w:r>
        <w:t xml:space="preserve">Komerční banka, </w:t>
      </w:r>
      <w:r>
        <w:t>a.s.</w:t>
      </w:r>
    </w:p>
    <w:p w:rsidR="0069351D" w:rsidRDefault="007E3BEB">
      <w:pPr>
        <w:pStyle w:val="Bodytext20"/>
        <w:shd w:val="clear" w:color="auto" w:fill="auto"/>
        <w:spacing w:after="212"/>
        <w:ind w:left="380" w:firstLine="0"/>
      </w:pPr>
      <w:r>
        <w:t>29034781/0100</w:t>
      </w:r>
    </w:p>
    <w:p w:rsidR="0069351D" w:rsidRDefault="007E3BEB">
      <w:pPr>
        <w:pStyle w:val="Bodytext20"/>
        <w:shd w:val="clear" w:color="auto" w:fill="auto"/>
        <w:spacing w:after="158" w:line="200" w:lineRule="exact"/>
        <w:ind w:left="380" w:firstLine="0"/>
      </w:pPr>
      <w:r>
        <w:t>Zapsaná v obchodním rejstříku vedeném Krajským soudem v Ostravě, oddíl Pr, vložka 908</w:t>
      </w:r>
    </w:p>
    <w:p w:rsidR="0069351D" w:rsidRDefault="007E3BEB">
      <w:pPr>
        <w:pStyle w:val="Bodytext20"/>
        <w:shd w:val="clear" w:color="auto" w:fill="auto"/>
        <w:spacing w:after="20" w:line="200" w:lineRule="exact"/>
        <w:ind w:left="380" w:firstLine="0"/>
      </w:pPr>
      <w:r>
        <w:t>Osoba oprávněná jednat ve věcech technických a realizace stavby:</w:t>
      </w:r>
    </w:p>
    <w:p w:rsidR="0069351D" w:rsidRDefault="007E3BEB">
      <w:pPr>
        <w:pStyle w:val="Bodytext20"/>
        <w:shd w:val="clear" w:color="auto" w:fill="auto"/>
        <w:spacing w:after="418" w:line="360" w:lineRule="exact"/>
        <w:ind w:left="380" w:right="1900" w:firstLine="0"/>
      </w:pPr>
      <w:r>
        <w:t>xx</w:t>
      </w:r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rStyle w:val="Bodytext2Bold0"/>
        </w:rPr>
        <w:t>„objednatel")</w:t>
      </w:r>
    </w:p>
    <w:p w:rsidR="0069351D" w:rsidRDefault="007E3BEB">
      <w:pPr>
        <w:pStyle w:val="Bodytext20"/>
        <w:shd w:val="clear" w:color="auto" w:fill="auto"/>
        <w:spacing w:after="130" w:line="288" w:lineRule="exact"/>
        <w:ind w:right="3800" w:firstLine="0"/>
      </w:pPr>
      <w:r>
        <w:pict>
          <v:shape id="_x0000_s1028" type="#_x0000_t202" style="position:absolute;margin-left:.5pt;margin-top:-14pt;width:103.9pt;height:85.55pt;z-index:-125829374;mso-wrap-distance-left:5pt;mso-wrap-distance-right:39.85pt;mso-wrap-distance-bottom:17.75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30"/>
                    <w:shd w:val="clear" w:color="auto" w:fill="auto"/>
                    <w:spacing w:before="0" w:after="0" w:line="200" w:lineRule="exact"/>
                    <w:jc w:val="right"/>
                  </w:pPr>
                  <w:r>
                    <w:rPr>
                      <w:rStyle w:val="Bodytext385ptExact"/>
                      <w:b/>
                      <w:bCs/>
                    </w:rPr>
                    <w:t>2</w:t>
                  </w:r>
                  <w:r>
                    <w:rPr>
                      <w:rStyle w:val="Bodytext3Exact"/>
                      <w:b/>
                      <w:bCs/>
                    </w:rPr>
                    <w:t>. SPEDOS ADS a.S.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 w:line="288" w:lineRule="exact"/>
                    <w:ind w:left="380"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69351D" w:rsidRDefault="007E3BEB">
                  <w:pPr>
                    <w:pStyle w:val="Bodytext4"/>
                    <w:shd w:val="clear" w:color="auto" w:fill="auto"/>
                    <w:ind w:left="380"/>
                  </w:pPr>
                  <w:r>
                    <w:t>IČ: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 w:line="288" w:lineRule="exact"/>
                    <w:ind w:left="380"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69351D" w:rsidRDefault="007E3BEB">
                  <w:pPr>
                    <w:pStyle w:val="Bodytext20"/>
                    <w:shd w:val="clear" w:color="auto" w:fill="auto"/>
                    <w:spacing w:after="0" w:line="288" w:lineRule="exact"/>
                    <w:ind w:firstLine="0"/>
                    <w:jc w:val="right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18.25pt;margin-top:77.75pt;width:50.9pt;height:13.5pt;z-index:-125829373;mso-wrap-distance-left:17.75pt;mso-wrap-distance-top:91.45pt;mso-wrap-distance-right:75.1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t>Hranická 771, 757 01 Valašské Meziříčí Ing. Jan Ventura, prokurista IČ:27795357 DIČ: CZ27795357 KB Valašské Meziříčí</w:t>
      </w:r>
    </w:p>
    <w:p w:rsidR="0069351D" w:rsidRDefault="007E3BEB">
      <w:pPr>
        <w:pStyle w:val="Bodytext20"/>
        <w:shd w:val="clear" w:color="auto" w:fill="auto"/>
        <w:spacing w:after="153" w:line="200" w:lineRule="exact"/>
        <w:ind w:firstLine="0"/>
      </w:pPr>
      <w:r>
        <w:t>35-9050120247/0100</w:t>
      </w:r>
    </w:p>
    <w:p w:rsidR="0069351D" w:rsidRDefault="007E3BEB">
      <w:pPr>
        <w:pStyle w:val="Bodytext20"/>
        <w:shd w:val="clear" w:color="auto" w:fill="auto"/>
        <w:spacing w:after="153" w:line="200" w:lineRule="exact"/>
        <w:ind w:left="380" w:firstLine="0"/>
      </w:pPr>
      <w:r>
        <w:t>Zapsána v obchodním rejstříku vedeném u Krajského soudu v Ostravě, oddíl B., vložka 3195</w:t>
      </w:r>
    </w:p>
    <w:p w:rsidR="0069351D" w:rsidRDefault="007E3BEB">
      <w:pPr>
        <w:pStyle w:val="Bodytext20"/>
        <w:shd w:val="clear" w:color="auto" w:fill="auto"/>
        <w:spacing w:after="28" w:line="200" w:lineRule="exact"/>
        <w:ind w:left="380" w:firstLine="0"/>
      </w:pPr>
      <w:r>
        <w:t>Osoba oprávněná jednat ve věcech technických a realizace stavby:</w:t>
      </w:r>
    </w:p>
    <w:p w:rsidR="0069351D" w:rsidRDefault="007E3BEB">
      <w:pPr>
        <w:pStyle w:val="Bodytext20"/>
        <w:shd w:val="clear" w:color="auto" w:fill="auto"/>
        <w:spacing w:after="143" w:line="200" w:lineRule="exact"/>
        <w:ind w:left="380" w:firstLine="0"/>
      </w:pPr>
      <w:r>
        <w:t xml:space="preserve">jméno, funkce, tel.: Vlastimil Zbránek, obchodní manažer, email: </w:t>
      </w:r>
      <w:hyperlink r:id="rId7" w:history="1">
        <w:r>
          <w:rPr>
            <w:rStyle w:val="Hypertextovodkaz"/>
            <w:lang w:val="en-US" w:eastAsia="en-US" w:bidi="en-US"/>
          </w:rPr>
          <w:t>zbranek@spedos.cz</w:t>
        </w:r>
      </w:hyperlink>
    </w:p>
    <w:p w:rsidR="0069351D" w:rsidRDefault="007E3BEB">
      <w:pPr>
        <w:pStyle w:val="Bodytext30"/>
        <w:shd w:val="clear" w:color="auto" w:fill="auto"/>
        <w:spacing w:before="0" w:after="309" w:line="200" w:lineRule="exact"/>
        <w:ind w:left="380"/>
      </w:pPr>
      <w:r>
        <w:rPr>
          <w:rStyle w:val="Bodytext3NotBold"/>
        </w:rPr>
        <w:t xml:space="preserve">(dále jen </w:t>
      </w:r>
      <w:r>
        <w:t>„zhotovitel")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440"/>
      </w:pPr>
      <w:bookmarkStart w:id="0" w:name="bookmark1"/>
      <w:r>
        <w:t>II.</w:t>
      </w:r>
      <w:bookmarkEnd w:id="0"/>
    </w:p>
    <w:p w:rsidR="0069351D" w:rsidRDefault="007E3BEB">
      <w:pPr>
        <w:pStyle w:val="Heading40"/>
        <w:keepNext/>
        <w:keepLines/>
        <w:shd w:val="clear" w:color="auto" w:fill="auto"/>
        <w:spacing w:before="0" w:after="126" w:line="200" w:lineRule="exact"/>
        <w:ind w:left="3560"/>
      </w:pPr>
      <w:bookmarkStart w:id="1" w:name="bookmark2"/>
      <w:r>
        <w:t>Základní ustanovení</w:t>
      </w:r>
      <w:bookmarkEnd w:id="1"/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347"/>
        </w:tabs>
        <w:spacing w:after="60"/>
        <w:ind w:left="380" w:right="1320"/>
        <w:jc w:val="both"/>
      </w:pPr>
      <w:r>
        <w:t xml:space="preserve">Tato smlouva je uzavřena dle § 2586 a násl. zákona č. 89/2012 Sb., občanský zákoník, ve znění pozdějších předpisů (dále jen „občanský zákoník") jako výsledek veřejné </w:t>
      </w:r>
      <w:r>
        <w:t>zakázky, kterou objednatel jako zadavatel vyhlásil pod evidenčním číslem TRI/Buj/2020/037/Posuvné dveře, EZAK, P20V00000272. Práva a povinnosti stran touto smlouvou neupravená se řídí příslušnými ustanoveními občanského zákoníku.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347"/>
        </w:tabs>
        <w:spacing w:after="92"/>
        <w:ind w:left="380" w:right="1320"/>
        <w:jc w:val="both"/>
      </w:pPr>
      <w:r>
        <w:t>Smluvní strany prohlašují,</w:t>
      </w:r>
      <w:r>
        <w:t xml:space="preserve">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</w:t>
      </w:r>
      <w:r>
        <w:t>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347"/>
        </w:tabs>
        <w:spacing w:after="158" w:line="200" w:lineRule="exact"/>
        <w:ind w:left="380"/>
        <w:jc w:val="both"/>
      </w:pPr>
      <w:r>
        <w:t xml:space="preserve">Smluvní strany prohlašují, že osoby podepisující </w:t>
      </w:r>
      <w:r>
        <w:t>tuto smlouvu jsou k tomuto jednání oprávněny.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00" w:lineRule="exact"/>
        <w:ind w:left="380"/>
        <w:jc w:val="both"/>
      </w:pPr>
      <w:r>
        <w:t>Zhotovitel prohlašuje, že je odborně způsobilý k zajištění předmětu plnění podle této smlouvy.</w:t>
      </w:r>
      <w:r>
        <w:br w:type="page"/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92"/>
        <w:ind w:left="560" w:right="1160" w:hanging="360"/>
        <w:jc w:val="both"/>
      </w:pPr>
      <w:r>
        <w:lastRenderedPageBreak/>
        <w:t>Zhotovitel potvrzuje, že se detailně seznámil s rozsahem a povahou díla, že jsou mu známy veškeré technické, kvali</w:t>
      </w:r>
      <w:r>
        <w:t>tativní a jiné podmínky nezbytné k realizaci díla a že disponuje takovými kapacitami a odbornými znalostmi, které jsou nezbytné pro realizaci díla za dohodnutou smluvní cenu uvedenou v čl. V odst. 1 této smlouvy.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" w:line="200" w:lineRule="exact"/>
        <w:ind w:left="560" w:hanging="360"/>
        <w:jc w:val="both"/>
      </w:pPr>
      <w:r>
        <w:t>Účelem smlouvy je dodávka a montáž automati</w:t>
      </w:r>
      <w:r>
        <w:t>ckých posuvných dveří.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60"/>
        <w:ind w:left="560" w:right="1160" w:hanging="360"/>
        <w:jc w:val="both"/>
      </w:pPr>
      <w:r>
        <w:t>Smluvní strany prohlašují, že předmět plnění podle této smlouvy není plněním nemožným a že smlouvu uzavírají po pečlivém zvážení možných důsledků.</w:t>
      </w:r>
    </w:p>
    <w:p w:rsidR="0069351D" w:rsidRDefault="007E3BEB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332"/>
        <w:ind w:left="560" w:right="1160" w:hanging="360"/>
        <w:jc w:val="both"/>
      </w:pPr>
      <w:r>
        <w:t xml:space="preserve">Zhotovitel prohlašuje, že není obchodní společností, ve které veřejný funkcionář </w:t>
      </w:r>
      <w:r>
        <w:t>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</w:t>
      </w:r>
      <w:r>
        <w:t>čast společníka v obchodní společnosti. Zhotovitel bere na vědomí, že pokud je uvedené prohlášení nepravdivé, bude smlouva považována za neplatnou.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580"/>
      </w:pPr>
      <w:bookmarkStart w:id="2" w:name="bookmark3"/>
      <w:r>
        <w:t>III.</w:t>
      </w:r>
      <w:bookmarkEnd w:id="2"/>
    </w:p>
    <w:p w:rsidR="0069351D" w:rsidRDefault="007E3BEB">
      <w:pPr>
        <w:pStyle w:val="Heading40"/>
        <w:keepNext/>
        <w:keepLines/>
        <w:shd w:val="clear" w:color="auto" w:fill="auto"/>
        <w:spacing w:before="0" w:after="0" w:line="200" w:lineRule="exact"/>
        <w:ind w:left="3900"/>
      </w:pPr>
      <w:bookmarkStart w:id="3" w:name="bookmark4"/>
      <w:r>
        <w:t>Předmět smlouvy</w:t>
      </w:r>
      <w:bookmarkEnd w:id="3"/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92"/>
        <w:ind w:left="560" w:right="1160" w:hanging="360"/>
        <w:jc w:val="both"/>
      </w:pPr>
      <w:r>
        <w:t>Zhotovitel se zavazuje provést pro objednatele na svůj náklad a nebezpečí dodávku a mon</w:t>
      </w:r>
      <w:r>
        <w:t>táž automatických posuvných dveří v rozsahu:</w:t>
      </w:r>
    </w:p>
    <w:p w:rsidR="0069351D" w:rsidRDefault="007E3BEB">
      <w:pPr>
        <w:pStyle w:val="Bodytext20"/>
        <w:numPr>
          <w:ilvl w:val="0"/>
          <w:numId w:val="3"/>
        </w:numPr>
        <w:shd w:val="clear" w:color="auto" w:fill="auto"/>
        <w:tabs>
          <w:tab w:val="left" w:pos="914"/>
        </w:tabs>
        <w:spacing w:after="5" w:line="200" w:lineRule="exact"/>
        <w:ind w:left="920" w:hanging="360"/>
        <w:jc w:val="both"/>
      </w:pPr>
      <w:r>
        <w:t>dle technické specifikace - viz příloha č. 1 této smlouvy</w:t>
      </w:r>
    </w:p>
    <w:p w:rsidR="0069351D" w:rsidRDefault="007E3BEB">
      <w:pPr>
        <w:pStyle w:val="Bodytext20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35" w:lineRule="exact"/>
        <w:ind w:left="920" w:right="1160" w:hanging="360"/>
        <w:jc w:val="both"/>
      </w:pPr>
      <w:r>
        <w:t>demontáž stávajících dveří, jejich odvoz a likvidace, montáž nových dveří a jejich uvedení do provozu.</w:t>
      </w:r>
    </w:p>
    <w:p w:rsidR="0069351D" w:rsidRDefault="007E3BEB">
      <w:pPr>
        <w:pStyle w:val="Bodytext20"/>
        <w:shd w:val="clear" w:color="auto" w:fill="auto"/>
        <w:spacing w:after="0" w:line="360" w:lineRule="exact"/>
        <w:ind w:left="920" w:hanging="360"/>
        <w:jc w:val="both"/>
      </w:pPr>
      <w:r>
        <w:t>(dále jen „dílo").</w:t>
      </w:r>
    </w:p>
    <w:p w:rsidR="0069351D" w:rsidRDefault="007E3BEB">
      <w:pPr>
        <w:pStyle w:val="Bodytext20"/>
        <w:shd w:val="clear" w:color="auto" w:fill="auto"/>
        <w:spacing w:after="0" w:line="360" w:lineRule="exact"/>
        <w:ind w:left="920" w:hanging="360"/>
        <w:jc w:val="both"/>
      </w:pPr>
      <w:r>
        <w:t xml:space="preserve">Technický popis je uveden v </w:t>
      </w:r>
      <w:r>
        <w:t>zadávací dokumentaci.</w:t>
      </w:r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360" w:lineRule="exact"/>
        <w:ind w:left="560" w:hanging="360"/>
        <w:jc w:val="both"/>
      </w:pPr>
      <w:r>
        <w:t>Součástí díla je také:</w:t>
      </w:r>
    </w:p>
    <w:p w:rsidR="0069351D" w:rsidRDefault="007E3BEB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after="88" w:line="235" w:lineRule="exact"/>
        <w:ind w:left="920" w:right="1160" w:hanging="360"/>
        <w:jc w:val="both"/>
      </w:pPr>
      <w:r>
        <w:t>provádění průběžného úklidu před opuštěním pracoviště do stupně odpovídajícímu provozu zdravotnických zařízení,</w:t>
      </w:r>
    </w:p>
    <w:p w:rsidR="0069351D" w:rsidRDefault="007E3BEB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after="10" w:line="200" w:lineRule="exact"/>
        <w:ind w:left="920" w:hanging="360"/>
        <w:jc w:val="both"/>
      </w:pPr>
      <w:r>
        <w:t>zajištění ochrany proti šíření prašnosti a nadměrného hluku,</w:t>
      </w:r>
    </w:p>
    <w:p w:rsidR="0069351D" w:rsidRDefault="007E3BEB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after="88" w:line="235" w:lineRule="exact"/>
        <w:ind w:left="920" w:right="1160" w:hanging="360"/>
        <w:jc w:val="both"/>
      </w:pPr>
      <w:r>
        <w:t>předání odpadu k odstranění na řízenou</w:t>
      </w:r>
      <w:r>
        <w:t xml:space="preserve"> skládku nebo jiný způsob jeho odstranění nebo využití v souladu se zákonem č. 185/2001 Sb., o odpadech a o změně některých dalších zákonů, ve znění pozdějších předpisů (dále jen „zákon o odpadech"),</w:t>
      </w:r>
    </w:p>
    <w:p w:rsidR="0069351D" w:rsidRDefault="007E3BEB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after="10" w:line="200" w:lineRule="exact"/>
        <w:ind w:left="920" w:hanging="360"/>
        <w:jc w:val="both"/>
      </w:pPr>
      <w:r>
        <w:t>provedení funkční zkoušky a zaškolení obsluhy,</w:t>
      </w:r>
    </w:p>
    <w:p w:rsidR="0069351D" w:rsidRDefault="007E3BEB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after="52" w:line="235" w:lineRule="exact"/>
        <w:ind w:left="920" w:right="1160" w:hanging="360"/>
        <w:jc w:val="both"/>
      </w:pPr>
      <w:r>
        <w:t xml:space="preserve">dodávka </w:t>
      </w:r>
      <w:r>
        <w:t>všech dokladů - certifikáty, protokoly o zkouškách a zaškolení obsluhy ve 2 vyhotoveních.</w:t>
      </w:r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64" w:line="245" w:lineRule="exact"/>
        <w:ind w:left="560" w:right="1160" w:hanging="360"/>
        <w:jc w:val="both"/>
      </w:pPr>
      <w:r>
        <w:t>Zhotovitel se zavazuje provést dílo v souladu s technickými a právními předpisy platnými v České republice v době provádění díla. Pro provedení díla jsou závazné všec</w:t>
      </w:r>
      <w:r>
        <w:t>hny platné normy ČSN.</w:t>
      </w:r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60"/>
        <w:ind w:left="560" w:right="1160" w:hanging="360"/>
        <w:jc w:val="both"/>
      </w:pPr>
      <w:r>
        <w:t>Objednatel se zavazuje dokončené dílo bez jakýchkoliv vad a nedodělků převzít a zaplatit za ně zhotoviteli za dohodnutých podmínek cenu dle čl. V této smlouvy.</w:t>
      </w:r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60"/>
        <w:ind w:left="560" w:right="1160" w:hanging="360"/>
        <w:jc w:val="both"/>
      </w:pPr>
      <w:r>
        <w:t>Zhotovitel prohlašuje, že prozkoumal místní podmínky na staveništi a že pr</w:t>
      </w:r>
      <w:r>
        <w:t>áce mohou být dokončeny způsobem a v termínech stanovených touto smlouvou.</w:t>
      </w:r>
    </w:p>
    <w:p w:rsidR="0069351D" w:rsidRDefault="007E3BEB">
      <w:pPr>
        <w:pStyle w:val="Bodytext20"/>
        <w:numPr>
          <w:ilvl w:val="0"/>
          <w:numId w:val="2"/>
        </w:numPr>
        <w:shd w:val="clear" w:color="auto" w:fill="auto"/>
        <w:tabs>
          <w:tab w:val="left" w:pos="558"/>
        </w:tabs>
        <w:spacing w:after="332"/>
        <w:ind w:left="560" w:right="1160" w:hanging="360"/>
        <w:jc w:val="both"/>
      </w:pPr>
      <w:r>
        <w:t xml:space="preserve">Případné vícepráce či méněpráce budou smluvními stranami sjednány písemnými dodatky smlouvy, a to při dodržení podmínek stanovených příslušnými ustanoveními zákona č. 134/2016 Sb., </w:t>
      </w:r>
      <w:r>
        <w:t>o zadávání veřejných zakázek, ve znění pozdějších předpisů (dále jen „ZZVZ"). Vícepráce budou realizovány až po uzavření příslušného dodatku ke smlouvě.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0" w:line="200" w:lineRule="exact"/>
        <w:ind w:left="4580"/>
      </w:pPr>
      <w:bookmarkStart w:id="4" w:name="bookmark5"/>
      <w:r>
        <w:t>IV.</w:t>
      </w:r>
      <w:bookmarkEnd w:id="4"/>
    </w:p>
    <w:p w:rsidR="0069351D" w:rsidRDefault="007E3BEB">
      <w:pPr>
        <w:pStyle w:val="Heading40"/>
        <w:keepNext/>
        <w:keepLines/>
        <w:shd w:val="clear" w:color="auto" w:fill="auto"/>
        <w:spacing w:before="0" w:after="0" w:line="360" w:lineRule="exact"/>
        <w:ind w:left="3740"/>
      </w:pPr>
      <w:bookmarkStart w:id="5" w:name="bookmark6"/>
      <w:r>
        <w:t>Doba a místo plnění</w:t>
      </w:r>
      <w:bookmarkEnd w:id="5"/>
    </w:p>
    <w:p w:rsidR="0069351D" w:rsidRDefault="007E3BEB">
      <w:pPr>
        <w:pStyle w:val="Bodytext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360" w:lineRule="exact"/>
        <w:ind w:left="560" w:hanging="360"/>
        <w:jc w:val="both"/>
      </w:pPr>
      <w:r>
        <w:t xml:space="preserve">Zhotovitel se zavazuje provést dílo nejpozději do 6 týdnů od nabytí účinnosti </w:t>
      </w:r>
      <w:r>
        <w:t>smlouvy.</w:t>
      </w:r>
    </w:p>
    <w:p w:rsidR="0069351D" w:rsidRDefault="007E3BEB">
      <w:pPr>
        <w:pStyle w:val="Bodytext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360" w:lineRule="exact"/>
        <w:ind w:left="560" w:hanging="360"/>
        <w:jc w:val="both"/>
      </w:pPr>
      <w:r>
        <w:t>Místem plnění je objekt Nemocnice Třinec, příspěvková organizace.</w:t>
      </w:r>
    </w:p>
    <w:p w:rsidR="0069351D" w:rsidRDefault="007E3BEB">
      <w:pPr>
        <w:pStyle w:val="Heading10"/>
        <w:keepNext/>
        <w:keepLines/>
        <w:shd w:val="clear" w:color="auto" w:fill="auto"/>
        <w:spacing w:after="21" w:line="260" w:lineRule="exact"/>
        <w:ind w:left="4620"/>
      </w:pPr>
      <w:bookmarkStart w:id="6" w:name="bookmark7"/>
      <w:r>
        <w:t>v.</w:t>
      </w:r>
      <w:bookmarkEnd w:id="6"/>
    </w:p>
    <w:p w:rsidR="0069351D" w:rsidRDefault="007E3BEB">
      <w:pPr>
        <w:pStyle w:val="Bodytext30"/>
        <w:shd w:val="clear" w:color="auto" w:fill="auto"/>
        <w:spacing w:before="0" w:after="88" w:line="200" w:lineRule="exact"/>
        <w:ind w:left="4140"/>
      </w:pPr>
      <w:r>
        <w:t>Cena za dílo</w:t>
      </w:r>
    </w:p>
    <w:p w:rsidR="0069351D" w:rsidRDefault="007E3BEB">
      <w:pPr>
        <w:pStyle w:val="Bodytext20"/>
        <w:numPr>
          <w:ilvl w:val="0"/>
          <w:numId w:val="6"/>
        </w:numPr>
        <w:shd w:val="clear" w:color="auto" w:fill="auto"/>
        <w:tabs>
          <w:tab w:val="left" w:pos="552"/>
        </w:tabs>
        <w:spacing w:after="273" w:line="200" w:lineRule="exact"/>
        <w:ind w:left="540" w:hanging="340"/>
        <w:jc w:val="both"/>
      </w:pPr>
      <w:r>
        <w:t>Cena za provedené dílo je stanovena dohodou smluvních stran a činí:</w:t>
      </w:r>
    </w:p>
    <w:p w:rsidR="0069351D" w:rsidRDefault="007E3BEB">
      <w:pPr>
        <w:pStyle w:val="Bodytext20"/>
        <w:shd w:val="clear" w:color="auto" w:fill="auto"/>
        <w:spacing w:after="38" w:line="200" w:lineRule="exact"/>
        <w:ind w:left="540" w:firstLine="0"/>
        <w:jc w:val="both"/>
      </w:pPr>
      <w:r>
        <w:rPr>
          <w:rStyle w:val="Bodytext2Bold0"/>
        </w:rPr>
        <w:t xml:space="preserve">Pro 1. část </w:t>
      </w:r>
      <w:r>
        <w:t xml:space="preserve">212.000 Kč bez DPH, tj. 256.520 </w:t>
      </w:r>
      <w:r>
        <w:rPr>
          <w:rStyle w:val="Bodytext2Bold0"/>
        </w:rPr>
        <w:t xml:space="preserve">- </w:t>
      </w:r>
      <w:r>
        <w:t xml:space="preserve">Kč vč. 44.520 Kč (21 </w:t>
      </w:r>
      <w:r>
        <w:rPr>
          <w:rStyle w:val="Bodytext2Bold0"/>
        </w:rPr>
        <w:t xml:space="preserve">%) </w:t>
      </w:r>
      <w:r>
        <w:t>DPH.</w:t>
      </w:r>
    </w:p>
    <w:p w:rsidR="0069351D" w:rsidRDefault="007E3BEB">
      <w:pPr>
        <w:pStyle w:val="Bodytext20"/>
        <w:shd w:val="clear" w:color="auto" w:fill="auto"/>
        <w:spacing w:after="273" w:line="200" w:lineRule="exact"/>
        <w:ind w:left="540" w:firstLine="0"/>
        <w:jc w:val="both"/>
      </w:pPr>
      <w:r>
        <w:rPr>
          <w:rStyle w:val="Bodytext2Bold0"/>
        </w:rPr>
        <w:t xml:space="preserve">Pro 2. část </w:t>
      </w:r>
      <w:r>
        <w:t xml:space="preserve">160.000 Kč bez DPH, </w:t>
      </w:r>
      <w:r>
        <w:rPr>
          <w:rStyle w:val="Bodytext2Bold0"/>
        </w:rPr>
        <w:t xml:space="preserve">q. </w:t>
      </w:r>
      <w:r>
        <w:t xml:space="preserve">193.600 </w:t>
      </w:r>
      <w:r>
        <w:rPr>
          <w:rStyle w:val="Bodytext2Bold0"/>
        </w:rPr>
        <w:t xml:space="preserve">- </w:t>
      </w:r>
      <w:r>
        <w:t xml:space="preserve">Kč vč. 33.600 Kč (21 </w:t>
      </w:r>
      <w:r>
        <w:rPr>
          <w:rStyle w:val="Bodytext2Bold0"/>
        </w:rPr>
        <w:t xml:space="preserve">%) </w:t>
      </w:r>
      <w:r>
        <w:t>DPH.</w:t>
      </w:r>
    </w:p>
    <w:p w:rsidR="0069351D" w:rsidRDefault="007E3BEB">
      <w:pPr>
        <w:pStyle w:val="Bodytext20"/>
        <w:shd w:val="clear" w:color="auto" w:fill="auto"/>
        <w:spacing w:after="241" w:line="200" w:lineRule="exact"/>
        <w:ind w:left="540" w:firstLine="0"/>
        <w:jc w:val="both"/>
      </w:pPr>
      <w:r>
        <w:t>Technická specifikace je přílohou č. 1 této smlouvy.</w:t>
      </w:r>
    </w:p>
    <w:p w:rsidR="0069351D" w:rsidRDefault="007E3BEB">
      <w:pPr>
        <w:pStyle w:val="Bodytext20"/>
        <w:numPr>
          <w:ilvl w:val="0"/>
          <w:numId w:val="6"/>
        </w:numPr>
        <w:shd w:val="clear" w:color="auto" w:fill="auto"/>
        <w:tabs>
          <w:tab w:val="left" w:pos="552"/>
        </w:tabs>
        <w:spacing w:after="60"/>
        <w:ind w:left="540" w:right="1160" w:hanging="340"/>
        <w:jc w:val="both"/>
      </w:pPr>
      <w:r>
        <w:lastRenderedPageBreak/>
        <w:t>Cena za dílo bez DPH uvedená v odst. 1 tohoto článku je cenou nejvýše přípustnou a nelze ji překročit. Cenu díla bude možné měnit pouze:</w:t>
      </w:r>
    </w:p>
    <w:p w:rsidR="0069351D" w:rsidRDefault="007E3BEB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after="60"/>
        <w:ind w:left="900" w:right="1160" w:hanging="360"/>
        <w:jc w:val="both"/>
      </w:pPr>
      <w:r>
        <w:t>nebude-li některá část díla v důsledku sjednaných méněprací provedena, bude cena za dílo snížena, a to odečtením veškerých nákladů na provedení těch částí díla, které v rámci méněprací nebudou provedeny,</w:t>
      </w:r>
    </w:p>
    <w:p w:rsidR="0069351D" w:rsidRDefault="007E3BEB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after="64"/>
        <w:ind w:left="900" w:right="1160" w:hanging="360"/>
        <w:jc w:val="both"/>
      </w:pPr>
      <w:r>
        <w:t xml:space="preserve">přičtením veškerých nákladů na provedení těch částí </w:t>
      </w:r>
      <w:r>
        <w:t>díla, které objednatel nařídil formou víceprací provádět nad rámec odsouhlaseného návrhu. Jednotková cena nové položky tak bude stanovena na základě dohody objednatele a zhotovitele. Objednatel je v tomto případě oprávněn ověřit přiměřenost jednotkové ceny</w:t>
      </w:r>
      <w:r>
        <w:t xml:space="preserve"> nezávislým subjektem.</w:t>
      </w:r>
    </w:p>
    <w:p w:rsidR="0069351D" w:rsidRDefault="007E3BEB">
      <w:pPr>
        <w:pStyle w:val="Bodytext20"/>
        <w:numPr>
          <w:ilvl w:val="0"/>
          <w:numId w:val="6"/>
        </w:numPr>
        <w:shd w:val="clear" w:color="auto" w:fill="auto"/>
        <w:tabs>
          <w:tab w:val="left" w:pos="552"/>
        </w:tabs>
        <w:spacing w:after="328" w:line="235" w:lineRule="exact"/>
        <w:ind w:left="540" w:right="1160" w:hanging="340"/>
        <w:jc w:val="both"/>
      </w:pPr>
      <w:r>
        <w:t>Rozsah případných méněprací nebo víceprací a cena za jejich realizaci, jakož i jakékoliv překročení sjednané ceny, budou vždy předem sjednány dodatkem ktéto smlouvě. Vícepráce budou realizovány až po uzavření příslušného dodatku ke s</w:t>
      </w:r>
      <w:r>
        <w:t>mlouvě.</w:t>
      </w:r>
    </w:p>
    <w:p w:rsidR="0069351D" w:rsidRDefault="007E3BEB">
      <w:pPr>
        <w:pStyle w:val="Bodytext30"/>
        <w:shd w:val="clear" w:color="auto" w:fill="auto"/>
        <w:spacing w:before="0" w:after="28" w:line="200" w:lineRule="exact"/>
        <w:ind w:left="4620"/>
      </w:pPr>
      <w:r>
        <w:t>VI.</w:t>
      </w:r>
    </w:p>
    <w:p w:rsidR="0069351D" w:rsidRDefault="007E3BEB">
      <w:pPr>
        <w:pStyle w:val="Bodytext30"/>
        <w:shd w:val="clear" w:color="auto" w:fill="auto"/>
        <w:spacing w:before="0" w:after="93" w:line="200" w:lineRule="exact"/>
        <w:ind w:left="3800"/>
      </w:pPr>
      <w:r>
        <w:t>Platební podmínky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61" w:line="200" w:lineRule="exact"/>
        <w:ind w:left="540" w:hanging="340"/>
        <w:jc w:val="both"/>
      </w:pPr>
      <w:r>
        <w:t>Zálohy na platby nejsou sjednány.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14"/>
        <w:ind w:left="540" w:right="1160" w:hanging="340"/>
        <w:jc w:val="both"/>
      </w:pPr>
      <w:r>
        <w:t xml:space="preserve">Podkladem pro úhradu ceny za dílo bude faktura, která bude mít náležitosti daňového dokladu a náležitosti stanovené dalšími obecně závaznými právními předpisy (dále jen „faktura"). Kromě </w:t>
      </w:r>
      <w:r>
        <w:t>náležitostí stanovených platnými právními předpisy pro daňový doklad bude zhotovitel povinen ve faktuře uvést i tyto údaje: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98" w:lineRule="exact"/>
        <w:ind w:left="900" w:hanging="360"/>
        <w:jc w:val="both"/>
      </w:pPr>
      <w:r>
        <w:t>číslo smlouvy objednatele, IČ objednatele,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98" w:lineRule="exact"/>
        <w:ind w:left="900" w:hanging="360"/>
        <w:jc w:val="both"/>
      </w:pPr>
      <w:r>
        <w:t>předmět smlouvy, tj. text „Dodávka a montáž posuvných dveří - Nemocnice Třinec, p.o.",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98" w:lineRule="exact"/>
        <w:ind w:left="900" w:hanging="360"/>
        <w:jc w:val="both"/>
      </w:pPr>
      <w:r>
        <w:t>oz</w:t>
      </w:r>
      <w:r>
        <w:t>načení banky a číslo zveřejněného účtu, na který musí být zaplaceno,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8"/>
        </w:tabs>
        <w:spacing w:after="0" w:line="298" w:lineRule="exact"/>
        <w:ind w:left="900" w:hanging="360"/>
        <w:jc w:val="both"/>
      </w:pPr>
      <w:r>
        <w:t>lhůtu splatnosti faktury,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8"/>
        </w:tabs>
        <w:spacing w:after="0" w:line="298" w:lineRule="exact"/>
        <w:ind w:left="900" w:hanging="360"/>
        <w:jc w:val="both"/>
      </w:pPr>
      <w:r>
        <w:t>označení osoby, která fakturu vyhotovila, včetně jejího podpisu a kontaktního telefonu,</w:t>
      </w:r>
    </w:p>
    <w:p w:rsidR="0069351D" w:rsidRDefault="007E3BEB">
      <w:pPr>
        <w:pStyle w:val="Bodytext20"/>
        <w:numPr>
          <w:ilvl w:val="0"/>
          <w:numId w:val="9"/>
        </w:numPr>
        <w:shd w:val="clear" w:color="auto" w:fill="auto"/>
        <w:tabs>
          <w:tab w:val="left" w:pos="908"/>
        </w:tabs>
        <w:spacing w:after="56"/>
        <w:ind w:left="900" w:right="1160" w:hanging="360"/>
        <w:jc w:val="both"/>
      </w:pPr>
      <w:r>
        <w:t xml:space="preserve">protokol o předání a převzetí díla dle této smlouvy, obsahující </w:t>
      </w:r>
      <w:r>
        <w:t>prohlášení objednatele, že dílo přejímá.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60" w:line="245" w:lineRule="exact"/>
        <w:ind w:left="540" w:right="1160" w:hanging="340"/>
        <w:jc w:val="both"/>
      </w:pPr>
      <w:r>
        <w:t>V případě dodatečných prací fakturovaných na základě dodatku uzavřeného k této smlouvě (vícepráce) bude soupis těchto prací tvořit samostatnou přílohu faktury.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64" w:line="245" w:lineRule="exact"/>
        <w:ind w:left="540" w:right="1160" w:hanging="340"/>
        <w:jc w:val="both"/>
      </w:pPr>
      <w:r>
        <w:t>Lhůta splatnosti faktury je dohodou stanovena na 30 kal</w:t>
      </w:r>
      <w:r>
        <w:t>endářních dnů ode dne jejich doručení objednateli.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56"/>
        <w:ind w:left="540" w:right="1160" w:hanging="340"/>
        <w:jc w:val="both"/>
      </w:pPr>
      <w:r>
        <w:t>Doručení faktury se provede osobně na podatelně příspěvkové organizace oproti podpisu potvrzující převzetí nebo doručenkou prostřednictvím provozovatele poštovních služeb.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552"/>
        </w:tabs>
        <w:spacing w:after="60" w:line="245" w:lineRule="exact"/>
        <w:ind w:left="540" w:right="1160" w:hanging="340"/>
        <w:jc w:val="both"/>
      </w:pPr>
      <w:r>
        <w:t>Objednatel je oprávněn vadnou fak</w:t>
      </w:r>
      <w:r>
        <w:t>turu před uplynutím lhůty splatnosti vrátit druhé smluvní straně bez zaplacení k provedení opravy v těchto případech:</w:t>
      </w:r>
    </w:p>
    <w:p w:rsidR="0069351D" w:rsidRDefault="007E3BEB">
      <w:pPr>
        <w:pStyle w:val="Bodytext20"/>
        <w:numPr>
          <w:ilvl w:val="0"/>
          <w:numId w:val="10"/>
        </w:numPr>
        <w:shd w:val="clear" w:color="auto" w:fill="auto"/>
        <w:tabs>
          <w:tab w:val="left" w:pos="903"/>
        </w:tabs>
        <w:spacing w:after="64" w:line="245" w:lineRule="exact"/>
        <w:ind w:left="900" w:right="1160" w:hanging="360"/>
        <w:jc w:val="both"/>
      </w:pPr>
      <w:r>
        <w:t>nebude-li faktura obsahovat některou povinnou nebo dohodnutou náležitost nebo bude-li chybně vyúčtována cena za dílo,</w:t>
      </w:r>
    </w:p>
    <w:p w:rsidR="0069351D" w:rsidRDefault="007E3BEB">
      <w:pPr>
        <w:pStyle w:val="Bodytext20"/>
        <w:numPr>
          <w:ilvl w:val="0"/>
          <w:numId w:val="10"/>
        </w:numPr>
        <w:shd w:val="clear" w:color="auto" w:fill="auto"/>
        <w:tabs>
          <w:tab w:val="left" w:pos="908"/>
        </w:tabs>
        <w:spacing w:after="56"/>
        <w:ind w:left="900" w:right="1160" w:hanging="360"/>
        <w:jc w:val="both"/>
      </w:pPr>
      <w:r>
        <w:t xml:space="preserve">budou-li vyúčtovány </w:t>
      </w:r>
      <w:r>
        <w:t>práce, které nebyly provedeny či nebyly potvrzeny oprávněným zástupcem objednatele,</w:t>
      </w:r>
    </w:p>
    <w:p w:rsidR="0069351D" w:rsidRDefault="007E3BEB">
      <w:pPr>
        <w:pStyle w:val="Bodytext20"/>
        <w:shd w:val="clear" w:color="auto" w:fill="auto"/>
        <w:spacing w:after="0" w:line="245" w:lineRule="exact"/>
        <w:ind w:left="540" w:right="1160" w:firstLine="0"/>
        <w:sectPr w:rsidR="0069351D">
          <w:footerReference w:type="even" r:id="rId8"/>
          <w:footerReference w:type="default" r:id="rId9"/>
          <w:pgSz w:w="11900" w:h="16840"/>
          <w:pgMar w:top="493" w:right="388" w:bottom="1353" w:left="1082" w:header="0" w:footer="3" w:gutter="0"/>
          <w:cols w:space="720"/>
          <w:noEndnote/>
          <w:titlePg/>
          <w:docGrid w:linePitch="360"/>
        </w:sectPr>
      </w:pPr>
      <w:r>
        <w:t xml:space="preserve">Ve </w:t>
      </w:r>
      <w:r>
        <w:t>vrácené faktuře objednatel vyznačí důvod vrácení. Zhotovitel provede opravu vystavením nové faktury. Vrátí-li objednatel vadnou fakturu zhotoviteli, přestává běžet původní lhůta splatnosti.</w:t>
      </w:r>
    </w:p>
    <w:p w:rsidR="0069351D" w:rsidRDefault="007E3BEB">
      <w:pPr>
        <w:pStyle w:val="Bodytext20"/>
        <w:shd w:val="clear" w:color="auto" w:fill="auto"/>
        <w:spacing w:after="92"/>
        <w:ind w:left="720" w:right="1000" w:firstLine="0"/>
        <w:jc w:val="both"/>
      </w:pPr>
      <w:r>
        <w:lastRenderedPageBreak/>
        <w:t>Celá lhůta splatnosti běží opět ode dne doručení nově vyhotovené f</w:t>
      </w:r>
      <w:r>
        <w:t>aktury objednateli. Zhotovitel je povinen doručit objednateli opravenou fakturu do 3 dnů po obdržení objednatelem vrácené vadné faktury.</w:t>
      </w:r>
    </w:p>
    <w:p w:rsidR="0069351D" w:rsidRDefault="007E3BEB">
      <w:pPr>
        <w:pStyle w:val="Bodytext20"/>
        <w:numPr>
          <w:ilvl w:val="0"/>
          <w:numId w:val="8"/>
        </w:numPr>
        <w:shd w:val="clear" w:color="auto" w:fill="auto"/>
        <w:tabs>
          <w:tab w:val="left" w:pos="725"/>
        </w:tabs>
        <w:spacing w:after="729" w:line="200" w:lineRule="exact"/>
        <w:ind w:left="720" w:hanging="360"/>
        <w:jc w:val="both"/>
      </w:pPr>
      <w:r>
        <w:t>Povinnost zaplatit cenu za dílo je splněna dnem odepsání příslušné částky z účtu objednatele,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760"/>
      </w:pPr>
      <w:bookmarkStart w:id="7" w:name="bookmark8"/>
      <w:r>
        <w:t>VII.</w:t>
      </w:r>
      <w:bookmarkEnd w:id="7"/>
    </w:p>
    <w:p w:rsidR="0069351D" w:rsidRDefault="007E3BEB">
      <w:pPr>
        <w:pStyle w:val="Bodytext30"/>
        <w:shd w:val="clear" w:color="auto" w:fill="auto"/>
        <w:spacing w:before="0" w:after="65" w:line="200" w:lineRule="exact"/>
        <w:ind w:left="720"/>
        <w:jc w:val="both"/>
      </w:pPr>
      <w:r>
        <w:t>Práva a povinností s</w:t>
      </w:r>
      <w:r>
        <w:t>mluvních stran, splnění díla, vlastnické právo a nebezpečí škody</w:t>
      </w:r>
    </w:p>
    <w:p w:rsidR="0069351D" w:rsidRDefault="007E3BEB">
      <w:pPr>
        <w:pStyle w:val="Bodytext20"/>
        <w:numPr>
          <w:ilvl w:val="0"/>
          <w:numId w:val="11"/>
        </w:numPr>
        <w:shd w:val="clear" w:color="auto" w:fill="auto"/>
        <w:tabs>
          <w:tab w:val="left" w:pos="725"/>
        </w:tabs>
        <w:spacing w:after="88" w:line="235" w:lineRule="exact"/>
        <w:ind w:left="720" w:right="1000" w:hanging="360"/>
        <w:jc w:val="both"/>
      </w:pPr>
      <w:r>
        <w:t>Není-li stanoveno ve smlouvě výslovně jinak, řídí se vzájemná práva a povinnosti smluvních stran ustanoveními § 2586 a následujícími občanského zákoníku.</w:t>
      </w:r>
    </w:p>
    <w:p w:rsidR="0069351D" w:rsidRDefault="007E3BEB">
      <w:pPr>
        <w:pStyle w:val="Bodytext20"/>
        <w:numPr>
          <w:ilvl w:val="0"/>
          <w:numId w:val="11"/>
        </w:numPr>
        <w:shd w:val="clear" w:color="auto" w:fill="auto"/>
        <w:tabs>
          <w:tab w:val="left" w:pos="725"/>
        </w:tabs>
        <w:spacing w:after="61" w:line="200" w:lineRule="exact"/>
        <w:ind w:left="720" w:hanging="360"/>
        <w:jc w:val="both"/>
      </w:pPr>
      <w:r>
        <w:t xml:space="preserve">Zhotovitel je povinen umožnit </w:t>
      </w:r>
      <w:r>
        <w:t>kontrolní činnost oprávněné osoby objednatele.</w:t>
      </w:r>
    </w:p>
    <w:p w:rsidR="0069351D" w:rsidRDefault="007E3BEB">
      <w:pPr>
        <w:pStyle w:val="Bodytext20"/>
        <w:numPr>
          <w:ilvl w:val="0"/>
          <w:numId w:val="11"/>
        </w:numPr>
        <w:shd w:val="clear" w:color="auto" w:fill="auto"/>
        <w:tabs>
          <w:tab w:val="left" w:pos="725"/>
        </w:tabs>
        <w:spacing w:after="60"/>
        <w:ind w:left="720" w:right="1000" w:hanging="360"/>
        <w:jc w:val="both"/>
      </w:pPr>
      <w:r>
        <w:t>Dílo je provedeno, je-li dokončeno bez jakýchkoliv vad a nedodělků, objednateli je předvedena způsobilost díla sloužit svému účelu a dílo je objednatelem převzato.</w:t>
      </w:r>
    </w:p>
    <w:p w:rsidR="0069351D" w:rsidRDefault="007E3BEB">
      <w:pPr>
        <w:pStyle w:val="Bodytext20"/>
        <w:numPr>
          <w:ilvl w:val="0"/>
          <w:numId w:val="11"/>
        </w:numPr>
        <w:shd w:val="clear" w:color="auto" w:fill="auto"/>
        <w:tabs>
          <w:tab w:val="left" w:pos="725"/>
        </w:tabs>
        <w:spacing w:after="572"/>
        <w:ind w:left="720" w:right="1000" w:hanging="360"/>
        <w:jc w:val="both"/>
      </w:pPr>
      <w:r>
        <w:t>Vlastníkem zhotovované věci, která je předmět</w:t>
      </w:r>
      <w:r>
        <w:t>em díla, je od počátku objednatel. Nebezpečí škody na zhotovované věci nese zhotovitel. Nebezpečí škody přechází na objednatele dnem převzetí díla objednatelem.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23" w:line="200" w:lineRule="exact"/>
        <w:ind w:left="4840"/>
      </w:pPr>
      <w:bookmarkStart w:id="8" w:name="bookmark9"/>
      <w:r>
        <w:t>VIII.</w:t>
      </w:r>
      <w:bookmarkEnd w:id="8"/>
    </w:p>
    <w:p w:rsidR="0069351D" w:rsidRDefault="007E3BEB">
      <w:pPr>
        <w:pStyle w:val="Heading40"/>
        <w:keepNext/>
        <w:keepLines/>
        <w:shd w:val="clear" w:color="auto" w:fill="auto"/>
        <w:spacing w:before="0" w:after="65" w:line="200" w:lineRule="exact"/>
        <w:ind w:left="280"/>
        <w:jc w:val="center"/>
      </w:pPr>
      <w:bookmarkStart w:id="9" w:name="bookmark10"/>
      <w:r>
        <w:t>Jakost díla</w:t>
      </w:r>
      <w:bookmarkEnd w:id="9"/>
    </w:p>
    <w:p w:rsidR="0069351D" w:rsidRDefault="007E3BEB">
      <w:pPr>
        <w:pStyle w:val="Bodytext20"/>
        <w:numPr>
          <w:ilvl w:val="0"/>
          <w:numId w:val="12"/>
        </w:numPr>
        <w:shd w:val="clear" w:color="auto" w:fill="auto"/>
        <w:tabs>
          <w:tab w:val="left" w:pos="725"/>
        </w:tabs>
        <w:spacing w:after="56" w:line="235" w:lineRule="exact"/>
        <w:ind w:left="720" w:right="1000" w:hanging="360"/>
        <w:jc w:val="both"/>
      </w:pPr>
      <w:r>
        <w:t xml:space="preserve">Zhotovitel se zavazuje k tomu, že celkový souhrn vlastností provedeného díla </w:t>
      </w:r>
      <w:r>
        <w:t xml:space="preserve">bude dávat schopnost uspokojit stanovené potřeby, tj. využitelnost, bezpečnost, bezporuchovost, udržovatelnost, hospodárnost, ochranu životního prostředí, požární bezpečnost, hygienické požadavky. Ty budou odpovídat platné právní úpravě, českým technickým </w:t>
      </w:r>
      <w:r>
        <w:t>normám, zadání veřejné zakázky a této smlouvě. K tomu se zhotovitel zavazuje používat pouze materiály a konstrukce vyhovující požadavkům kladeným na jejich jakost a mající prohlášení o shodě dle zákona č. 22/1997 Sb., o technických požadavcích na výrobky a</w:t>
      </w:r>
      <w:r>
        <w:t xml:space="preserve"> o změně a doplnění některých zákonů, ve znění pozdějších předpisů a jeho prováděcích předpisů.</w:t>
      </w:r>
    </w:p>
    <w:p w:rsidR="0069351D" w:rsidRDefault="007E3BEB">
      <w:pPr>
        <w:pStyle w:val="Bodytext20"/>
        <w:numPr>
          <w:ilvl w:val="0"/>
          <w:numId w:val="12"/>
        </w:numPr>
        <w:shd w:val="clear" w:color="auto" w:fill="auto"/>
        <w:tabs>
          <w:tab w:val="left" w:pos="725"/>
        </w:tabs>
        <w:spacing w:after="332"/>
        <w:ind w:left="720" w:right="1000" w:hanging="360"/>
        <w:jc w:val="both"/>
      </w:pPr>
      <w:r>
        <w:t>Jakost dodávaných materiálů a konstrukcí bude dokladována předepsaným způsobem při předání a převzetí díla.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23" w:line="200" w:lineRule="exact"/>
        <w:ind w:left="4760"/>
      </w:pPr>
      <w:bookmarkStart w:id="10" w:name="bookmark11"/>
      <w:r>
        <w:t>IX.</w:t>
      </w:r>
      <w:bookmarkEnd w:id="10"/>
    </w:p>
    <w:p w:rsidR="0069351D" w:rsidRDefault="007E3BEB">
      <w:pPr>
        <w:pStyle w:val="Heading40"/>
        <w:keepNext/>
        <w:keepLines/>
        <w:shd w:val="clear" w:color="auto" w:fill="auto"/>
        <w:spacing w:before="0" w:after="65" w:line="200" w:lineRule="exact"/>
        <w:ind w:left="4380"/>
      </w:pPr>
      <w:bookmarkStart w:id="11" w:name="bookmark12"/>
      <w:r>
        <w:t>Staveniště</w:t>
      </w:r>
      <w:bookmarkEnd w:id="11"/>
    </w:p>
    <w:p w:rsidR="0069351D" w:rsidRDefault="007E3BEB">
      <w:pPr>
        <w:pStyle w:val="Bodytext20"/>
        <w:numPr>
          <w:ilvl w:val="0"/>
          <w:numId w:val="13"/>
        </w:numPr>
        <w:shd w:val="clear" w:color="auto" w:fill="auto"/>
        <w:tabs>
          <w:tab w:val="left" w:pos="725"/>
          <w:tab w:val="left" w:pos="3055"/>
        </w:tabs>
        <w:spacing w:after="0" w:line="235" w:lineRule="exact"/>
        <w:ind w:left="720" w:hanging="360"/>
        <w:jc w:val="both"/>
      </w:pPr>
      <w:r>
        <w:t>Zhotovitel odpovídá</w:t>
      </w:r>
      <w:r>
        <w:tab/>
        <w:t>za bezpečnost a o</w:t>
      </w:r>
      <w:r>
        <w:t>chranu zdraví všech osob v prostoru</w:t>
      </w:r>
    </w:p>
    <w:p w:rsidR="0069351D" w:rsidRDefault="007E3BEB">
      <w:pPr>
        <w:pStyle w:val="Bodytext20"/>
        <w:shd w:val="clear" w:color="auto" w:fill="auto"/>
        <w:tabs>
          <w:tab w:val="left" w:pos="3055"/>
        </w:tabs>
        <w:spacing w:after="0" w:line="235" w:lineRule="exact"/>
        <w:ind w:left="1060" w:hanging="340"/>
        <w:jc w:val="both"/>
      </w:pPr>
      <w:r>
        <w:t>staveniště, za bezpečný</w:t>
      </w:r>
      <w:r>
        <w:tab/>
        <w:t>přístup na stavbu, za dodržování bezpečnostních, hygienických</w:t>
      </w:r>
    </w:p>
    <w:p w:rsidR="0069351D" w:rsidRDefault="007E3BEB">
      <w:pPr>
        <w:pStyle w:val="Bodytext20"/>
        <w:shd w:val="clear" w:color="auto" w:fill="auto"/>
        <w:spacing w:after="56" w:line="235" w:lineRule="exact"/>
        <w:ind w:left="1060" w:hanging="340"/>
        <w:jc w:val="both"/>
      </w:pPr>
      <w:r>
        <w:t>a požárních předpisů.</w:t>
      </w:r>
    </w:p>
    <w:p w:rsidR="0069351D" w:rsidRDefault="007E3BEB">
      <w:pPr>
        <w:pStyle w:val="Bodytext20"/>
        <w:numPr>
          <w:ilvl w:val="0"/>
          <w:numId w:val="13"/>
        </w:numPr>
        <w:shd w:val="clear" w:color="auto" w:fill="auto"/>
        <w:tabs>
          <w:tab w:val="left" w:pos="725"/>
        </w:tabs>
        <w:spacing w:after="332"/>
        <w:ind w:left="720" w:right="1000" w:hanging="360"/>
        <w:jc w:val="both"/>
      </w:pPr>
      <w:r>
        <w:t xml:space="preserve">Zhotovitel se zavazuje udržovat na převzatém staveništi pořádek a čistotu, na svůj náklad odstraňovat odpady a </w:t>
      </w:r>
      <w:r>
        <w:t>nečistoty vzniklé jeho činností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28" w:line="200" w:lineRule="exact"/>
        <w:ind w:left="4760"/>
      </w:pPr>
      <w:bookmarkStart w:id="12" w:name="bookmark13"/>
      <w:r>
        <w:t>X.</w:t>
      </w:r>
      <w:bookmarkEnd w:id="12"/>
    </w:p>
    <w:p w:rsidR="0069351D" w:rsidRDefault="007E3BEB">
      <w:pPr>
        <w:pStyle w:val="Heading40"/>
        <w:keepNext/>
        <w:keepLines/>
        <w:shd w:val="clear" w:color="auto" w:fill="auto"/>
        <w:spacing w:before="0" w:after="83" w:line="200" w:lineRule="exact"/>
        <w:ind w:left="4180"/>
      </w:pPr>
      <w:bookmarkStart w:id="13" w:name="bookmark14"/>
      <w:r>
        <w:t>Provádění díla</w:t>
      </w:r>
      <w:bookmarkEnd w:id="13"/>
    </w:p>
    <w:p w:rsidR="0069351D" w:rsidRDefault="007E3BEB">
      <w:pPr>
        <w:pStyle w:val="Bodytext20"/>
        <w:numPr>
          <w:ilvl w:val="0"/>
          <w:numId w:val="14"/>
        </w:numPr>
        <w:shd w:val="clear" w:color="auto" w:fill="auto"/>
        <w:tabs>
          <w:tab w:val="left" w:pos="725"/>
        </w:tabs>
        <w:spacing w:after="6" w:line="200" w:lineRule="exact"/>
        <w:ind w:left="720" w:hanging="360"/>
        <w:jc w:val="both"/>
      </w:pPr>
      <w:r>
        <w:t>Zhotovitel je povinen:</w:t>
      </w:r>
    </w:p>
    <w:p w:rsidR="0069351D" w:rsidRDefault="007E3BEB">
      <w:pPr>
        <w:pStyle w:val="Bodytext20"/>
        <w:numPr>
          <w:ilvl w:val="0"/>
          <w:numId w:val="15"/>
        </w:numPr>
        <w:shd w:val="clear" w:color="auto" w:fill="auto"/>
        <w:tabs>
          <w:tab w:val="left" w:pos="1080"/>
        </w:tabs>
        <w:spacing w:after="64"/>
        <w:ind w:left="1060" w:right="1000" w:hanging="340"/>
        <w:jc w:val="both"/>
      </w:pPr>
      <w:r>
        <w:t>provést dílo řádně, včas a v odpovídající jakosti za použití postupů, které odpovídají právním předpisům ČR; dílo musí odpovídat příslušným právním předpisům, normám nebo jiné dokumen</w:t>
      </w:r>
      <w:r>
        <w:t>taci vztahující se k provedení díla a umožňovat užívání, k němuž bylo určeno a zhotoveno,</w:t>
      </w:r>
    </w:p>
    <w:p w:rsidR="0069351D" w:rsidRDefault="007E3BEB">
      <w:pPr>
        <w:pStyle w:val="Bodytext20"/>
        <w:numPr>
          <w:ilvl w:val="0"/>
          <w:numId w:val="15"/>
        </w:numPr>
        <w:shd w:val="clear" w:color="auto" w:fill="auto"/>
        <w:tabs>
          <w:tab w:val="left" w:pos="1080"/>
        </w:tabs>
        <w:spacing w:after="88" w:line="235" w:lineRule="exact"/>
        <w:ind w:left="1060" w:right="1000" w:hanging="340"/>
        <w:jc w:val="both"/>
      </w:pPr>
      <w:r>
        <w:t>dodržovat při provádění díla ujednání této smlouvy, řídit se podklady a pokyny objednatele a poskytnout mu požadovanou dokumentaci a informace,</w:t>
      </w:r>
    </w:p>
    <w:p w:rsidR="0069351D" w:rsidRDefault="007E3BEB">
      <w:pPr>
        <w:pStyle w:val="Bodytext20"/>
        <w:numPr>
          <w:ilvl w:val="0"/>
          <w:numId w:val="15"/>
        </w:numPr>
        <w:shd w:val="clear" w:color="auto" w:fill="auto"/>
        <w:tabs>
          <w:tab w:val="left" w:pos="1080"/>
        </w:tabs>
        <w:spacing w:after="0" w:line="200" w:lineRule="exact"/>
        <w:ind w:left="1060" w:hanging="340"/>
        <w:jc w:val="both"/>
      </w:pPr>
      <w:r>
        <w:t>účastnit se na základě</w:t>
      </w:r>
      <w:r>
        <w:t xml:space="preserve"> pozvánky objednatele všech jednání týkajících se předmětného díla,</w:t>
      </w:r>
    </w:p>
    <w:p w:rsidR="0069351D" w:rsidRDefault="007E3BEB">
      <w:pPr>
        <w:pStyle w:val="Bodytext20"/>
        <w:numPr>
          <w:ilvl w:val="0"/>
          <w:numId w:val="15"/>
        </w:numPr>
        <w:shd w:val="clear" w:color="auto" w:fill="auto"/>
        <w:tabs>
          <w:tab w:val="left" w:pos="918"/>
        </w:tabs>
        <w:spacing w:after="56"/>
        <w:ind w:left="900" w:right="1160" w:hanging="360"/>
        <w:jc w:val="both"/>
      </w:pPr>
      <w:r>
        <w:t>dbát při provádění díla na ochranu životního prostředí a dodržovat platné technické, bezpečnostní, zdravotní, hygienické a jiné předpisy, včetně předpisů týkajících se ochrany životního pr</w:t>
      </w:r>
      <w:r>
        <w:t>ostředí,</w:t>
      </w:r>
    </w:p>
    <w:p w:rsidR="0069351D" w:rsidRDefault="007E3BEB">
      <w:pPr>
        <w:pStyle w:val="Bodytext20"/>
        <w:numPr>
          <w:ilvl w:val="0"/>
          <w:numId w:val="14"/>
        </w:numPr>
        <w:shd w:val="clear" w:color="auto" w:fill="auto"/>
        <w:tabs>
          <w:tab w:val="left" w:pos="551"/>
        </w:tabs>
        <w:spacing w:after="64" w:line="245" w:lineRule="exact"/>
        <w:ind w:left="540" w:right="1160" w:hanging="340"/>
        <w:jc w:val="both"/>
      </w:pPr>
      <w:r>
        <w:t>Zhotovitel zajistí stavbu tak, aby nedošlo k ohrožování, nadměrnému nebo zbytečnému obtěžování okolí stavby.</w:t>
      </w:r>
    </w:p>
    <w:p w:rsidR="0069351D" w:rsidRDefault="007E3BEB">
      <w:pPr>
        <w:pStyle w:val="Bodytext20"/>
        <w:numPr>
          <w:ilvl w:val="0"/>
          <w:numId w:val="14"/>
        </w:numPr>
        <w:shd w:val="clear" w:color="auto" w:fill="auto"/>
        <w:tabs>
          <w:tab w:val="left" w:pos="551"/>
        </w:tabs>
        <w:spacing w:after="60"/>
        <w:ind w:left="540" w:right="1160" w:hanging="340"/>
        <w:jc w:val="both"/>
      </w:pPr>
      <w:r>
        <w:t>Zhotovitel je povinen provedené stavební práce zabezpečit před poškozením a krádežemi až do předání díla k užívání objednateli, a to na vl</w:t>
      </w:r>
      <w:r>
        <w:t>astní náklady.</w:t>
      </w:r>
    </w:p>
    <w:p w:rsidR="0069351D" w:rsidRDefault="007E3BEB">
      <w:pPr>
        <w:pStyle w:val="Bodytext20"/>
        <w:numPr>
          <w:ilvl w:val="0"/>
          <w:numId w:val="14"/>
        </w:numPr>
        <w:shd w:val="clear" w:color="auto" w:fill="auto"/>
        <w:tabs>
          <w:tab w:val="left" w:pos="551"/>
        </w:tabs>
        <w:spacing w:after="60"/>
        <w:ind w:left="540" w:right="1160" w:hanging="340"/>
        <w:jc w:val="both"/>
      </w:pPr>
      <w:r>
        <w:t xml:space="preserve">Zhotovitel odpovídá za zajištění odborného vedení stavby a odborného provádění prací oprávněnými </w:t>
      </w:r>
      <w:r>
        <w:lastRenderedPageBreak/>
        <w:t>osobami, za dodržení obecných technických požadavků na výstavbu a jiných technických předpisů.</w:t>
      </w:r>
    </w:p>
    <w:p w:rsidR="0069351D" w:rsidRDefault="007E3BEB">
      <w:pPr>
        <w:pStyle w:val="Bodytext20"/>
        <w:numPr>
          <w:ilvl w:val="0"/>
          <w:numId w:val="14"/>
        </w:numPr>
        <w:shd w:val="clear" w:color="auto" w:fill="auto"/>
        <w:tabs>
          <w:tab w:val="left" w:pos="551"/>
        </w:tabs>
        <w:spacing w:after="692"/>
        <w:ind w:left="540" w:right="1160" w:hanging="340"/>
        <w:jc w:val="both"/>
      </w:pPr>
      <w:r>
        <w:t xml:space="preserve">Zhotovitel se zavazuje realizovat práce </w:t>
      </w:r>
      <w:r>
        <w:t>vyžadující zvláštní způsobilost nebo povolení podle příslušných předpisů osobami, které tuto podmínku splňují.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28" w:line="200" w:lineRule="exact"/>
        <w:ind w:left="4560"/>
      </w:pPr>
      <w:bookmarkStart w:id="14" w:name="bookmark15"/>
      <w:r>
        <w:t>XI.</w:t>
      </w:r>
      <w:bookmarkEnd w:id="14"/>
    </w:p>
    <w:p w:rsidR="0069351D" w:rsidRDefault="007E3BEB">
      <w:pPr>
        <w:pStyle w:val="Heading40"/>
        <w:keepNext/>
        <w:keepLines/>
        <w:shd w:val="clear" w:color="auto" w:fill="auto"/>
        <w:spacing w:before="0" w:after="1" w:line="200" w:lineRule="exact"/>
        <w:ind w:left="3980"/>
      </w:pPr>
      <w:bookmarkStart w:id="15" w:name="bookmark16"/>
      <w:r>
        <w:t>Stavební deník</w:t>
      </w:r>
      <w:bookmarkEnd w:id="15"/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551"/>
        </w:tabs>
        <w:spacing w:after="92"/>
        <w:ind w:left="540" w:right="1160" w:hanging="340"/>
        <w:jc w:val="both"/>
      </w:pPr>
      <w:r>
        <w:t>Zhotovitel je povinen o všech pracích a činnostech prováděných v souvislosti se stavbou vést stavební deník v souladu se stave</w:t>
      </w:r>
      <w:r>
        <w:t>bním zákonem. Stavební deník musí obsahovat veškeré obsahové náležitosti a musí být veden způsobem dle vyhlášky č. 499/2006 Sb., o dokumentaci staveb.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551"/>
        </w:tabs>
        <w:spacing w:after="369" w:line="200" w:lineRule="exact"/>
        <w:ind w:left="540" w:hanging="340"/>
        <w:jc w:val="both"/>
      </w:pPr>
      <w:r>
        <w:t>Zápisem ve stavebním deníku nelze obsah této smlouvy měnit.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560"/>
      </w:pPr>
      <w:bookmarkStart w:id="16" w:name="bookmark17"/>
      <w:r>
        <w:t>XII.</w:t>
      </w:r>
      <w:bookmarkEnd w:id="16"/>
    </w:p>
    <w:p w:rsidR="0069351D" w:rsidRDefault="007E3BEB">
      <w:pPr>
        <w:pStyle w:val="Heading40"/>
        <w:keepNext/>
        <w:keepLines/>
        <w:shd w:val="clear" w:color="auto" w:fill="auto"/>
        <w:spacing w:before="0" w:after="2" w:line="200" w:lineRule="exact"/>
        <w:ind w:left="4140"/>
      </w:pPr>
      <w:bookmarkStart w:id="17" w:name="bookmark18"/>
      <w:r>
        <w:t>Předání díla</w:t>
      </w:r>
      <w:bookmarkEnd w:id="17"/>
    </w:p>
    <w:p w:rsidR="0069351D" w:rsidRDefault="007E3BEB">
      <w:pPr>
        <w:pStyle w:val="Bodytext20"/>
        <w:numPr>
          <w:ilvl w:val="0"/>
          <w:numId w:val="17"/>
        </w:numPr>
        <w:shd w:val="clear" w:color="auto" w:fill="auto"/>
        <w:tabs>
          <w:tab w:val="left" w:pos="551"/>
        </w:tabs>
        <w:spacing w:after="60" w:line="245" w:lineRule="exact"/>
        <w:ind w:left="540" w:right="1160" w:hanging="340"/>
        <w:jc w:val="both"/>
      </w:pPr>
      <w:r>
        <w:t xml:space="preserve">Objednatel se zavazuje </w:t>
      </w:r>
      <w:r>
        <w:t>dokončené dílo bez vad a nedodělků převzít nejpozději 2. den od výzvy zhotovitele k převzetí díla.</w:t>
      </w:r>
    </w:p>
    <w:p w:rsidR="0069351D" w:rsidRDefault="007E3BEB">
      <w:pPr>
        <w:pStyle w:val="Bodytext20"/>
        <w:numPr>
          <w:ilvl w:val="0"/>
          <w:numId w:val="17"/>
        </w:numPr>
        <w:shd w:val="clear" w:color="auto" w:fill="auto"/>
        <w:tabs>
          <w:tab w:val="left" w:pos="551"/>
        </w:tabs>
        <w:spacing w:after="18" w:line="245" w:lineRule="exact"/>
        <w:ind w:left="540" w:right="1160" w:hanging="340"/>
        <w:jc w:val="both"/>
      </w:pPr>
      <w:r>
        <w:t>O předání a převzetí díla bude sepsán protokol mezi objednatelem a zhotovitelem. Protokol připraví a sepíše oprávněná osoba objednatele.</w:t>
      </w:r>
    </w:p>
    <w:p w:rsidR="0069351D" w:rsidRDefault="007E3BEB">
      <w:pPr>
        <w:pStyle w:val="Bodytext20"/>
        <w:shd w:val="clear" w:color="auto" w:fill="auto"/>
        <w:spacing w:after="0" w:line="298" w:lineRule="exact"/>
        <w:ind w:left="900" w:hanging="360"/>
        <w:jc w:val="both"/>
      </w:pPr>
      <w:r>
        <w:t>Protokol bude obsaho</w:t>
      </w:r>
      <w:r>
        <w:t>vat: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08"/>
        </w:tabs>
        <w:spacing w:after="0" w:line="298" w:lineRule="exact"/>
        <w:ind w:left="900" w:hanging="360"/>
        <w:jc w:val="both"/>
      </w:pPr>
      <w:r>
        <w:t>označení předmětu díla,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08"/>
        </w:tabs>
        <w:spacing w:after="0" w:line="298" w:lineRule="exact"/>
        <w:ind w:left="900" w:hanging="360"/>
        <w:jc w:val="both"/>
      </w:pPr>
      <w:r>
        <w:t>označení objednatele a zhotovitele díla,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08"/>
        </w:tabs>
        <w:spacing w:after="0" w:line="298" w:lineRule="exact"/>
        <w:ind w:left="900" w:hanging="360"/>
        <w:jc w:val="both"/>
      </w:pPr>
      <w:r>
        <w:t>číslo a datum uzavření smlouvy o dílo včetně čísel a dat uzavření jejích dodatků,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3"/>
        </w:tabs>
        <w:spacing w:after="0" w:line="298" w:lineRule="exact"/>
        <w:ind w:left="900" w:hanging="360"/>
        <w:jc w:val="both"/>
      </w:pPr>
      <w:r>
        <w:t>termín vyklizení staveniště,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3"/>
        </w:tabs>
        <w:spacing w:after="0" w:line="298" w:lineRule="exact"/>
        <w:ind w:left="900" w:hanging="360"/>
        <w:jc w:val="both"/>
      </w:pPr>
      <w:r>
        <w:t>datum ukončení záruky za jakost na dílo,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3"/>
        </w:tabs>
        <w:spacing w:after="0" w:line="298" w:lineRule="exact"/>
        <w:ind w:left="900" w:hanging="360"/>
        <w:jc w:val="both"/>
      </w:pPr>
      <w:r>
        <w:t xml:space="preserve">soupis nákladů od zahájení po </w:t>
      </w:r>
      <w:r>
        <w:t>dokončení díla,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8"/>
        </w:tabs>
        <w:spacing w:after="0" w:line="298" w:lineRule="exact"/>
        <w:ind w:left="900" w:hanging="360"/>
        <w:jc w:val="both"/>
      </w:pPr>
      <w:r>
        <w:t>termín zahájení a dokončení prací na zhotovovaném díle,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8"/>
        </w:tabs>
        <w:spacing w:after="0" w:line="298" w:lineRule="exact"/>
        <w:ind w:left="900" w:hanging="360"/>
        <w:jc w:val="both"/>
      </w:pPr>
      <w:r>
        <w:t>seznam převzaté dokumentace,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8"/>
        </w:tabs>
        <w:spacing w:after="0" w:line="298" w:lineRule="exact"/>
        <w:ind w:left="900" w:hanging="360"/>
        <w:jc w:val="both"/>
      </w:pPr>
      <w:r>
        <w:t>prohlášení objednatele, že dílo přejímá (nepřejímá),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8"/>
        </w:tabs>
        <w:spacing w:after="0" w:line="298" w:lineRule="exact"/>
        <w:ind w:left="900" w:hanging="360"/>
        <w:jc w:val="both"/>
      </w:pPr>
      <w:r>
        <w:t>datum a místo sepsání protokolu,</w:t>
      </w:r>
    </w:p>
    <w:p w:rsidR="0069351D" w:rsidRDefault="007E3BEB">
      <w:pPr>
        <w:pStyle w:val="Bodytext20"/>
        <w:numPr>
          <w:ilvl w:val="0"/>
          <w:numId w:val="18"/>
        </w:numPr>
        <w:shd w:val="clear" w:color="auto" w:fill="auto"/>
        <w:tabs>
          <w:tab w:val="left" w:pos="918"/>
        </w:tabs>
        <w:spacing w:after="0" w:line="250" w:lineRule="exact"/>
        <w:ind w:left="900" w:right="1160" w:hanging="360"/>
        <w:jc w:val="both"/>
      </w:pPr>
      <w:r>
        <w:t xml:space="preserve">jména a podpisy zástupců objednatele, zhotovitele, uživatele a osoby </w:t>
      </w:r>
      <w:r>
        <w:t>vykonávající technický dozor stavebníka.</w:t>
      </w:r>
    </w:p>
    <w:p w:rsidR="0069351D" w:rsidRDefault="007E3BEB">
      <w:pPr>
        <w:pStyle w:val="Bodytext20"/>
        <w:numPr>
          <w:ilvl w:val="0"/>
          <w:numId w:val="17"/>
        </w:numPr>
        <w:shd w:val="clear" w:color="auto" w:fill="auto"/>
        <w:tabs>
          <w:tab w:val="left" w:pos="551"/>
        </w:tabs>
        <w:spacing w:after="60" w:line="245" w:lineRule="exact"/>
        <w:ind w:left="540" w:right="1160" w:hanging="340"/>
        <w:jc w:val="both"/>
      </w:pPr>
      <w:r>
        <w:t>Zhotovitel je povinen provést předepsané zkoušky dle platných právních předpisů a technických norem. Úspěšné provedení těchto zkoušek je podmínkou převzetí díla.</w:t>
      </w:r>
    </w:p>
    <w:p w:rsidR="0069351D" w:rsidRDefault="007E3BEB">
      <w:pPr>
        <w:pStyle w:val="Bodytext20"/>
        <w:numPr>
          <w:ilvl w:val="0"/>
          <w:numId w:val="17"/>
        </w:numPr>
        <w:shd w:val="clear" w:color="auto" w:fill="auto"/>
        <w:tabs>
          <w:tab w:val="left" w:pos="554"/>
        </w:tabs>
        <w:spacing w:after="0" w:line="245" w:lineRule="exact"/>
        <w:ind w:left="540" w:right="1160" w:hanging="340"/>
        <w:jc w:val="both"/>
      </w:pPr>
      <w:r>
        <w:t>Doklady o řádném provedení díla dle technických norem</w:t>
      </w:r>
      <w:r>
        <w:t xml:space="preserve"> a předpisů, o provedených zkouškách, atestech a další dokumentaci podle této smlouvy včetně prohlášení o shodě, zhotovitel předá objednateli při předání díla. Pokud zhotovitel objednateli doklady dle předchozí věty nepředá, objednatel dílo nepřevezme. Pře</w:t>
      </w:r>
      <w:r>
        <w:t>dáním díla objednateli není zhotovitel zbaven povinnosti doklady na výzvu objednatele doplnit.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28" w:line="200" w:lineRule="exact"/>
        <w:ind w:left="4560"/>
      </w:pPr>
      <w:bookmarkStart w:id="18" w:name="bookmark19"/>
      <w:r>
        <w:t>XIII.</w:t>
      </w:r>
      <w:bookmarkEnd w:id="18"/>
    </w:p>
    <w:p w:rsidR="0069351D" w:rsidRDefault="007E3BEB">
      <w:pPr>
        <w:pStyle w:val="Heading40"/>
        <w:keepNext/>
        <w:keepLines/>
        <w:shd w:val="clear" w:color="auto" w:fill="auto"/>
        <w:spacing w:before="0" w:after="38" w:line="200" w:lineRule="exact"/>
        <w:ind w:left="2740"/>
      </w:pPr>
      <w:bookmarkStart w:id="19" w:name="bookmark20"/>
      <w:r>
        <w:t>Práva z vadného plnění, záruka za jakost</w:t>
      </w:r>
      <w:bookmarkEnd w:id="19"/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1" w:line="200" w:lineRule="exact"/>
        <w:ind w:left="600" w:hanging="360"/>
        <w:jc w:val="both"/>
      </w:pPr>
      <w:r>
        <w:t>Dílo má vadu, jestliže neodpovídá požadavkům uvedeným v této smlouvě.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56"/>
        <w:ind w:left="600" w:right="1120" w:hanging="360"/>
        <w:jc w:val="both"/>
      </w:pPr>
      <w:r>
        <w:t xml:space="preserve">Objednatel má právo z vadného plnění z vad, </w:t>
      </w:r>
      <w:r>
        <w:t>které má dílo při převzetí objednatelem, byť se vada projeví až později. Objednatel má právo z vadného plnění také z vad vzniklých po převzetí díla objednatelem, pokud je zhotovitel způsobil porušením své povinnosti. Projeví-li se vada v průběhu 6 měsíců o</w:t>
      </w:r>
      <w:r>
        <w:t>d převzetí díla objednatelem, má se zato, že dílo bylo vadné již při převzetí, neprokáže- li zhotovitel opak.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0" w:line="245" w:lineRule="exact"/>
        <w:ind w:left="600" w:right="1120" w:hanging="360"/>
        <w:jc w:val="both"/>
      </w:pPr>
      <w:r>
        <w:t>Zhotovitel poskytuje objednateli na provedené dílo záruku za jakost (dále jen „záruka") ve smyslu § 2619 a § 2113 a násl. občanského zákoníku, a t</w:t>
      </w:r>
      <w:r>
        <w:t>o v délce:</w:t>
      </w:r>
    </w:p>
    <w:p w:rsidR="0069351D" w:rsidRDefault="007E3BEB">
      <w:pPr>
        <w:pStyle w:val="Bodytext20"/>
        <w:numPr>
          <w:ilvl w:val="0"/>
          <w:numId w:val="20"/>
        </w:numPr>
        <w:shd w:val="clear" w:color="auto" w:fill="auto"/>
        <w:tabs>
          <w:tab w:val="left" w:pos="963"/>
        </w:tabs>
        <w:spacing w:after="0" w:line="370" w:lineRule="exact"/>
        <w:ind w:left="600" w:right="1120" w:firstLine="0"/>
      </w:pPr>
      <w:r>
        <w:t>60 měsíců na provedené práce a dodávky, pokud nejsou uvedeny v písm. b) tohoto odstavce, (dále též „záruční doba").</w:t>
      </w:r>
    </w:p>
    <w:p w:rsidR="0069351D" w:rsidRDefault="007E3BEB">
      <w:pPr>
        <w:pStyle w:val="Bodytext20"/>
        <w:shd w:val="clear" w:color="auto" w:fill="auto"/>
        <w:spacing w:after="56"/>
        <w:ind w:left="600" w:right="1120" w:firstLine="0"/>
        <w:jc w:val="both"/>
      </w:pPr>
      <w:r>
        <w:t xml:space="preserve">Záruční doba začíná běžet dnem převzetí díla objednatelem. Záruční doba se staví po dobu, po kterou nemůže objednatel dílo řádně </w:t>
      </w:r>
      <w:r>
        <w:t>užívat pro vady, za které nese odpovědnost zhotovitel. Pro nahlašování a odstraňování vad v rámci záruky platí podmínky uvedené dále v tomto článku smlouvy.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64" w:line="245" w:lineRule="exact"/>
        <w:ind w:left="600" w:right="1120" w:hanging="360"/>
        <w:jc w:val="both"/>
      </w:pPr>
      <w:r>
        <w:t>Vady a nedodělky díla z vadného plnění a dále také vady, které se projeví během záruční doby, budou</w:t>
      </w:r>
      <w:r>
        <w:t xml:space="preserve"> zhotovitelem odstraněny bezplatně, včetně všech potřebných náhradních dílů a dalšího materiálu.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92"/>
        <w:ind w:left="600" w:right="1120" w:hanging="360"/>
        <w:jc w:val="both"/>
      </w:pPr>
      <w:r>
        <w:lastRenderedPageBreak/>
        <w:t>Veškeré vady díla bude objednatel povinen uplatnit u zhotovitele bez zbytečného odkladu poté, kdy vadu zjistil, a to formou písemného oznámení (za písemné ozná</w:t>
      </w:r>
      <w:r>
        <w:t>mení se považuje i oznámení e-mailem), obsahujícího specifikaci zjištěné vady. Objednatel bude vady díla oznamovat na:</w:t>
      </w:r>
    </w:p>
    <w:p w:rsidR="0069351D" w:rsidRDefault="007E3BEB">
      <w:pPr>
        <w:pStyle w:val="Bodytext20"/>
        <w:numPr>
          <w:ilvl w:val="0"/>
          <w:numId w:val="21"/>
        </w:numPr>
        <w:shd w:val="clear" w:color="auto" w:fill="auto"/>
        <w:tabs>
          <w:tab w:val="left" w:pos="963"/>
          <w:tab w:val="left" w:pos="3365"/>
        </w:tabs>
        <w:spacing w:after="33" w:line="200" w:lineRule="exact"/>
        <w:ind w:left="600" w:firstLine="0"/>
        <w:jc w:val="both"/>
      </w:pPr>
      <w:r>
        <w:t>e-mail:</w:t>
      </w:r>
      <w:r>
        <w:tab/>
      </w:r>
      <w:hyperlink r:id="rId10" w:history="1">
        <w:r>
          <w:rPr>
            <w:rStyle w:val="Hypertextovodkaz"/>
            <w:lang w:val="en-US" w:eastAsia="en-US" w:bidi="en-US"/>
          </w:rPr>
          <w:t>zbranek@spedos.cz</w:t>
        </w:r>
      </w:hyperlink>
      <w:r>
        <w:rPr>
          <w:lang w:val="en-US" w:eastAsia="en-US" w:bidi="en-US"/>
        </w:rPr>
        <w:t xml:space="preserve">, </w:t>
      </w:r>
      <w:hyperlink r:id="rId11" w:history="1">
        <w:r>
          <w:rPr>
            <w:rStyle w:val="Hypertextovodkaz"/>
            <w:lang w:val="en-US" w:eastAsia="en-US" w:bidi="en-US"/>
          </w:rPr>
          <w:t>servis@spedos.cz</w:t>
        </w:r>
      </w:hyperlink>
    </w:p>
    <w:p w:rsidR="0069351D" w:rsidRDefault="007E3BEB">
      <w:pPr>
        <w:pStyle w:val="Bodytext20"/>
        <w:numPr>
          <w:ilvl w:val="0"/>
          <w:numId w:val="21"/>
        </w:numPr>
        <w:shd w:val="clear" w:color="auto" w:fill="auto"/>
        <w:tabs>
          <w:tab w:val="left" w:pos="963"/>
          <w:tab w:val="left" w:pos="3365"/>
        </w:tabs>
        <w:spacing w:after="33" w:line="200" w:lineRule="exact"/>
        <w:ind w:left="600" w:firstLine="0"/>
        <w:jc w:val="both"/>
      </w:pPr>
      <w:r>
        <w:t>adresu:</w:t>
      </w:r>
      <w:r>
        <w:tab/>
        <w:t>SPEDOS S</w:t>
      </w:r>
      <w:r>
        <w:t>ervis s.r.o. Hranická 771, 757 01 Valašské Meziříčí</w:t>
      </w:r>
    </w:p>
    <w:p w:rsidR="0069351D" w:rsidRDefault="007E3BEB">
      <w:pPr>
        <w:pStyle w:val="Bodytext20"/>
        <w:numPr>
          <w:ilvl w:val="0"/>
          <w:numId w:val="21"/>
        </w:numPr>
        <w:shd w:val="clear" w:color="auto" w:fill="auto"/>
        <w:tabs>
          <w:tab w:val="left" w:pos="963"/>
        </w:tabs>
        <w:spacing w:after="0" w:line="200" w:lineRule="exact"/>
        <w:ind w:left="600" w:firstLine="0"/>
        <w:jc w:val="both"/>
      </w:pPr>
      <w:r>
        <w:t>do datové schránky:</w:t>
      </w:r>
    </w:p>
    <w:p w:rsidR="0069351D" w:rsidRDefault="007E3BEB">
      <w:pPr>
        <w:pStyle w:val="Bodytext20"/>
        <w:numPr>
          <w:ilvl w:val="0"/>
          <w:numId w:val="21"/>
        </w:numPr>
        <w:shd w:val="clear" w:color="auto" w:fill="auto"/>
        <w:tabs>
          <w:tab w:val="left" w:pos="963"/>
        </w:tabs>
        <w:spacing w:after="64" w:line="245" w:lineRule="exact"/>
        <w:ind w:left="960" w:right="1120" w:hanging="360"/>
      </w:pPr>
      <w:r>
        <w:t>Objednatel má právo na odstranění vady opravou; je-li vadné plnění podstatným porušením smlouvy, má také právo od smlouvy odstoupit. Právo volby plnění má objednatel.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60"/>
        <w:ind w:left="600" w:right="1120" w:hanging="360"/>
        <w:jc w:val="both"/>
      </w:pPr>
      <w:r>
        <w:t xml:space="preserve">Zhotovitel </w:t>
      </w:r>
      <w:r>
        <w:t>započne s odstraněním vady nejpozději do 3 dnů od doručení oznámení o vadě, pokud se smluvní strany nedohodnou písemně jinak. V případě havárie započne s odstraněním vady neodkladně, nejpozději do 6 hodin od doručení oznámení o vadě. Nezapočne-li zhotovite</w:t>
      </w:r>
      <w:r>
        <w:t>l s odstraněním vady ve stanovené lhůtě, je objednatel oprávněn zajistit odstranění vady na náklady zhotovitele u jiné odborné osoby. Vada bude odstraněna nejpozději do 5 dnů ode dne doručení oznámení o vadě, v případě havárie nejpozději do 12 hodin od dor</w:t>
      </w:r>
      <w:r>
        <w:t>učení oznámení o vadě, pokud se smluvní strany nedohodnou písemně jinak. K dohodám dle tohoto odstavce je oprávněna pouze osoba oprávněná jednat ve věcech realizace stavby dle čl. I odst. 1 této smlouvy, příp. jiný oprávněný zástupce objednatele.</w:t>
      </w:r>
    </w:p>
    <w:p w:rsidR="0069351D" w:rsidRDefault="007E3BEB">
      <w:pPr>
        <w:pStyle w:val="Bodytext20"/>
        <w:numPr>
          <w:ilvl w:val="0"/>
          <w:numId w:val="19"/>
        </w:numPr>
        <w:shd w:val="clear" w:color="auto" w:fill="auto"/>
        <w:tabs>
          <w:tab w:val="left" w:pos="589"/>
        </w:tabs>
        <w:spacing w:after="332"/>
        <w:ind w:left="600" w:right="1120" w:hanging="360"/>
        <w:jc w:val="both"/>
      </w:pPr>
      <w:r>
        <w:t>Provedeno</w:t>
      </w:r>
      <w:r>
        <w:t>u opravu vady zhotovitel objednateli předá písemně. Na provedenou opravu poskytne zhotovitel záruku za jakost v délce shodné s délkou sjednané záruky na dílo dle této smlouvy.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560"/>
      </w:pPr>
      <w:bookmarkStart w:id="20" w:name="bookmark21"/>
      <w:r>
        <w:t>XIV.</w:t>
      </w:r>
      <w:bookmarkEnd w:id="20"/>
    </w:p>
    <w:p w:rsidR="0069351D" w:rsidRDefault="007E3BEB">
      <w:pPr>
        <w:pStyle w:val="Heading40"/>
        <w:keepNext/>
        <w:keepLines/>
        <w:shd w:val="clear" w:color="auto" w:fill="auto"/>
        <w:spacing w:before="0" w:after="1" w:line="200" w:lineRule="exact"/>
        <w:ind w:left="3960"/>
      </w:pPr>
      <w:bookmarkStart w:id="21" w:name="bookmark22"/>
      <w:r>
        <w:t>Nebezpečí škody</w:t>
      </w:r>
      <w:bookmarkEnd w:id="21"/>
    </w:p>
    <w:p w:rsidR="0069351D" w:rsidRDefault="007E3BEB">
      <w:pPr>
        <w:pStyle w:val="Bodytext20"/>
        <w:numPr>
          <w:ilvl w:val="0"/>
          <w:numId w:val="22"/>
        </w:numPr>
        <w:shd w:val="clear" w:color="auto" w:fill="auto"/>
        <w:tabs>
          <w:tab w:val="left" w:pos="589"/>
        </w:tabs>
        <w:spacing w:after="56"/>
        <w:ind w:left="600" w:right="1120" w:hanging="360"/>
        <w:jc w:val="both"/>
      </w:pPr>
      <w:r>
        <w:t>Vlastníkem zhotovované věci, která je předmětem díla, je od</w:t>
      </w:r>
      <w:r>
        <w:t xml:space="preserve"> počátku objednatel. Nebezpečí škody na zhotovované věci, i na věci, která je předmětem údržby, opravy nebo úpravy, která je předmětem díla, nese zhotovitel. Nebezpečí škody přechází na objednatele dnem převzetí díla objednatelem.</w:t>
      </w:r>
    </w:p>
    <w:p w:rsidR="0069351D" w:rsidRDefault="007E3BEB">
      <w:pPr>
        <w:pStyle w:val="Bodytext20"/>
        <w:numPr>
          <w:ilvl w:val="0"/>
          <w:numId w:val="22"/>
        </w:numPr>
        <w:shd w:val="clear" w:color="auto" w:fill="auto"/>
        <w:tabs>
          <w:tab w:val="left" w:pos="589"/>
        </w:tabs>
        <w:spacing w:after="96" w:line="245" w:lineRule="exact"/>
        <w:ind w:left="600" w:right="1120" w:hanging="360"/>
        <w:jc w:val="both"/>
      </w:pPr>
      <w:r>
        <w:t>Zhotovitel nese odpovědno</w:t>
      </w:r>
      <w:r>
        <w:t>st původce odpadů, zavazuje se nezpůsobovat únik ropných, toxických či jiných škodlivých látek na stavbě.</w:t>
      </w:r>
    </w:p>
    <w:p w:rsidR="0069351D" w:rsidRDefault="007E3BEB">
      <w:pPr>
        <w:pStyle w:val="Bodytext20"/>
        <w:numPr>
          <w:ilvl w:val="0"/>
          <w:numId w:val="22"/>
        </w:numPr>
        <w:shd w:val="clear" w:color="auto" w:fill="auto"/>
        <w:tabs>
          <w:tab w:val="left" w:pos="589"/>
        </w:tabs>
        <w:spacing w:after="0" w:line="200" w:lineRule="exact"/>
        <w:ind w:left="600" w:hanging="360"/>
        <w:jc w:val="both"/>
      </w:pPr>
      <w:r>
        <w:t>Zhotovitel je povinen učinit veškerá opatření potřebná k odvrácení škody nebo k jejímu zmírnění.</w:t>
      </w:r>
    </w:p>
    <w:p w:rsidR="0069351D" w:rsidRDefault="007E3BEB">
      <w:pPr>
        <w:pStyle w:val="Bodytext20"/>
        <w:numPr>
          <w:ilvl w:val="0"/>
          <w:numId w:val="22"/>
        </w:numPr>
        <w:shd w:val="clear" w:color="auto" w:fill="auto"/>
        <w:tabs>
          <w:tab w:val="left" w:pos="533"/>
        </w:tabs>
        <w:spacing w:after="396" w:line="245" w:lineRule="exact"/>
        <w:ind w:left="540" w:right="1160" w:hanging="360"/>
      </w:pPr>
      <w:r>
        <w:t>Zhotovitel je povinen nahradit objednateli v plné výš</w:t>
      </w:r>
      <w:r>
        <w:t>i škodu, která vznikla při realizaci a užívání díla v souvislosti nebo jako důsledek porušení povinností a závazků zhotovitele dle této smlouvy.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540"/>
      </w:pPr>
      <w:bookmarkStart w:id="22" w:name="bookmark23"/>
      <w:r>
        <w:t>XV.</w:t>
      </w:r>
      <w:bookmarkEnd w:id="22"/>
    </w:p>
    <w:p w:rsidR="0069351D" w:rsidRDefault="007E3BEB">
      <w:pPr>
        <w:pStyle w:val="Heading40"/>
        <w:keepNext/>
        <w:keepLines/>
        <w:shd w:val="clear" w:color="auto" w:fill="auto"/>
        <w:spacing w:before="0" w:after="301" w:line="200" w:lineRule="exact"/>
        <w:ind w:left="3860"/>
      </w:pPr>
      <w:bookmarkStart w:id="23" w:name="bookmark24"/>
      <w:r>
        <w:t>Sankční ujednání</w:t>
      </w:r>
      <w:bookmarkEnd w:id="23"/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0"/>
        <w:ind w:left="900" w:right="1160" w:hanging="360"/>
      </w:pPr>
      <w:r>
        <w:t>V případě, že bude zhotovitel v prodlení s provedením díla v době plnění dle č. IV odst. 1</w:t>
      </w:r>
      <w:r>
        <w:t xml:space="preserve"> této smlouvy, je povinen zaplatit objednateli smluvní pokutu ve výši 1000 Kč za každý i započatý den prodlení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56"/>
        <w:ind w:left="900" w:right="1160" w:hanging="360"/>
      </w:pPr>
      <w:r>
        <w:t>Pro případ prodlení se zaplacením ceny za dílo sjednávají smluvní strany úrok z prodlení ve výši stanovené občanskoprávními předpisy.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4" w:line="245" w:lineRule="exact"/>
        <w:ind w:left="900" w:right="1160" w:hanging="360"/>
      </w:pPr>
      <w:r>
        <w:t>V případě p</w:t>
      </w:r>
      <w:r>
        <w:t>rodlení s vyklizením a vyčištěním staveniště se zhotovitel zavazuje uhradit objednateli smluvní pokutu ve výši 3.000,- za každý i započatý den prodlení.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0"/>
        <w:ind w:left="900" w:right="1160" w:hanging="360"/>
      </w:pPr>
      <w:r>
        <w:t>V případě porušení povinnosti zhotovitele plnit požadavky dotčených orgánů a organizací související s r</w:t>
      </w:r>
      <w:r>
        <w:t>ealizací stavby, se zhotovitel zavazuje uhradit objednateli smluvní pokutu ve výši 2.000,- za každý zjištěný případ.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0"/>
        <w:ind w:left="900" w:right="1160" w:hanging="360"/>
        <w:jc w:val="both"/>
      </w:pPr>
      <w:r>
        <w:t>V případě porušení předpisů týkajících se BOZP (zejména zákona č. 309/2006 Sb., stavebního zákona, nařízení vlády č. 591/2006 Sb., o bližší</w:t>
      </w:r>
      <w:r>
        <w:t xml:space="preserve">ch minimálních požadavcích na bezpečnost a ochranu zdraví při práci na staveništích a zákona č. 262/2006 Sb., zákoník práce, ve znění pozdějších předpisů) kteroukoliv z osob vyskytujících se na staveništi je zhotovitel povinen zaplatit objednateli smluvní </w:t>
      </w:r>
      <w:r>
        <w:t>pokutu ve výši 2.000,- Kč za každý zjištěný případ.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4"/>
        <w:ind w:left="900" w:right="1160" w:hanging="360"/>
      </w:pPr>
      <w:r>
        <w:t>V případě nedodržení stanoveného termínu k odstranění vady je zhotovitel povinen zaplatit objednateli smluvní pokutu ve výši 2.000,- Kč za každý i započatý den prodlení.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56" w:line="235" w:lineRule="exact"/>
        <w:ind w:left="900" w:right="1160" w:hanging="360"/>
      </w:pPr>
      <w:r>
        <w:t>V případě, že závazek provést dílo</w:t>
      </w:r>
      <w:r>
        <w:t xml:space="preserve"> zanikne před řádným ukončením díla, nezaniká nárok na smluvní pokutu, pokud vznikl dřívějším porušením povinnosti. Zánik závazku pozdním splněním neznamená zánik nároku na smluvní pokutu za prodlení s plněním.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60"/>
        <w:ind w:left="900" w:right="1160" w:hanging="360"/>
      </w:pPr>
      <w:r>
        <w:t>Sjednané smluvní pokuty zaplatí povinná stran</w:t>
      </w:r>
      <w:r>
        <w:t>a nezávisle na zavinění a na tom, zda a v jaké výši vznikne druhé straně škoda.</w:t>
      </w:r>
    </w:p>
    <w:p w:rsidR="0069351D" w:rsidRDefault="007E3BEB">
      <w:pPr>
        <w:pStyle w:val="Bodytext20"/>
        <w:numPr>
          <w:ilvl w:val="0"/>
          <w:numId w:val="23"/>
        </w:numPr>
        <w:shd w:val="clear" w:color="auto" w:fill="auto"/>
        <w:tabs>
          <w:tab w:val="left" w:pos="886"/>
        </w:tabs>
        <w:spacing w:after="392"/>
        <w:ind w:left="900" w:right="1160" w:hanging="360"/>
      </w:pPr>
      <w:r>
        <w:t>Smluvní pokuty se nezapočítávají na náhradu případně vzniklé škody. Náhradu škody lze vymáhat samostatně vedle smluvní pokuty v plné výši.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0" w:line="200" w:lineRule="exact"/>
        <w:ind w:left="4540"/>
      </w:pPr>
      <w:bookmarkStart w:id="24" w:name="bookmark25"/>
      <w:r>
        <w:lastRenderedPageBreak/>
        <w:t>XVI.</w:t>
      </w:r>
      <w:bookmarkEnd w:id="24"/>
    </w:p>
    <w:p w:rsidR="0069351D" w:rsidRDefault="007E3BEB">
      <w:pPr>
        <w:pStyle w:val="Heading40"/>
        <w:keepNext/>
        <w:keepLines/>
        <w:shd w:val="clear" w:color="auto" w:fill="auto"/>
        <w:spacing w:before="0" w:after="0" w:line="365" w:lineRule="exact"/>
        <w:ind w:left="3860"/>
      </w:pPr>
      <w:bookmarkStart w:id="25" w:name="bookmark26"/>
      <w:r>
        <w:t>Ukončení smlouvy</w:t>
      </w:r>
      <w:bookmarkEnd w:id="25"/>
    </w:p>
    <w:p w:rsidR="0069351D" w:rsidRDefault="007E3BEB">
      <w:pPr>
        <w:pStyle w:val="Bodytext20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365" w:lineRule="exact"/>
        <w:ind w:left="180" w:firstLine="0"/>
        <w:jc w:val="both"/>
      </w:pPr>
      <w:r>
        <w:t xml:space="preserve">Smluvní strany </w:t>
      </w:r>
      <w:r>
        <w:t>mohou ukončit smluvní vztah písemnou dohodou.</w:t>
      </w:r>
    </w:p>
    <w:p w:rsidR="0069351D" w:rsidRDefault="007E3BEB">
      <w:pPr>
        <w:pStyle w:val="Bodytext20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365" w:lineRule="exact"/>
        <w:ind w:left="180" w:firstLine="0"/>
        <w:jc w:val="both"/>
      </w:pPr>
      <w:r>
        <w:t>Smluvní strany jsou oprávněny odstoupit od smlouvy v případě jejího podstatného porušení</w:t>
      </w:r>
    </w:p>
    <w:p w:rsidR="0069351D" w:rsidRDefault="007E3BEB">
      <w:pPr>
        <w:pStyle w:val="Bodytext20"/>
        <w:shd w:val="clear" w:color="auto" w:fill="auto"/>
        <w:spacing w:after="33" w:line="200" w:lineRule="exact"/>
        <w:ind w:left="900" w:hanging="360"/>
      </w:pPr>
      <w:r>
        <w:t>druhou smluvní stranou, přičemž podstatným porušením smlouvy se rozumí zejména:</w:t>
      </w:r>
    </w:p>
    <w:p w:rsidR="0069351D" w:rsidRDefault="007E3BEB">
      <w:pPr>
        <w:pStyle w:val="Bodytext20"/>
        <w:numPr>
          <w:ilvl w:val="0"/>
          <w:numId w:val="25"/>
        </w:numPr>
        <w:shd w:val="clear" w:color="auto" w:fill="auto"/>
        <w:tabs>
          <w:tab w:val="left" w:pos="896"/>
        </w:tabs>
        <w:spacing w:after="6" w:line="200" w:lineRule="exact"/>
        <w:ind w:left="900" w:hanging="360"/>
        <w:jc w:val="both"/>
      </w:pPr>
      <w:r>
        <w:t>neprovedení díla v době plnění dle čl. IV</w:t>
      </w:r>
      <w:r>
        <w:t xml:space="preserve"> odst. 1. této smlouvy,</w:t>
      </w:r>
    </w:p>
    <w:p w:rsidR="0069351D" w:rsidRDefault="007E3BEB">
      <w:pPr>
        <w:pStyle w:val="Bodytext20"/>
        <w:numPr>
          <w:ilvl w:val="0"/>
          <w:numId w:val="25"/>
        </w:numPr>
        <w:shd w:val="clear" w:color="auto" w:fill="auto"/>
        <w:tabs>
          <w:tab w:val="left" w:pos="896"/>
        </w:tabs>
        <w:spacing w:after="56"/>
        <w:ind w:left="900" w:right="1160" w:hanging="360"/>
      </w:pPr>
      <w:r>
        <w:t>nepřevzetí staveniště zhotovitelem na výzvu objednatele (s výjimkou případů, kdy převzetí brání důvody na straně objednatele),</w:t>
      </w:r>
    </w:p>
    <w:p w:rsidR="0069351D" w:rsidRDefault="007E3BEB">
      <w:pPr>
        <w:pStyle w:val="Bodytext20"/>
        <w:numPr>
          <w:ilvl w:val="0"/>
          <w:numId w:val="25"/>
        </w:numPr>
        <w:shd w:val="clear" w:color="auto" w:fill="auto"/>
        <w:tabs>
          <w:tab w:val="left" w:pos="896"/>
        </w:tabs>
        <w:spacing w:after="96" w:line="245" w:lineRule="exact"/>
        <w:ind w:left="900" w:right="1160" w:hanging="360"/>
      </w:pPr>
      <w:r>
        <w:t>nedodržení pokynů objednatele, právních předpisů nebo technických norem týkajících se provádění díla,</w:t>
      </w:r>
    </w:p>
    <w:p w:rsidR="0069351D" w:rsidRDefault="007E3BEB">
      <w:pPr>
        <w:pStyle w:val="Bodytext20"/>
        <w:numPr>
          <w:ilvl w:val="0"/>
          <w:numId w:val="25"/>
        </w:numPr>
        <w:shd w:val="clear" w:color="auto" w:fill="auto"/>
        <w:tabs>
          <w:tab w:val="left" w:pos="896"/>
        </w:tabs>
        <w:spacing w:after="2" w:line="200" w:lineRule="exact"/>
        <w:ind w:left="900" w:hanging="360"/>
        <w:jc w:val="both"/>
      </w:pPr>
      <w:r>
        <w:t>ned</w:t>
      </w:r>
      <w:r>
        <w:t>održení smluvních ujednání o záruce za jakost,</w:t>
      </w:r>
    </w:p>
    <w:p w:rsidR="0069351D" w:rsidRDefault="007E3BEB">
      <w:pPr>
        <w:pStyle w:val="Bodytext20"/>
        <w:numPr>
          <w:ilvl w:val="0"/>
          <w:numId w:val="25"/>
        </w:numPr>
        <w:shd w:val="clear" w:color="auto" w:fill="auto"/>
        <w:tabs>
          <w:tab w:val="left" w:pos="896"/>
        </w:tabs>
        <w:spacing w:after="96" w:line="245" w:lineRule="exact"/>
        <w:ind w:left="900" w:right="1160" w:hanging="360"/>
      </w:pPr>
      <w:r>
        <w:t>neuhrazení ceny za dílo objednatelem po druhé výzvě zhotovitele k uhrazení dlužné částky, přičemž druhá výzva nesmí následovat dříve než 30 dnů po doručení první výzvy.</w:t>
      </w:r>
    </w:p>
    <w:p w:rsidR="0069351D" w:rsidRDefault="007E3BEB">
      <w:pPr>
        <w:pStyle w:val="Bodytext20"/>
        <w:numPr>
          <w:ilvl w:val="0"/>
          <w:numId w:val="24"/>
        </w:numPr>
        <w:shd w:val="clear" w:color="auto" w:fill="auto"/>
        <w:tabs>
          <w:tab w:val="left" w:pos="533"/>
        </w:tabs>
        <w:spacing w:after="1" w:line="200" w:lineRule="exact"/>
        <w:ind w:left="180" w:firstLine="0"/>
        <w:jc w:val="both"/>
      </w:pPr>
      <w:r>
        <w:t>Objednatel je dále oprávněn od této smlo</w:t>
      </w:r>
      <w:r>
        <w:t>uvy odstoupit v těchto případech:</w:t>
      </w:r>
    </w:p>
    <w:p w:rsidR="0069351D" w:rsidRDefault="007E3BEB">
      <w:pPr>
        <w:pStyle w:val="Bodytext20"/>
        <w:shd w:val="clear" w:color="auto" w:fill="auto"/>
        <w:spacing w:after="0"/>
        <w:ind w:left="900" w:right="1160" w:hanging="360"/>
      </w:pPr>
      <w:r>
        <w:t xml:space="preserve">a) dojde-li k neoprávněnému zastavení prací z rozhodnutí zhotovitele nebo zhotovitel postupuje při provádění díla způsobem, který zjevně neodpovídá dohodnutému rozsahu díla a sjednanému termínu předání díla, či jeho části </w:t>
      </w:r>
      <w:r>
        <w:t>objednateli;</w:t>
      </w:r>
      <w:r>
        <w:br w:type="page"/>
      </w:r>
    </w:p>
    <w:p w:rsidR="0069351D" w:rsidRDefault="007E3BEB">
      <w:pPr>
        <w:pStyle w:val="Bodytext20"/>
        <w:numPr>
          <w:ilvl w:val="0"/>
          <w:numId w:val="20"/>
        </w:numPr>
        <w:shd w:val="clear" w:color="auto" w:fill="auto"/>
        <w:tabs>
          <w:tab w:val="left" w:pos="985"/>
        </w:tabs>
        <w:spacing w:after="92"/>
        <w:ind w:left="1000" w:right="1100"/>
        <w:jc w:val="both"/>
      </w:pPr>
      <w:r>
        <w:lastRenderedPageBreak/>
        <w:t>bylo-li příslušným soudem rozhodnuto o tom, že zhotovitel je v úpadku ve smyslu zákona č. 182/2006 Sb., o úpadku a způsobech jeho řešení (insolvenční zákon), ve znění pozdějších předpisů (a to bez ohledu na právní moc tohoto rozhodnutí);</w:t>
      </w:r>
    </w:p>
    <w:p w:rsidR="0069351D" w:rsidRDefault="007E3BEB">
      <w:pPr>
        <w:pStyle w:val="Bodytext20"/>
        <w:numPr>
          <w:ilvl w:val="0"/>
          <w:numId w:val="20"/>
        </w:numPr>
        <w:shd w:val="clear" w:color="auto" w:fill="auto"/>
        <w:tabs>
          <w:tab w:val="left" w:pos="985"/>
        </w:tabs>
        <w:spacing w:after="61" w:line="200" w:lineRule="exact"/>
        <w:ind w:left="1000"/>
        <w:jc w:val="both"/>
      </w:pPr>
      <w:r>
        <w:t>podá</w:t>
      </w:r>
      <w:r>
        <w:t>-ll zhotovitel sám na sebe insolvenční návrh.</w:t>
      </w:r>
    </w:p>
    <w:p w:rsidR="0069351D" w:rsidRDefault="007E3BEB">
      <w:pPr>
        <w:pStyle w:val="Bodytext20"/>
        <w:numPr>
          <w:ilvl w:val="0"/>
          <w:numId w:val="24"/>
        </w:numPr>
        <w:shd w:val="clear" w:color="auto" w:fill="auto"/>
        <w:tabs>
          <w:tab w:val="left" w:pos="638"/>
        </w:tabs>
        <w:spacing w:after="56"/>
        <w:ind w:left="620" w:right="1100" w:hanging="340"/>
        <w:jc w:val="both"/>
      </w:pPr>
      <w:r>
        <w:t>Odstoupením od smlouvy není dotčeno právo oprávněné smluvní strany na zaplacení smluvní pokuty ani na náhradu škody vzniklé porušením smlouvy. Odstoupením od smlouvy není dotčena smluvní záruka na vady, která s</w:t>
      </w:r>
      <w:r>
        <w:t>e uplatní v rozsahu stanoveném touto smlouvou na dosud provedenou část díla. Odstoupením od smlouvy není dotčena odpovědnost za vady, které existují na doposud zhotovené části díla ke dni odstoupení.</w:t>
      </w:r>
    </w:p>
    <w:p w:rsidR="0069351D" w:rsidRDefault="007E3BEB">
      <w:pPr>
        <w:pStyle w:val="Bodytext20"/>
        <w:numPr>
          <w:ilvl w:val="0"/>
          <w:numId w:val="24"/>
        </w:numPr>
        <w:shd w:val="clear" w:color="auto" w:fill="auto"/>
        <w:tabs>
          <w:tab w:val="left" w:pos="638"/>
        </w:tabs>
        <w:spacing w:after="696" w:line="245" w:lineRule="exact"/>
        <w:ind w:left="620" w:right="1100" w:hanging="340"/>
        <w:jc w:val="both"/>
      </w:pPr>
      <w:r>
        <w:t>Pro účely této smlouvy se pod pojmem „bez zbytečného odk</w:t>
      </w:r>
      <w:r>
        <w:t>ladu" dle § 2002 občanského zákoníku rozumí „nejpozději do 14 dnů".</w:t>
      </w:r>
    </w:p>
    <w:p w:rsidR="0069351D" w:rsidRDefault="007E3BEB">
      <w:pPr>
        <w:pStyle w:val="Heading40"/>
        <w:keepNext/>
        <w:keepLines/>
        <w:shd w:val="clear" w:color="auto" w:fill="auto"/>
        <w:spacing w:before="0" w:after="33" w:line="200" w:lineRule="exact"/>
        <w:ind w:left="4540"/>
      </w:pPr>
      <w:bookmarkStart w:id="26" w:name="bookmark27"/>
      <w:r>
        <w:t>XVII.</w:t>
      </w:r>
      <w:bookmarkEnd w:id="26"/>
    </w:p>
    <w:p w:rsidR="0069351D" w:rsidRDefault="007E3BEB">
      <w:pPr>
        <w:pStyle w:val="Heading40"/>
        <w:keepNext/>
        <w:keepLines/>
        <w:shd w:val="clear" w:color="auto" w:fill="auto"/>
        <w:spacing w:before="0" w:after="61" w:line="200" w:lineRule="exact"/>
        <w:ind w:left="3820"/>
      </w:pPr>
      <w:bookmarkStart w:id="27" w:name="bookmark28"/>
      <w:r>
        <w:t>Závěrečná ujednání</w:t>
      </w:r>
      <w:bookmarkEnd w:id="27"/>
    </w:p>
    <w:p w:rsidR="0069351D" w:rsidRDefault="007E3BEB">
      <w:pPr>
        <w:pStyle w:val="Bodytext20"/>
        <w:shd w:val="clear" w:color="auto" w:fill="auto"/>
        <w:spacing w:after="92"/>
        <w:ind w:left="620" w:right="1100" w:hanging="340"/>
        <w:jc w:val="both"/>
      </w:pPr>
      <w:r>
        <w:t xml:space="preserve">1. Změnit nebo doplnit tuto smlouvu mohou smluvní strany pouze formou písemných dodatků, které budou vzestupně číslovány, výslovně prohlášeny za dodatky této </w:t>
      </w:r>
      <w:r>
        <w:t>smlouvy a podepsány oprávněnými zástupci smluvních stran.</w:t>
      </w:r>
    </w:p>
    <w:p w:rsidR="0069351D" w:rsidRDefault="007E3BEB">
      <w:pPr>
        <w:pStyle w:val="Bodytext20"/>
        <w:shd w:val="clear" w:color="auto" w:fill="auto"/>
        <w:spacing w:after="60" w:line="200" w:lineRule="exact"/>
        <w:ind w:left="620" w:hanging="340"/>
        <w:jc w:val="both"/>
      </w:pPr>
      <w:r>
        <w:t>2. Tato smlouva nabývá platnosti dnem jejího podpisu oběma smluvními stranami.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56" w:line="235" w:lineRule="exact"/>
        <w:ind w:left="620" w:right="1100" w:hanging="340"/>
        <w:jc w:val="both"/>
      </w:pPr>
      <w:r>
        <w:t>Tato smlouva je vyhotovena ve dvou stejnopisech s platností originálu, přičemž objednatel obdrží jedno a zhotovitel jed</w:t>
      </w:r>
      <w:r>
        <w:t>no vyhotovení.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60"/>
        <w:ind w:left="620" w:right="1100" w:hanging="340"/>
        <w:jc w:val="both"/>
      </w:pPr>
      <w:r>
        <w:t>Zhotovitel nemůže bez souhlasu objednatele postoupit svá práva a povinnosti, vč. pohledávek, plynoucí z této smlouvy třetí osobě.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56"/>
        <w:ind w:left="620" w:right="1100" w:hanging="340"/>
        <w:jc w:val="both"/>
      </w:pPr>
      <w:r>
        <w:t>Smluvní strany shodně prohlašují, že si tuto smlouvu před jejím podpisem přečetly a že byla uzavřena po vzájemn</w:t>
      </w:r>
      <w:r>
        <w:t>ém projednání podle jejich pravé a svobodné vůle, určitě, vážně a srozumitelně, nikoliv v tísni nebo za nápadně nevýhodných podmínek, a že se dohodly o celém jejím obsahu, což stvrzují svými podpisy.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37" w:line="245" w:lineRule="exact"/>
        <w:ind w:left="620" w:right="1100" w:hanging="340"/>
        <w:jc w:val="both"/>
      </w:pPr>
      <w:r>
        <w:t xml:space="preserve">Smlouva nabývá účinnosti dnem zveřejnění v registru </w:t>
      </w:r>
      <w:r>
        <w:t>smluv dle zákona č. 340/2015 Sb. Uveřejnění v registru provede v souladu se zákonem objednatel.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119" w:line="274" w:lineRule="exact"/>
        <w:ind w:left="620" w:right="1100" w:hanging="340"/>
        <w:jc w:val="both"/>
      </w:pPr>
      <w:r>
        <w:t>Osobní údaje obsažené v této smlouvě budou Nemocnicí Třinec, příspěvková organizace, se sídlem Kaštanová 268, 739 61 Třinec - Dolní Líštná, (dále jen „nemocnice</w:t>
      </w:r>
      <w:r>
        <w:t>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</w:t>
      </w:r>
      <w:r>
        <w:t xml:space="preserve">ních údajů jsou uvedeny na oficiálních webových stránkách nemocnice - </w:t>
      </w:r>
      <w:hyperlink r:id="rId12" w:history="1">
        <w:r>
          <w:rPr>
            <w:rStyle w:val="Hypertextovodkaz"/>
            <w:lang w:val="en-US" w:eastAsia="en-US" w:bidi="en-US"/>
          </w:rPr>
          <w:t>www.nemtr.cz</w:t>
        </w:r>
      </w:hyperlink>
      <w:r>
        <w:rPr>
          <w:lang w:val="en-US" w:eastAsia="en-US" w:bidi="en-US"/>
        </w:rPr>
        <w:t>.</w:t>
      </w:r>
    </w:p>
    <w:p w:rsidR="0069351D" w:rsidRDefault="007E3BEB">
      <w:pPr>
        <w:pStyle w:val="Bodytext20"/>
        <w:numPr>
          <w:ilvl w:val="0"/>
          <w:numId w:val="16"/>
        </w:numPr>
        <w:shd w:val="clear" w:color="auto" w:fill="auto"/>
        <w:tabs>
          <w:tab w:val="left" w:pos="638"/>
        </w:tabs>
        <w:spacing w:after="93" w:line="200" w:lineRule="exact"/>
        <w:ind w:left="280" w:firstLine="0"/>
        <w:jc w:val="both"/>
      </w:pPr>
      <w:r>
        <w:t>Nedílnou součástí smlouvy je tato příloha:</w:t>
      </w:r>
    </w:p>
    <w:p w:rsidR="0069351D" w:rsidRDefault="007E3BEB">
      <w:pPr>
        <w:pStyle w:val="Bodytext20"/>
        <w:shd w:val="clear" w:color="auto" w:fill="auto"/>
        <w:tabs>
          <w:tab w:val="left" w:pos="1945"/>
        </w:tabs>
        <w:spacing w:after="620" w:line="200" w:lineRule="exact"/>
        <w:ind w:left="620" w:firstLine="0"/>
        <w:jc w:val="both"/>
      </w:pPr>
      <w:r>
        <w:t>Příloha č. 1:</w:t>
      </w:r>
      <w:r>
        <w:tab/>
        <w:t>Technická specifikace</w:t>
      </w:r>
    </w:p>
    <w:p w:rsidR="0069351D" w:rsidRDefault="0069351D">
      <w:pPr>
        <w:framePr w:w="1589" w:h="437" w:hSpace="1651" w:wrap="notBeside" w:vAnchor="text" w:hAnchor="text" w:x="3020" w:y="1"/>
        <w:rPr>
          <w:sz w:val="2"/>
          <w:szCs w:val="2"/>
        </w:rPr>
      </w:pPr>
    </w:p>
    <w:p w:rsidR="0069351D" w:rsidRDefault="007E3BEB">
      <w:pPr>
        <w:pStyle w:val="Picturecaption0"/>
        <w:framePr w:w="1171" w:h="270" w:hSpace="1651" w:wrap="notBeside" w:vAnchor="text" w:hAnchor="text" w:x="1652" w:y="193"/>
        <w:shd w:val="clear" w:color="auto" w:fill="auto"/>
        <w:spacing w:line="200" w:lineRule="exact"/>
      </w:pPr>
      <w:r>
        <w:t>V Třinci, dne</w:t>
      </w:r>
    </w:p>
    <w:p w:rsidR="0069351D" w:rsidRDefault="0069351D">
      <w:pPr>
        <w:rPr>
          <w:sz w:val="2"/>
          <w:szCs w:val="2"/>
        </w:rPr>
      </w:pPr>
    </w:p>
    <w:p w:rsidR="0069351D" w:rsidRDefault="007E3BEB">
      <w:pPr>
        <w:pStyle w:val="Bodytext20"/>
        <w:shd w:val="clear" w:color="auto" w:fill="auto"/>
        <w:spacing w:before="91" w:after="0"/>
        <w:ind w:left="280" w:right="3280" w:firstLine="0"/>
        <w:sectPr w:rsidR="0069351D">
          <w:footerReference w:type="even" r:id="rId13"/>
          <w:footerReference w:type="default" r:id="rId14"/>
          <w:pgSz w:w="11900" w:h="16840"/>
          <w:pgMar w:top="493" w:right="388" w:bottom="1353" w:left="1082" w:header="0" w:footer="3" w:gutter="0"/>
          <w:cols w:space="720"/>
          <w:noEndnote/>
          <w:docGrid w:linePitch="360"/>
        </w:sectPr>
      </w:pPr>
      <w:r>
        <w:pict>
          <v:shape id="_x0000_s1039" type="#_x0000_t202" style="position:absolute;left:0;text-align:left;margin-left:257.75pt;margin-top:-14.65pt;width:126.5pt;height:26.65pt;z-index:-125829370;mso-wrap-distance-left:5pt;mso-wrap-distance-right:5pt;mso-wrap-distance-bottom:17.4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Ing. Jan Ventura, prokurista za zhotovitele</w:t>
                  </w:r>
                </w:p>
              </w:txbxContent>
            </v:textbox>
            <w10:wrap type="square" side="left" anchorx="margin"/>
          </v:shape>
        </w:pict>
      </w:r>
      <w:r>
        <w:t xml:space="preserve">za </w:t>
      </w:r>
      <w:r>
        <w:t>objednatele Ing. Martin Sikora ředitel</w:t>
      </w:r>
    </w:p>
    <w:p w:rsidR="0069351D" w:rsidRDefault="007E3BEB">
      <w:pPr>
        <w:pStyle w:val="Heading30"/>
        <w:keepNext/>
        <w:keepLines/>
        <w:shd w:val="clear" w:color="auto" w:fill="auto"/>
        <w:ind w:left="260" w:right="3160"/>
      </w:pPr>
      <w:bookmarkStart w:id="28" w:name="bookmark29"/>
      <w:r>
        <w:lastRenderedPageBreak/>
        <w:t>Příloha číslo 1 - technická specifikace výrobků část 1:</w:t>
      </w:r>
      <w:bookmarkEnd w:id="28"/>
    </w:p>
    <w:p w:rsidR="0069351D" w:rsidRDefault="007E3BEB">
      <w:pPr>
        <w:pStyle w:val="Tablecaption0"/>
        <w:framePr w:w="9974" w:wrap="notBeside" w:vAnchor="text" w:hAnchor="text" w:xAlign="center" w:y="1"/>
        <w:shd w:val="clear" w:color="auto" w:fill="auto"/>
        <w:spacing w:line="150" w:lineRule="exact"/>
      </w:pPr>
      <w:r>
        <w:rPr>
          <w:rStyle w:val="Tablecaption1"/>
        </w:rPr>
        <w:t>dveřní a vratové systémy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6979"/>
      </w:tblGrid>
      <w:tr w:rsidR="0069351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Pozice 1 hlavní vstup</w:t>
            </w:r>
          </w:p>
        </w:tc>
        <w:tc>
          <w:tcPr>
            <w:tcW w:w="6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left="4080" w:firstLine="0"/>
            </w:pPr>
            <w:r>
              <w:rPr>
                <w:rStyle w:val="Bodytext27ptBold"/>
              </w:rPr>
              <w:t>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Typ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Automatické dveře posuvné 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šířka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1400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výška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2140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Barva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9016-bílá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Provedení dveří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Pohon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92" w:lineRule="exact"/>
              <w:ind w:firstLine="0"/>
            </w:pPr>
            <w:r>
              <w:rPr>
                <w:rStyle w:val="Bodytext275pt"/>
              </w:rPr>
              <w:t xml:space="preserve">Pohon AD SP806L: 2900 mm; Kryt pohonu: 2900 mm; Boční kryty pohonu; Elektrozámek s mechanickým táhlem k nouzovému odjištění křídel v krytu; Tlačítko nouzového otevření v krytu; Nouzový zdroj; Digitální programový </w:t>
            </w:r>
            <w:r>
              <w:rPr>
                <w:rStyle w:val="Bodytext275pt"/>
              </w:rPr>
              <w:t>přepínač bez kódu; Programový přepínač v krytu; Dálkové ovládání programového přepínače: 2 ks; EPS kontakt otevřeno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92" w:lineRule="exact"/>
              <w:ind w:firstLine="0"/>
            </w:pPr>
            <w:r>
              <w:rPr>
                <w:rStyle w:val="Bodytext27ptBold"/>
              </w:rPr>
              <w:t>Bezpečnostní prvky a zdroje impulzů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Bodytext275pt"/>
              </w:rPr>
              <w:t xml:space="preserve">Zdroj impulzů a jištění proti skřípnutí zevnitř: 1 ks; Zdroj impulzů a jištění proti skřípnutí zvenku: </w:t>
            </w:r>
            <w:r>
              <w:rPr>
                <w:rStyle w:val="Bodytext275pt"/>
              </w:rPr>
              <w:t>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Doplňky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Spínač klíčový na omítku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Křídla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74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Křidla z hliníkových profilů SPEDOS; Bezpečnostní izolační dvojsklo</w:t>
            </w:r>
          </w:p>
        </w:tc>
      </w:tr>
    </w:tbl>
    <w:p w:rsidR="0069351D" w:rsidRDefault="0069351D">
      <w:pPr>
        <w:framePr w:w="9974" w:wrap="notBeside" w:vAnchor="text" w:hAnchor="text" w:xAlign="center" w:y="1"/>
        <w:rPr>
          <w:sz w:val="2"/>
          <w:szCs w:val="2"/>
        </w:rPr>
      </w:pPr>
    </w:p>
    <w:p w:rsidR="0069351D" w:rsidRDefault="006935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936"/>
        <w:gridCol w:w="3014"/>
      </w:tblGrid>
      <w:tr w:rsidR="006935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Pozice 2 urgentní příjem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Typ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Automatické dveře posuvné 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šířka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1200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výška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2100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Barva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9016-bílá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Provedeni dveří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Pohon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Bodytext275pt"/>
              </w:rPr>
              <w:t xml:space="preserve">Pohon AD SP806L: 2900 mm; Kryt pohonu: 2900 mm; Boční kryty pohonu; Elektrozámek s mechanickým táhlem k nouzovému odjištění křídel v krytu; Tlačítko nouzového otevření v krytu; Nouzový zdroj; Digitální programový </w:t>
            </w:r>
            <w:r>
              <w:rPr>
                <w:rStyle w:val="Bodytext275pt"/>
              </w:rPr>
              <w:t>přepínač bez kódu; Programový přepínač v krytu; EPS kontakt otevřeno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92" w:lineRule="exact"/>
              <w:ind w:firstLine="0"/>
            </w:pPr>
            <w:r>
              <w:rPr>
                <w:rStyle w:val="Bodytext27ptBold"/>
              </w:rPr>
              <w:t>Bezpečnostní prvky a zdroje impulzů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Bodytext275pt"/>
              </w:rPr>
              <w:t>Zdroj impulzů a jištění proti skřípnuti zevnitř: 1 ks; Zdroj impulzů a jištění proti skřípnutí zvenku: 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Doplňky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Spínač klíčový na omítku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Křídla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Křídla z hliníkových profilů SPEDOS; Bezpečnostní izolační dvojsklo</w:t>
            </w:r>
          </w:p>
        </w:tc>
      </w:tr>
    </w:tbl>
    <w:p w:rsidR="0069351D" w:rsidRDefault="0069351D">
      <w:pPr>
        <w:framePr w:w="9907" w:wrap="notBeside" w:vAnchor="text" w:hAnchor="text" w:xAlign="center" w:y="1"/>
        <w:rPr>
          <w:sz w:val="2"/>
          <w:szCs w:val="2"/>
        </w:rPr>
      </w:pPr>
    </w:p>
    <w:p w:rsidR="0069351D" w:rsidRDefault="006935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3960"/>
        <w:gridCol w:w="2962"/>
      </w:tblGrid>
      <w:tr w:rsidR="006935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Pozice 3 zadní vstup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Typ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Automatické dveře posuvné dvoukřídlové s hliníkovou konstrukcí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šířka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1300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výška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2100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Šířka konstrukce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1480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Výška konstrukce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2625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Barva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RAL - jednobarevné; 9006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Provedení dveří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Pohon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Bodytext275pt"/>
              </w:rPr>
              <w:t xml:space="preserve">Pohon AD SP806L: 2900 mm; Kryt pohonu; Kryt pohonu barva RAL: 9006: 2900 mm; Boční kryty pohonu; Elektrozámek s mechanickým táhlem k nouzovému odjištění křídel v krytu; Tlačítko </w:t>
            </w:r>
            <w:r>
              <w:rPr>
                <w:rStyle w:val="Bodytext275pt"/>
              </w:rPr>
              <w:t>nouzového otevření v krytu; Nouzový zdroj; Digitální programový přepínač bez kódu; Programový přepínač v krytu; EPS kontakt otevřeno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92" w:lineRule="exact"/>
              <w:ind w:firstLine="0"/>
            </w:pPr>
            <w:r>
              <w:rPr>
                <w:rStyle w:val="Bodytext27ptBold"/>
              </w:rPr>
              <w:t>Bezpečnostní prvky a zdroje impulzů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Bodytext275pt"/>
              </w:rPr>
              <w:t xml:space="preserve">Zdroj impulzů a jištění proti skřípnutí zevnitř: 1 ks; Zdroj impulzů a jištění proti </w:t>
            </w:r>
            <w:r>
              <w:rPr>
                <w:rStyle w:val="Bodytext275pt"/>
              </w:rPr>
              <w:t>skřípnutí zvenku:1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Doplňky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Spínač klíčový na omítku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Křídla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Křídla z hliníkových profilů SPEDOS; Bezpečnostní izolační dvojsklo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Nadsvětlík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9907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Bodytext275pt"/>
              </w:rPr>
              <w:t>Nadsvětlík z rámových profilů; Dvě dělící příčky; Nosný profil; Stojky k nadsvětlíku; Izolační dvojsklo</w:t>
            </w:r>
          </w:p>
        </w:tc>
      </w:tr>
    </w:tbl>
    <w:p w:rsidR="0069351D" w:rsidRDefault="0069351D">
      <w:pPr>
        <w:framePr w:w="9907" w:wrap="notBeside" w:vAnchor="text" w:hAnchor="text" w:xAlign="center" w:y="1"/>
        <w:rPr>
          <w:sz w:val="2"/>
          <w:szCs w:val="2"/>
        </w:rPr>
      </w:pPr>
    </w:p>
    <w:p w:rsidR="0069351D" w:rsidRDefault="007E3BEB">
      <w:pPr>
        <w:rPr>
          <w:sz w:val="2"/>
          <w:szCs w:val="2"/>
        </w:rPr>
      </w:pPr>
      <w:r>
        <w:br w:type="page"/>
      </w:r>
    </w:p>
    <w:p w:rsidR="0069351D" w:rsidRDefault="007E3BEB">
      <w:pPr>
        <w:pStyle w:val="Heading30"/>
        <w:keepNext/>
        <w:keepLines/>
        <w:shd w:val="clear" w:color="auto" w:fill="auto"/>
        <w:spacing w:line="341" w:lineRule="exact"/>
        <w:ind w:right="2740"/>
      </w:pPr>
      <w:r>
        <w:lastRenderedPageBreak/>
        <w:pict>
          <v:shape id="_x0000_s1040" type="#_x0000_t202" style="position:absolute;margin-left:394.9pt;margin-top:-21.85pt;width:96.25pt;height:10.8pt;z-index:-125829369;mso-wrap-distance-left:5pt;mso-wrap-distance-right:8.65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5"/>
                    <w:shd w:val="clear" w:color="auto" w:fill="auto"/>
                    <w:spacing w:line="140" w:lineRule="exact"/>
                  </w:pPr>
                  <w:r>
                    <w:rPr>
                      <w:rStyle w:val="Bodytext5Exact0"/>
                      <w:b/>
                      <w:bCs/>
                    </w:rPr>
                    <w:t>dveřní a vratové systémy</w:t>
                  </w:r>
                </w:p>
              </w:txbxContent>
            </v:textbox>
            <w10:wrap type="topAndBottom" anchorx="margin"/>
          </v:shape>
        </w:pict>
      </w:r>
      <w:bookmarkStart w:id="29" w:name="bookmark30"/>
      <w:bookmarkStart w:id="30" w:name="_GoBack"/>
      <w:bookmarkEnd w:id="30"/>
      <w:r>
        <w:t>Příloha číslo 1 - technická specifikace výrobků část 2: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821"/>
        <w:gridCol w:w="2866"/>
      </w:tblGrid>
      <w:tr w:rsidR="006935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Pozice 1 operační sál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Typ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Automatické dveře posuvné s protipožární konstrukcí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šířka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1200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Průchozí výška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2028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Šířka konstrukce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1750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 xml:space="preserve">Výška </w:t>
            </w:r>
            <w:r>
              <w:rPr>
                <w:rStyle w:val="Bodytext27ptBold"/>
              </w:rPr>
              <w:t>konstrukce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2174 mm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Barva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9016-bílá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Provedení dveří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Dvoukřídlové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Pohon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Bodytext275pt"/>
              </w:rPr>
              <w:t xml:space="preserve">Pohon AD SP806L: 2900 mm; Kryt pohonu: 2900 mm; Boční kryty pohonu; Elektrozámek s mechanickým táhlem k nouzovému odjíštění křídel v krytu; Tlačítko nouzového otevřeni v krytu; </w:t>
            </w:r>
            <w:r>
              <w:rPr>
                <w:rStyle w:val="Bodytext275pt"/>
              </w:rPr>
              <w:t>Nouzový zdroj; Digitální programový přepínač bez kódu; Programový přepínač v krytu; Dálkové ovládání programového přepínače: 2 ks; EPS kontakt otevřeno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Bodytext27ptBold"/>
              </w:rPr>
              <w:t>Bezpečnostní prvky a zdroje impulzů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 xml:space="preserve">Zdroj impulzů a jištění proti skřípnutí zevnitř: 1 ks; Zdroj </w:t>
            </w:r>
            <w:r>
              <w:rPr>
                <w:rStyle w:val="Bodytext275pt"/>
              </w:rPr>
              <w:t>impulzů a jištění proti skřípnutí zvenku:1 ks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Doplňky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Bodytext275pt"/>
              </w:rPr>
              <w:t>Spínač klíčový na omítku</w:t>
            </w:r>
          </w:p>
        </w:tc>
      </w:tr>
      <w:tr w:rsidR="0069351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Bold"/>
              </w:rPr>
              <w:t>Protipožární konstrukce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1D" w:rsidRDefault="007E3BEB">
            <w:pPr>
              <w:pStyle w:val="Bodytext20"/>
              <w:framePr w:w="9562" w:wrap="notBeside" w:vAnchor="text" w:hAnchor="text" w:xAlign="center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 xml:space="preserve">Protipožární konstrukce s 1 pevným bočním dílem a s 2-křídlovými posuvnými dveřmi MB78EI - DPA; Provedení kouřotěsné; Sklo protipožární EI30 v křídle; </w:t>
            </w:r>
            <w:r>
              <w:rPr>
                <w:rStyle w:val="Bodytext275pt"/>
              </w:rPr>
              <w:t>Sklo protipožární EI30 v konstrukci</w:t>
            </w:r>
          </w:p>
        </w:tc>
      </w:tr>
    </w:tbl>
    <w:p w:rsidR="0069351D" w:rsidRDefault="0069351D">
      <w:pPr>
        <w:framePr w:w="9562" w:wrap="notBeside" w:vAnchor="text" w:hAnchor="text" w:xAlign="center" w:y="1"/>
        <w:rPr>
          <w:sz w:val="2"/>
          <w:szCs w:val="2"/>
        </w:rPr>
      </w:pPr>
    </w:p>
    <w:p w:rsidR="0069351D" w:rsidRDefault="0069351D">
      <w:pPr>
        <w:rPr>
          <w:sz w:val="2"/>
          <w:szCs w:val="2"/>
        </w:rPr>
      </w:pPr>
    </w:p>
    <w:p w:rsidR="0069351D" w:rsidRDefault="007E3BEB">
      <w:pPr>
        <w:pStyle w:val="Bodytext30"/>
        <w:shd w:val="clear" w:color="auto" w:fill="auto"/>
        <w:spacing w:before="0" w:after="0" w:line="200" w:lineRule="exact"/>
      </w:pPr>
      <w:r>
        <w:pict>
          <v:shape id="_x0000_s1042" type="#_x0000_t202" style="position:absolute;margin-left:51pt;margin-top:0;width:152.4pt;height:13.5pt;z-index:-125829367;mso-wrap-distance-left:5pt;mso-wrap-distance-right:82.8pt;mso-position-horizontal-relative:margin" filled="f" stroked="f">
            <v:textbox style="mso-fit-shape-to-text:t" inset="0,0,0,0">
              <w:txbxContent>
                <w:p w:rsidR="0069351D" w:rsidRDefault="007E3BEB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Bodytext2Exact"/>
                    </w:rPr>
                    <w:t>Valašské Meziříčí 23.10.2020</w:t>
                  </w:r>
                </w:p>
              </w:txbxContent>
            </v:textbox>
            <w10:wrap type="square" side="right" anchorx="margin"/>
          </v:shape>
        </w:pict>
      </w:r>
      <w:r>
        <w:t xml:space="preserve">Vlastimil Zbránek, </w:t>
      </w:r>
      <w:r>
        <w:rPr>
          <w:rStyle w:val="Bodytext3NotBold"/>
        </w:rPr>
        <w:t>obchodní manažer</w:t>
      </w:r>
    </w:p>
    <w:sectPr w:rsidR="0069351D">
      <w:footerReference w:type="even" r:id="rId15"/>
      <w:footerReference w:type="default" r:id="rId16"/>
      <w:pgSz w:w="11900" w:h="16840"/>
      <w:pgMar w:top="493" w:right="388" w:bottom="135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3BEB">
      <w:r>
        <w:separator/>
      </w:r>
    </w:p>
  </w:endnote>
  <w:endnote w:type="continuationSeparator" w:id="0">
    <w:p w:rsidR="00000000" w:rsidRDefault="007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7E3B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4.35pt;margin-top:800.8pt;width:4.1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7E3B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.2pt;margin-top:816.65pt;width:1.45pt;height:3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Garamond45ptItalic"/>
                    <w:b w:val="0"/>
                    <w:bCs w:val="0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.9pt;margin-top:808pt;width:1.9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55ptItalic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4.8pt;margin-top:799.6pt;width:4.1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7E3B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35pt;margin-top:800.8pt;width:4.1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7E3B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5pt;margin-top:800.8pt;width:4.1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351D" w:rsidRDefault="007E3BE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69351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D" w:rsidRDefault="006935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1D" w:rsidRDefault="0069351D"/>
  </w:footnote>
  <w:footnote w:type="continuationSeparator" w:id="0">
    <w:p w:rsidR="0069351D" w:rsidRDefault="006935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92C"/>
    <w:multiLevelType w:val="multilevel"/>
    <w:tmpl w:val="D690E0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D6A70"/>
    <w:multiLevelType w:val="multilevel"/>
    <w:tmpl w:val="4A5E7FB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D2D91"/>
    <w:multiLevelType w:val="multilevel"/>
    <w:tmpl w:val="BCDA91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B451B"/>
    <w:multiLevelType w:val="multilevel"/>
    <w:tmpl w:val="C024CC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72A47"/>
    <w:multiLevelType w:val="multilevel"/>
    <w:tmpl w:val="4C884E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F11CB"/>
    <w:multiLevelType w:val="multilevel"/>
    <w:tmpl w:val="8C1217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EC2A2B"/>
    <w:multiLevelType w:val="multilevel"/>
    <w:tmpl w:val="FB267A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B54F5"/>
    <w:multiLevelType w:val="multilevel"/>
    <w:tmpl w:val="FB06E30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F5816"/>
    <w:multiLevelType w:val="multilevel"/>
    <w:tmpl w:val="1CF2BC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A17D7"/>
    <w:multiLevelType w:val="multilevel"/>
    <w:tmpl w:val="9C46C3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48425B"/>
    <w:multiLevelType w:val="multilevel"/>
    <w:tmpl w:val="989C0E3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5F20D3"/>
    <w:multiLevelType w:val="multilevel"/>
    <w:tmpl w:val="E7C4C73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C1050"/>
    <w:multiLevelType w:val="multilevel"/>
    <w:tmpl w:val="0D5A7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13E21"/>
    <w:multiLevelType w:val="multilevel"/>
    <w:tmpl w:val="696CD33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C7868"/>
    <w:multiLevelType w:val="multilevel"/>
    <w:tmpl w:val="FDBA68E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A76B95"/>
    <w:multiLevelType w:val="multilevel"/>
    <w:tmpl w:val="E3920B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106F5"/>
    <w:multiLevelType w:val="multilevel"/>
    <w:tmpl w:val="1E34FC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5B6C87"/>
    <w:multiLevelType w:val="multilevel"/>
    <w:tmpl w:val="8CC4CB0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473F09"/>
    <w:multiLevelType w:val="multilevel"/>
    <w:tmpl w:val="DE528C4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233D9D"/>
    <w:multiLevelType w:val="multilevel"/>
    <w:tmpl w:val="EA22D9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8D2519"/>
    <w:multiLevelType w:val="multilevel"/>
    <w:tmpl w:val="E3887B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14722"/>
    <w:multiLevelType w:val="multilevel"/>
    <w:tmpl w:val="740693A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8B3255"/>
    <w:multiLevelType w:val="multilevel"/>
    <w:tmpl w:val="5DAE48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FA393B"/>
    <w:multiLevelType w:val="multilevel"/>
    <w:tmpl w:val="8040B3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817DB8"/>
    <w:multiLevelType w:val="multilevel"/>
    <w:tmpl w:val="C574A28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1"/>
  </w:num>
  <w:num w:numId="5">
    <w:abstractNumId w:val="6"/>
  </w:num>
  <w:num w:numId="6">
    <w:abstractNumId w:val="8"/>
  </w:num>
  <w:num w:numId="7">
    <w:abstractNumId w:val="24"/>
  </w:num>
  <w:num w:numId="8">
    <w:abstractNumId w:val="19"/>
  </w:num>
  <w:num w:numId="9">
    <w:abstractNumId w:val="10"/>
  </w:num>
  <w:num w:numId="10">
    <w:abstractNumId w:val="7"/>
  </w:num>
  <w:num w:numId="11">
    <w:abstractNumId w:val="2"/>
  </w:num>
  <w:num w:numId="12">
    <w:abstractNumId w:val="23"/>
  </w:num>
  <w:num w:numId="13">
    <w:abstractNumId w:val="15"/>
  </w:num>
  <w:num w:numId="14">
    <w:abstractNumId w:val="16"/>
  </w:num>
  <w:num w:numId="15">
    <w:abstractNumId w:val="1"/>
  </w:num>
  <w:num w:numId="16">
    <w:abstractNumId w:val="22"/>
  </w:num>
  <w:num w:numId="17">
    <w:abstractNumId w:val="9"/>
  </w:num>
  <w:num w:numId="18">
    <w:abstractNumId w:val="17"/>
  </w:num>
  <w:num w:numId="19">
    <w:abstractNumId w:val="5"/>
  </w:num>
  <w:num w:numId="20">
    <w:abstractNumId w:val="3"/>
  </w:num>
  <w:num w:numId="21">
    <w:abstractNumId w:val="14"/>
  </w:num>
  <w:num w:numId="22">
    <w:abstractNumId w:val="18"/>
  </w:num>
  <w:num w:numId="23">
    <w:abstractNumId w:val="0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351D"/>
    <w:rsid w:val="0069351D"/>
    <w:rsid w:val="007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97714DD-C4A6-4BBC-BA27-BC83ABC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85ptExact">
    <w:name w:val="Body text (3) + 8;5 pt Exac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0">
    <w:name w:val="Body text (5) Exact"/>
    <w:basedOn w:val="Bodytext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Heading21">
    <w:name w:val="Heading #2"/>
    <w:basedOn w:val="Heading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Tahoma14ptNotItalic">
    <w:name w:val="Heading #2 + Tahoma;14 pt;Not Italic"/>
    <w:basedOn w:val="Heading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BookmanOldStyle13ptBoldNotItalicSpacing0pt">
    <w:name w:val="Heading #2 + Bookman Old Style;13 pt;Bold;Not Italic;Spacing 0 pt"/>
    <w:basedOn w:val="Heading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Bold">
    <w:name w:val="Body text (2) + 8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BoldItalic">
    <w:name w:val="Body text (2) + 15 pt;Bold;Italic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BookmanOldStyle18ptBoldItalicSpacing-1pt">
    <w:name w:val="Body text (2) + Bookman Old Style;18 pt;Bold;Italic;Spacing -1 pt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okmanOldStyle19pt">
    <w:name w:val="Body text (2) + Bookman Old Style;19 pt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2ptItalicSpacing0pt">
    <w:name w:val="Body text (2) + 12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ItalicSpacing0pt0">
    <w:name w:val="Body text (2) + 12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erorfooterGaramond45ptItalic">
    <w:name w:val="Header or footer + Garamond;4;5 pt;Italic"/>
    <w:basedOn w:val="Headerorfooter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55ptItalic">
    <w:name w:val="Header or footer + 5;5 pt;Italic"/>
    <w:basedOn w:val="Headerorfooter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">
    <w:name w:val="Body text (2) + 7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0" w:after="36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40" w:lineRule="exact"/>
      <w:ind w:hanging="380"/>
    </w:pPr>
    <w:rPr>
      <w:rFonts w:ascii="Tahoma" w:eastAsia="Tahoma" w:hAnsi="Tahoma" w:cs="Tahoma"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88" w:lineRule="exact"/>
    </w:pPr>
    <w:rPr>
      <w:rFonts w:ascii="Candara" w:eastAsia="Candara" w:hAnsi="Candara" w:cs="Candara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20" w:line="0" w:lineRule="atLeast"/>
      <w:jc w:val="right"/>
      <w:outlineLvl w:val="1"/>
    </w:pPr>
    <w:rPr>
      <w:rFonts w:ascii="Candara" w:eastAsia="Candara" w:hAnsi="Candara" w:cs="Candara"/>
      <w:i/>
      <w:iCs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60" w:after="60" w:line="0" w:lineRule="atLeast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36" w:lineRule="exac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branek@spedos.cz" TargetMode="External"/><Relationship Id="rId12" Type="http://schemas.openxmlformats.org/officeDocument/2006/relationships/hyperlink" Target="http://www.nemt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spedo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zbranek@spedos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3758</Words>
  <Characters>22176</Characters>
  <Application>Microsoft Office Word</Application>
  <DocSecurity>0</DocSecurity>
  <Lines>184</Lines>
  <Paragraphs>51</Paragraphs>
  <ScaleCrop>false</ScaleCrop>
  <Company/>
  <LinksUpToDate>false</LinksUpToDate>
  <CharactersWithSpaces>25883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2020-11-13T12:00:00Z</dcterms:created>
  <dcterms:modified xsi:type="dcterms:W3CDTF">2020-11-13T12:01:00Z</dcterms:modified>
</cp:coreProperties>
</file>