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C60F85A"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6205AB">
        <w:rPr>
          <w:rFonts w:ascii="Segoe UI" w:hAnsi="Segoe UI" w:cs="Segoe UI"/>
          <w:noProof/>
          <w:color w:val="808080" w:themeColor="background1" w:themeShade="80"/>
          <w:sz w:val="32"/>
          <w:szCs w:val="32"/>
        </w:rPr>
        <w:t>01812042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3D8FD60E"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54E281E" w14:textId="77777777" w:rsidR="006205AB" w:rsidRPr="006205AB" w:rsidRDefault="006205AB" w:rsidP="006205AB">
      <w:pPr>
        <w:pStyle w:val="Zkladntext"/>
        <w:rPr>
          <w:rFonts w:ascii="Segoe UI" w:hAnsi="Segoe UI" w:cs="Segoe UI"/>
          <w:b/>
          <w:noProof/>
          <w:sz w:val="20"/>
        </w:rPr>
      </w:pPr>
      <w:r w:rsidRPr="006205AB">
        <w:rPr>
          <w:rFonts w:ascii="Segoe UI" w:hAnsi="Segoe UI" w:cs="Segoe UI"/>
          <w:b/>
          <w:noProof/>
          <w:sz w:val="20"/>
        </w:rPr>
        <w:t xml:space="preserve">ELEKTROŠROT, a.s. </w:t>
      </w:r>
    </w:p>
    <w:p w14:paraId="5265EE86" w14:textId="77777777"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obchodní společnost zapsaná v obchodním rejstříku vedeném Krajským soudem v Ústí nad Labem, oddíl B, vložka 833</w:t>
      </w:r>
    </w:p>
    <w:p w14:paraId="2B7C6C9D" w14:textId="04F34774"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 xml:space="preserve">se sídlem:  </w:t>
      </w:r>
      <w:r w:rsidRPr="006205AB">
        <w:rPr>
          <w:rFonts w:ascii="Segoe UI" w:hAnsi="Segoe UI" w:cs="Segoe UI"/>
          <w:noProof/>
          <w:sz w:val="20"/>
        </w:rPr>
        <w:tab/>
      </w:r>
      <w:r w:rsidRPr="006205AB">
        <w:rPr>
          <w:rFonts w:ascii="Segoe UI" w:hAnsi="Segoe UI" w:cs="Segoe UI"/>
          <w:noProof/>
          <w:sz w:val="20"/>
        </w:rPr>
        <w:tab/>
        <w:t xml:space="preserve">             Košťanská 212, 415 01 Teplice</w:t>
      </w:r>
      <w:r>
        <w:rPr>
          <w:rFonts w:ascii="Segoe UI" w:hAnsi="Segoe UI" w:cs="Segoe UI"/>
          <w:noProof/>
          <w:sz w:val="20"/>
        </w:rPr>
        <w:t xml:space="preserve"> - Hudcov</w:t>
      </w:r>
    </w:p>
    <w:p w14:paraId="5F5F8605" w14:textId="77777777"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 xml:space="preserve">IČ: </w:t>
      </w:r>
      <w:r w:rsidRPr="006205AB">
        <w:rPr>
          <w:rFonts w:ascii="Segoe UI" w:hAnsi="Segoe UI" w:cs="Segoe UI"/>
          <w:noProof/>
          <w:sz w:val="20"/>
        </w:rPr>
        <w:tab/>
      </w:r>
      <w:r w:rsidRPr="006205AB">
        <w:rPr>
          <w:rFonts w:ascii="Segoe UI" w:hAnsi="Segoe UI" w:cs="Segoe UI"/>
          <w:noProof/>
          <w:sz w:val="20"/>
        </w:rPr>
        <w:tab/>
      </w:r>
      <w:r w:rsidRPr="006205AB">
        <w:rPr>
          <w:rFonts w:ascii="Segoe UI" w:hAnsi="Segoe UI" w:cs="Segoe UI"/>
          <w:noProof/>
          <w:sz w:val="20"/>
        </w:rPr>
        <w:tab/>
      </w:r>
      <w:r w:rsidRPr="006205AB">
        <w:rPr>
          <w:rFonts w:ascii="Segoe UI" w:hAnsi="Segoe UI" w:cs="Segoe UI"/>
          <w:noProof/>
          <w:sz w:val="20"/>
        </w:rPr>
        <w:tab/>
        <w:t>25003569</w:t>
      </w:r>
    </w:p>
    <w:p w14:paraId="6EA5567D" w14:textId="63037380"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 xml:space="preserve">zastoupená: </w:t>
      </w:r>
      <w:r w:rsidRPr="006205AB">
        <w:rPr>
          <w:rFonts w:ascii="Segoe UI" w:hAnsi="Segoe UI" w:cs="Segoe UI"/>
          <w:noProof/>
          <w:sz w:val="20"/>
        </w:rPr>
        <w:tab/>
      </w:r>
      <w:r w:rsidRPr="006205AB">
        <w:rPr>
          <w:rFonts w:ascii="Segoe UI" w:hAnsi="Segoe UI" w:cs="Segoe UI"/>
          <w:noProof/>
          <w:sz w:val="20"/>
        </w:rPr>
        <w:tab/>
      </w:r>
      <w:r w:rsidRPr="006205AB">
        <w:rPr>
          <w:rFonts w:ascii="Segoe UI" w:hAnsi="Segoe UI" w:cs="Segoe UI"/>
          <w:noProof/>
          <w:sz w:val="20"/>
        </w:rPr>
        <w:tab/>
        <w:t>Ladislavem P</w:t>
      </w:r>
      <w:r>
        <w:rPr>
          <w:rFonts w:ascii="Segoe UI" w:hAnsi="Segoe UI" w:cs="Segoe UI"/>
          <w:noProof/>
          <w:sz w:val="20"/>
        </w:rPr>
        <w:t xml:space="preserve"> </w:t>
      </w:r>
      <w:r w:rsidRPr="006205AB">
        <w:rPr>
          <w:rFonts w:ascii="Segoe UI" w:hAnsi="Segoe UI" w:cs="Segoe UI"/>
          <w:noProof/>
          <w:sz w:val="20"/>
        </w:rPr>
        <w:t>e</w:t>
      </w:r>
      <w:r>
        <w:rPr>
          <w:rFonts w:ascii="Segoe UI" w:hAnsi="Segoe UI" w:cs="Segoe UI"/>
          <w:noProof/>
          <w:sz w:val="20"/>
        </w:rPr>
        <w:t xml:space="preserve"> </w:t>
      </w:r>
      <w:r w:rsidRPr="006205AB">
        <w:rPr>
          <w:rFonts w:ascii="Segoe UI" w:hAnsi="Segoe UI" w:cs="Segoe UI"/>
          <w:noProof/>
          <w:sz w:val="20"/>
        </w:rPr>
        <w:t>j</w:t>
      </w:r>
      <w:r>
        <w:rPr>
          <w:rFonts w:ascii="Segoe UI" w:hAnsi="Segoe UI" w:cs="Segoe UI"/>
          <w:noProof/>
          <w:sz w:val="20"/>
        </w:rPr>
        <w:t xml:space="preserve"> </w:t>
      </w:r>
      <w:r w:rsidRPr="006205AB">
        <w:rPr>
          <w:rFonts w:ascii="Segoe UI" w:hAnsi="Segoe UI" w:cs="Segoe UI"/>
          <w:noProof/>
          <w:sz w:val="20"/>
        </w:rPr>
        <w:t>š</w:t>
      </w:r>
      <w:r>
        <w:rPr>
          <w:rFonts w:ascii="Segoe UI" w:hAnsi="Segoe UI" w:cs="Segoe UI"/>
          <w:noProof/>
          <w:sz w:val="20"/>
        </w:rPr>
        <w:t xml:space="preserve"> </w:t>
      </w:r>
      <w:r w:rsidRPr="006205AB">
        <w:rPr>
          <w:rFonts w:ascii="Segoe UI" w:hAnsi="Segoe UI" w:cs="Segoe UI"/>
          <w:noProof/>
          <w:sz w:val="20"/>
        </w:rPr>
        <w:t>k</w:t>
      </w:r>
      <w:r>
        <w:rPr>
          <w:rFonts w:ascii="Segoe UI" w:hAnsi="Segoe UI" w:cs="Segoe UI"/>
          <w:noProof/>
          <w:sz w:val="20"/>
        </w:rPr>
        <w:t> </w:t>
      </w:r>
      <w:r w:rsidRPr="006205AB">
        <w:rPr>
          <w:rFonts w:ascii="Segoe UI" w:hAnsi="Segoe UI" w:cs="Segoe UI"/>
          <w:noProof/>
          <w:sz w:val="20"/>
        </w:rPr>
        <w:t>e</w:t>
      </w:r>
      <w:r>
        <w:rPr>
          <w:rFonts w:ascii="Segoe UI" w:hAnsi="Segoe UI" w:cs="Segoe UI"/>
          <w:noProof/>
          <w:sz w:val="20"/>
        </w:rPr>
        <w:t xml:space="preserve"> </w:t>
      </w:r>
      <w:r w:rsidRPr="006205AB">
        <w:rPr>
          <w:rFonts w:ascii="Segoe UI" w:hAnsi="Segoe UI" w:cs="Segoe UI"/>
          <w:noProof/>
          <w:sz w:val="20"/>
        </w:rPr>
        <w:t>m, členem představenstva</w:t>
      </w:r>
    </w:p>
    <w:p w14:paraId="57F3F018" w14:textId="6C9E1383"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 xml:space="preserve">bankovní spojení:       </w:t>
      </w:r>
      <w:r w:rsidRPr="006205AB">
        <w:rPr>
          <w:rFonts w:ascii="Segoe UI" w:hAnsi="Segoe UI" w:cs="Segoe UI"/>
          <w:noProof/>
          <w:sz w:val="20"/>
        </w:rPr>
        <w:tab/>
      </w:r>
      <w:r w:rsidRPr="006205AB">
        <w:rPr>
          <w:rFonts w:ascii="Segoe UI" w:hAnsi="Segoe UI" w:cs="Segoe UI"/>
          <w:noProof/>
          <w:sz w:val="20"/>
        </w:rPr>
        <w:tab/>
      </w:r>
      <w:r w:rsidR="00DC17E1">
        <w:rPr>
          <w:rFonts w:ascii="Segoe UI" w:hAnsi="Segoe UI" w:cs="Segoe UI"/>
          <w:noProof/>
          <w:sz w:val="20"/>
        </w:rPr>
        <w:t>xxxxxxxxxxxxxxxxxxxxx</w:t>
      </w:r>
      <w:r w:rsidRPr="006205AB">
        <w:rPr>
          <w:rFonts w:ascii="Segoe UI" w:hAnsi="Segoe UI" w:cs="Segoe UI"/>
          <w:noProof/>
          <w:sz w:val="20"/>
        </w:rPr>
        <w:t xml:space="preserve">. </w:t>
      </w:r>
    </w:p>
    <w:p w14:paraId="444EBE22" w14:textId="638F4513" w:rsidR="006205AB" w:rsidRPr="006205AB" w:rsidRDefault="006205AB" w:rsidP="006205AB">
      <w:pPr>
        <w:pStyle w:val="Zkladntext"/>
        <w:rPr>
          <w:rFonts w:ascii="Segoe UI" w:hAnsi="Segoe UI" w:cs="Segoe UI"/>
          <w:noProof/>
          <w:sz w:val="20"/>
        </w:rPr>
      </w:pPr>
      <w:r w:rsidRPr="006205AB">
        <w:rPr>
          <w:rFonts w:ascii="Segoe UI" w:hAnsi="Segoe UI" w:cs="Segoe UI"/>
          <w:noProof/>
          <w:sz w:val="20"/>
        </w:rPr>
        <w:t xml:space="preserve">číslo účtu: </w:t>
      </w:r>
      <w:r w:rsidRPr="006205AB">
        <w:rPr>
          <w:rFonts w:ascii="Segoe UI" w:hAnsi="Segoe UI" w:cs="Segoe UI"/>
          <w:noProof/>
          <w:sz w:val="20"/>
        </w:rPr>
        <w:tab/>
      </w:r>
      <w:r w:rsidRPr="006205AB">
        <w:rPr>
          <w:rFonts w:ascii="Segoe UI" w:hAnsi="Segoe UI" w:cs="Segoe UI"/>
          <w:noProof/>
          <w:sz w:val="20"/>
        </w:rPr>
        <w:tab/>
      </w:r>
      <w:r w:rsidRPr="006205AB">
        <w:rPr>
          <w:rFonts w:ascii="Segoe UI" w:hAnsi="Segoe UI" w:cs="Segoe UI"/>
          <w:noProof/>
          <w:sz w:val="20"/>
        </w:rPr>
        <w:tab/>
      </w:r>
      <w:r w:rsidR="00DC17E1">
        <w:rPr>
          <w:rFonts w:ascii="Segoe UI" w:hAnsi="Segoe UI" w:cs="Segoe UI"/>
          <w:noProof/>
          <w:sz w:val="20"/>
        </w:rPr>
        <w:t>xxxxxxxxxxxxxx</w:t>
      </w:r>
      <w:bookmarkStart w:id="0" w:name="_GoBack"/>
      <w:bookmarkEnd w:id="0"/>
    </w:p>
    <w:p w14:paraId="41B12120" w14:textId="77777777" w:rsidR="006205AB" w:rsidRDefault="006205AB" w:rsidP="00C35D81">
      <w:pPr>
        <w:pStyle w:val="Zkladntext"/>
        <w:rPr>
          <w:rFonts w:ascii="Segoe UI" w:hAnsi="Segoe UI" w:cs="Segoe UI"/>
          <w:noProof/>
          <w:sz w:val="20"/>
        </w:rPr>
      </w:pPr>
      <w:r w:rsidRPr="006205AB">
        <w:rPr>
          <w:rFonts w:ascii="Segoe UI" w:hAnsi="Segoe UI" w:cs="Segoe UI"/>
          <w:noProof/>
          <w:sz w:val="20"/>
        </w:rPr>
        <w:t xml:space="preserve">variabilní symbol: </w:t>
      </w:r>
      <w:r w:rsidRPr="006205AB">
        <w:rPr>
          <w:rFonts w:ascii="Segoe UI" w:hAnsi="Segoe UI" w:cs="Segoe UI"/>
          <w:noProof/>
          <w:sz w:val="20"/>
        </w:rPr>
        <w:tab/>
      </w:r>
      <w:r w:rsidRPr="006205AB">
        <w:rPr>
          <w:rFonts w:ascii="Segoe UI" w:hAnsi="Segoe UI" w:cs="Segoe UI"/>
          <w:noProof/>
          <w:sz w:val="20"/>
        </w:rPr>
        <w:tab/>
        <w:t>viz článek VI bod 2.</w:t>
      </w:r>
    </w:p>
    <w:p w14:paraId="52280851" w14:textId="7BD8A7FA"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569546CB"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6205AB">
        <w:rPr>
          <w:rFonts w:ascii="Segoe UI" w:hAnsi="Segoe UI" w:cs="Segoe UI"/>
          <w:noProof/>
          <w:color w:val="auto"/>
          <w:sz w:val="20"/>
        </w:rPr>
        <w:t>01812042</w:t>
      </w:r>
      <w:r w:rsidR="006205AB"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6205AB">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37C9C1AC"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389D6EE1"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6205AB">
        <w:rPr>
          <w:rFonts w:ascii="Segoe UI" w:hAnsi="Segoe UI" w:cs="Segoe UI"/>
          <w:b/>
          <w:color w:val="auto"/>
          <w:sz w:val="20"/>
        </w:rPr>
        <w:t>64 350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6205AB">
        <w:rPr>
          <w:rFonts w:ascii="Segoe UI" w:hAnsi="Segoe UI" w:cs="Segoe UI"/>
          <w:noProof/>
          <w:color w:val="auto"/>
          <w:sz w:val="20"/>
        </w:rPr>
        <w:t>šedesát</w:t>
      </w:r>
      <w:proofErr w:type="gramEnd"/>
      <w:r w:rsidR="006205AB">
        <w:rPr>
          <w:rFonts w:ascii="Segoe UI" w:hAnsi="Segoe UI" w:cs="Segoe UI"/>
          <w:noProof/>
          <w:color w:val="auto"/>
          <w:sz w:val="20"/>
        </w:rPr>
        <w:t xml:space="preserve"> čtyři tisíc tři sta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 xml:space="preserve">e </w:t>
      </w:r>
      <w:r w:rsidR="006205AB">
        <w:rPr>
          <w:rFonts w:ascii="Segoe UI" w:hAnsi="Segoe UI" w:cs="Segoe UI"/>
          <w:color w:val="auto"/>
          <w:sz w:val="20"/>
        </w:rPr>
        <w:t>180</w:t>
      </w:r>
      <w:r w:rsidR="006205AB">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49CBCFC2"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6FD21DDC"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8C59A" w14:textId="77777777" w:rsidR="003C0980" w:rsidRDefault="003C0980" w:rsidP="00F6060F">
      <w:r>
        <w:separator/>
      </w:r>
    </w:p>
  </w:endnote>
  <w:endnote w:type="continuationSeparator" w:id="0">
    <w:p w14:paraId="651C5A92" w14:textId="77777777" w:rsidR="003C0980" w:rsidRDefault="003C0980"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29741922" w:rsidR="00F6060F" w:rsidRDefault="00F6060F">
        <w:pPr>
          <w:pStyle w:val="Zpat"/>
          <w:jc w:val="center"/>
        </w:pPr>
        <w:r>
          <w:fldChar w:fldCharType="begin"/>
        </w:r>
        <w:r>
          <w:instrText>PAGE   \* MERGEFORMAT</w:instrText>
        </w:r>
        <w:r>
          <w:fldChar w:fldCharType="separate"/>
        </w:r>
        <w:r w:rsidR="00DC17E1">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AF5A0" w14:textId="77777777" w:rsidR="003C0980" w:rsidRDefault="003C0980" w:rsidP="00F6060F">
      <w:r>
        <w:separator/>
      </w:r>
    </w:p>
  </w:footnote>
  <w:footnote w:type="continuationSeparator" w:id="0">
    <w:p w14:paraId="10DB6531" w14:textId="77777777" w:rsidR="003C0980" w:rsidRDefault="003C0980"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7BBE"/>
    <w:rsid w:val="002649DD"/>
    <w:rsid w:val="002D27A1"/>
    <w:rsid w:val="002D44FE"/>
    <w:rsid w:val="002E3674"/>
    <w:rsid w:val="002F733D"/>
    <w:rsid w:val="00332A62"/>
    <w:rsid w:val="00346307"/>
    <w:rsid w:val="003C0980"/>
    <w:rsid w:val="003F0E86"/>
    <w:rsid w:val="00415A7C"/>
    <w:rsid w:val="0044386A"/>
    <w:rsid w:val="004A47F0"/>
    <w:rsid w:val="004C7CE0"/>
    <w:rsid w:val="005063CC"/>
    <w:rsid w:val="005C1A4C"/>
    <w:rsid w:val="006205AB"/>
    <w:rsid w:val="00627454"/>
    <w:rsid w:val="006A1923"/>
    <w:rsid w:val="006C2495"/>
    <w:rsid w:val="006F4ECF"/>
    <w:rsid w:val="00720CC5"/>
    <w:rsid w:val="007368E1"/>
    <w:rsid w:val="00767EC9"/>
    <w:rsid w:val="007E0F9E"/>
    <w:rsid w:val="00805646"/>
    <w:rsid w:val="008131E8"/>
    <w:rsid w:val="008221B6"/>
    <w:rsid w:val="008224E4"/>
    <w:rsid w:val="00857D26"/>
    <w:rsid w:val="008A1900"/>
    <w:rsid w:val="009779D2"/>
    <w:rsid w:val="00980B78"/>
    <w:rsid w:val="00A21502"/>
    <w:rsid w:val="00AE4CED"/>
    <w:rsid w:val="00B5374E"/>
    <w:rsid w:val="00BA2337"/>
    <w:rsid w:val="00C16B1F"/>
    <w:rsid w:val="00C35D81"/>
    <w:rsid w:val="00C41C31"/>
    <w:rsid w:val="00C81197"/>
    <w:rsid w:val="00CA35EE"/>
    <w:rsid w:val="00CB5527"/>
    <w:rsid w:val="00D0001C"/>
    <w:rsid w:val="00D6380B"/>
    <w:rsid w:val="00D7514C"/>
    <w:rsid w:val="00D92ED4"/>
    <w:rsid w:val="00DB5DC4"/>
    <w:rsid w:val="00DC17E1"/>
    <w:rsid w:val="00DC5A5E"/>
    <w:rsid w:val="00DC6088"/>
    <w:rsid w:val="00DF0D7A"/>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7767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2019-10-24T14:00:00Z</cp:lastPrinted>
  <dcterms:created xsi:type="dcterms:W3CDTF">2020-11-12T13:25:00Z</dcterms:created>
  <dcterms:modified xsi:type="dcterms:W3CDTF">2020-11-12T13:26:00Z</dcterms:modified>
</cp:coreProperties>
</file>