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7339" w14:textId="77777777" w:rsidR="007200C1" w:rsidRPr="00042A10" w:rsidRDefault="0096248D" w:rsidP="00042A10">
      <w:pPr>
        <w:jc w:val="center"/>
        <w:rPr>
          <w:b/>
          <w:color w:val="000000" w:themeColor="text1"/>
        </w:rPr>
      </w:pPr>
      <w:r w:rsidRPr="00042A10">
        <w:rPr>
          <w:b/>
          <w:color w:val="000000" w:themeColor="text1"/>
        </w:rPr>
        <w:t>Smlouva o spolupráci při pořádání výstavy</w:t>
      </w:r>
    </w:p>
    <w:p w14:paraId="50311DB0" w14:textId="77777777" w:rsidR="0096248D" w:rsidRPr="00042A10" w:rsidRDefault="0096248D" w:rsidP="00042A10">
      <w:pPr>
        <w:spacing w:after="0" w:line="240" w:lineRule="auto"/>
        <w:jc w:val="both"/>
        <w:rPr>
          <w:b/>
          <w:color w:val="000000" w:themeColor="text1"/>
        </w:rPr>
      </w:pPr>
    </w:p>
    <w:p w14:paraId="074CBA77" w14:textId="77777777" w:rsidR="0096248D" w:rsidRPr="00042A10" w:rsidRDefault="0096248D" w:rsidP="00042A10">
      <w:pPr>
        <w:spacing w:after="0" w:line="240" w:lineRule="auto"/>
        <w:jc w:val="both"/>
        <w:rPr>
          <w:b/>
          <w:color w:val="000000" w:themeColor="text1"/>
        </w:rPr>
      </w:pPr>
      <w:r w:rsidRPr="00042A10">
        <w:rPr>
          <w:b/>
          <w:color w:val="000000" w:themeColor="text1"/>
        </w:rPr>
        <w:t xml:space="preserve">Národní památkový ústav, </w:t>
      </w:r>
      <w:r w:rsidRPr="00042A10">
        <w:rPr>
          <w:color w:val="000000" w:themeColor="text1"/>
        </w:rPr>
        <w:t>státní příspěvková organizace</w:t>
      </w:r>
    </w:p>
    <w:p w14:paraId="259A0C52" w14:textId="77777777" w:rsidR="0096248D" w:rsidRPr="00042A10" w:rsidRDefault="005A14CC" w:rsidP="00042A10">
      <w:pPr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se sídlem: </w:t>
      </w:r>
      <w:r w:rsidR="0096248D" w:rsidRPr="00042A10">
        <w:rPr>
          <w:color w:val="000000" w:themeColor="text1"/>
        </w:rPr>
        <w:t>Valdštejnské náměstí 162/3, 118 01 Praha 1</w:t>
      </w:r>
    </w:p>
    <w:p w14:paraId="0830D35D" w14:textId="2C601398" w:rsidR="00650479" w:rsidRPr="00042A10" w:rsidRDefault="005A14CC" w:rsidP="00042A10">
      <w:pPr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IČO: </w:t>
      </w:r>
      <w:r w:rsidR="0096248D" w:rsidRPr="00042A10">
        <w:rPr>
          <w:color w:val="000000" w:themeColor="text1"/>
        </w:rPr>
        <w:t>7503233</w:t>
      </w:r>
      <w:r w:rsidR="00650479">
        <w:rPr>
          <w:color w:val="000000" w:themeColor="text1"/>
        </w:rPr>
        <w:t>3, DIČ:CZ</w:t>
      </w:r>
      <w:r w:rsidR="00650479" w:rsidRPr="00042A10">
        <w:rPr>
          <w:color w:val="000000" w:themeColor="text1"/>
        </w:rPr>
        <w:t>7503233</w:t>
      </w:r>
      <w:r w:rsidR="00650479">
        <w:rPr>
          <w:color w:val="000000" w:themeColor="text1"/>
        </w:rPr>
        <w:t>3</w:t>
      </w:r>
    </w:p>
    <w:p w14:paraId="07AF25B5" w14:textId="5911E724" w:rsidR="00650479" w:rsidRDefault="00CB31C8" w:rsidP="00650479">
      <w:pPr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zastoupená Ing. arch. Naděždou </w:t>
      </w:r>
      <w:proofErr w:type="spellStart"/>
      <w:r>
        <w:rPr>
          <w:color w:val="000000" w:themeColor="text1"/>
        </w:rPr>
        <w:t>Goryczkovou</w:t>
      </w:r>
      <w:proofErr w:type="spellEnd"/>
      <w:r>
        <w:rPr>
          <w:color w:val="000000" w:themeColor="text1"/>
        </w:rPr>
        <w:t>, generální ředitelkou</w:t>
      </w:r>
    </w:p>
    <w:p w14:paraId="308D8FCE" w14:textId="7545817E" w:rsidR="0096248D" w:rsidRPr="00042A10" w:rsidRDefault="0096248D" w:rsidP="00042A10">
      <w:pPr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 w:rsidRPr="00042A10">
        <w:rPr>
          <w:color w:val="000000" w:themeColor="text1"/>
        </w:rPr>
        <w:t>na straně jedné (dále jen „</w:t>
      </w:r>
      <w:r w:rsidRPr="00042A10">
        <w:rPr>
          <w:b/>
          <w:color w:val="000000" w:themeColor="text1"/>
        </w:rPr>
        <w:t>NPÚ</w:t>
      </w:r>
      <w:r w:rsidRPr="00042A10">
        <w:rPr>
          <w:color w:val="000000" w:themeColor="text1"/>
        </w:rPr>
        <w:t>“)</w:t>
      </w:r>
    </w:p>
    <w:p w14:paraId="41D291C0" w14:textId="77777777" w:rsidR="0096248D" w:rsidRPr="00042A10" w:rsidRDefault="0096248D" w:rsidP="00042A10">
      <w:pPr>
        <w:spacing w:after="0" w:line="240" w:lineRule="auto"/>
        <w:ind w:left="426" w:hanging="426"/>
        <w:jc w:val="both"/>
        <w:rPr>
          <w:color w:val="000000" w:themeColor="text1"/>
        </w:rPr>
      </w:pPr>
    </w:p>
    <w:p w14:paraId="462E4A44" w14:textId="77777777" w:rsidR="0096248D" w:rsidRPr="00042A10" w:rsidRDefault="0096248D" w:rsidP="00042A10">
      <w:pPr>
        <w:spacing w:after="0" w:line="240" w:lineRule="auto"/>
        <w:ind w:left="426" w:hanging="426"/>
        <w:jc w:val="both"/>
        <w:rPr>
          <w:color w:val="000000" w:themeColor="text1"/>
        </w:rPr>
      </w:pPr>
      <w:r w:rsidRPr="00042A10">
        <w:rPr>
          <w:color w:val="000000" w:themeColor="text1"/>
        </w:rPr>
        <w:t>a</w:t>
      </w:r>
    </w:p>
    <w:p w14:paraId="697C1FFA" w14:textId="77777777" w:rsidR="0096248D" w:rsidRDefault="0096248D" w:rsidP="00042A10">
      <w:pPr>
        <w:spacing w:after="0" w:line="240" w:lineRule="auto"/>
        <w:jc w:val="both"/>
        <w:rPr>
          <w:color w:val="000000" w:themeColor="text1"/>
        </w:rPr>
      </w:pPr>
    </w:p>
    <w:p w14:paraId="53D4DC68" w14:textId="0D7751CF" w:rsidR="00CB31C8" w:rsidRDefault="00CB31C8" w:rsidP="00042A10">
      <w:pPr>
        <w:spacing w:after="0" w:line="240" w:lineRule="auto"/>
        <w:jc w:val="both"/>
        <w:rPr>
          <w:color w:val="000000" w:themeColor="text1"/>
        </w:rPr>
      </w:pPr>
      <w:r w:rsidRPr="00F3149F">
        <w:rPr>
          <w:b/>
          <w:color w:val="000000" w:themeColor="text1"/>
        </w:rPr>
        <w:t>Národní technická knihovna</w:t>
      </w:r>
      <w:r w:rsidR="009372C6">
        <w:rPr>
          <w:color w:val="000000" w:themeColor="text1"/>
        </w:rPr>
        <w:t>, státní příspěvková organizace</w:t>
      </w:r>
    </w:p>
    <w:p w14:paraId="4D59A813" w14:textId="5DE894B6" w:rsidR="00CB31C8" w:rsidRDefault="00CB31C8" w:rsidP="00042A10">
      <w:pPr>
        <w:spacing w:after="0" w:line="240" w:lineRule="auto"/>
        <w:jc w:val="both"/>
      </w:pPr>
      <w:r>
        <w:rPr>
          <w:color w:val="000000" w:themeColor="text1"/>
        </w:rPr>
        <w:t xml:space="preserve">se sídlem </w:t>
      </w:r>
      <w:r>
        <w:t>Technická 2710/6</w:t>
      </w:r>
      <w:r w:rsidR="00F3149F">
        <w:t>, 16080</w:t>
      </w:r>
      <w:r>
        <w:t xml:space="preserve"> Praha</w:t>
      </w:r>
      <w:r w:rsidR="00F3149F">
        <w:t xml:space="preserve"> - Dejvice</w:t>
      </w:r>
    </w:p>
    <w:p w14:paraId="536E8949" w14:textId="0BD46CE9" w:rsidR="009372C6" w:rsidRDefault="009372C6" w:rsidP="00042A10">
      <w:pPr>
        <w:spacing w:after="0" w:line="240" w:lineRule="auto"/>
        <w:jc w:val="both"/>
      </w:pPr>
      <w:r>
        <w:t>IČ</w:t>
      </w:r>
      <w:r w:rsidR="00F3149F">
        <w:t>O</w:t>
      </w:r>
      <w:r>
        <w:t xml:space="preserve"> 61387142, DIČ </w:t>
      </w:r>
      <w:r w:rsidR="00E16052">
        <w:t>CZ</w:t>
      </w:r>
      <w:r>
        <w:t>61387142</w:t>
      </w:r>
    </w:p>
    <w:p w14:paraId="174A89A4" w14:textId="77A417C4" w:rsidR="009372C6" w:rsidRDefault="00F3149F" w:rsidP="00042A10">
      <w:pPr>
        <w:spacing w:after="0" w:line="240" w:lineRule="auto"/>
        <w:jc w:val="both"/>
      </w:pPr>
      <w:r>
        <w:t>z</w:t>
      </w:r>
      <w:r w:rsidR="009372C6">
        <w:t>astoupená Ing. Martinem Svobodou, ředitelem</w:t>
      </w:r>
    </w:p>
    <w:p w14:paraId="787FC09E" w14:textId="096E0442" w:rsidR="009372C6" w:rsidRPr="00042A10" w:rsidRDefault="009372C6" w:rsidP="00042A10">
      <w:pPr>
        <w:spacing w:after="0" w:line="240" w:lineRule="auto"/>
        <w:jc w:val="both"/>
        <w:rPr>
          <w:color w:val="000000" w:themeColor="text1"/>
        </w:rPr>
      </w:pPr>
      <w:r>
        <w:t>na straně druhé dále jen („</w:t>
      </w:r>
      <w:r w:rsidRPr="009372C6">
        <w:rPr>
          <w:b/>
        </w:rPr>
        <w:t>NTK</w:t>
      </w:r>
      <w:r>
        <w:t>“)</w:t>
      </w:r>
    </w:p>
    <w:p w14:paraId="5CA61CAF" w14:textId="77777777" w:rsidR="009372C6" w:rsidRDefault="009372C6" w:rsidP="00042A10">
      <w:pPr>
        <w:spacing w:after="0" w:line="240" w:lineRule="auto"/>
        <w:jc w:val="both"/>
        <w:rPr>
          <w:color w:val="000000" w:themeColor="text1"/>
        </w:rPr>
      </w:pPr>
    </w:p>
    <w:p w14:paraId="6BA75511" w14:textId="77777777" w:rsidR="009372C6" w:rsidRDefault="009372C6" w:rsidP="00042A10">
      <w:pPr>
        <w:spacing w:after="0" w:line="240" w:lineRule="auto"/>
        <w:jc w:val="both"/>
        <w:rPr>
          <w:color w:val="000000" w:themeColor="text1"/>
        </w:rPr>
      </w:pPr>
    </w:p>
    <w:p w14:paraId="59E39C6D" w14:textId="77777777" w:rsidR="0096248D" w:rsidRPr="00042A10" w:rsidRDefault="0096248D" w:rsidP="00042A10">
      <w:pPr>
        <w:spacing w:after="0" w:line="240" w:lineRule="auto"/>
        <w:jc w:val="both"/>
        <w:rPr>
          <w:color w:val="000000" w:themeColor="text1"/>
        </w:rPr>
      </w:pPr>
      <w:r w:rsidRPr="00042A10">
        <w:rPr>
          <w:color w:val="000000" w:themeColor="text1"/>
        </w:rPr>
        <w:t>uzavírají v souladu s ustanovením § 1746 odst. 2</w:t>
      </w:r>
      <w:r w:rsidR="006D6F62">
        <w:rPr>
          <w:color w:val="000000" w:themeColor="text1"/>
        </w:rPr>
        <w:t xml:space="preserve"> </w:t>
      </w:r>
      <w:r w:rsidRPr="00042A10">
        <w:rPr>
          <w:color w:val="000000" w:themeColor="text1"/>
        </w:rPr>
        <w:t>zákona č. 89/2012 Sb., občanský zákoník, ve znění pozdějších předpisů tuto</w:t>
      </w:r>
    </w:p>
    <w:p w14:paraId="0BF4DCF0" w14:textId="77777777" w:rsidR="00FA1366" w:rsidRPr="00042A10" w:rsidRDefault="00FA1366" w:rsidP="00042A10">
      <w:pPr>
        <w:spacing w:after="0" w:line="240" w:lineRule="auto"/>
        <w:jc w:val="both"/>
        <w:rPr>
          <w:b/>
          <w:color w:val="000000" w:themeColor="text1"/>
        </w:rPr>
      </w:pPr>
    </w:p>
    <w:p w14:paraId="4BCCA6C6" w14:textId="77777777" w:rsidR="0096248D" w:rsidRPr="00042A10" w:rsidRDefault="0096248D" w:rsidP="00042A10">
      <w:pPr>
        <w:spacing w:after="0" w:line="240" w:lineRule="auto"/>
        <w:jc w:val="center"/>
        <w:rPr>
          <w:color w:val="000000" w:themeColor="text1"/>
        </w:rPr>
      </w:pPr>
      <w:r w:rsidRPr="00042A10">
        <w:rPr>
          <w:b/>
          <w:color w:val="000000" w:themeColor="text1"/>
        </w:rPr>
        <w:t>smlouvu o spolupráci</w:t>
      </w:r>
      <w:r w:rsidR="006D6F62">
        <w:rPr>
          <w:b/>
          <w:color w:val="000000" w:themeColor="text1"/>
        </w:rPr>
        <w:t xml:space="preserve"> při pořádání výstavy</w:t>
      </w:r>
    </w:p>
    <w:p w14:paraId="0526CDA1" w14:textId="77777777" w:rsidR="0096248D" w:rsidRPr="00042A10" w:rsidRDefault="0096248D" w:rsidP="00042A10">
      <w:pPr>
        <w:spacing w:after="0" w:line="240" w:lineRule="auto"/>
        <w:jc w:val="center"/>
        <w:rPr>
          <w:color w:val="000000" w:themeColor="text1"/>
        </w:rPr>
      </w:pPr>
      <w:r w:rsidRPr="00042A10">
        <w:rPr>
          <w:color w:val="000000" w:themeColor="text1"/>
        </w:rPr>
        <w:t>(dále jen „</w:t>
      </w:r>
      <w:r w:rsidRPr="00042A10">
        <w:rPr>
          <w:b/>
          <w:color w:val="000000" w:themeColor="text1"/>
        </w:rPr>
        <w:t>smlouva</w:t>
      </w:r>
      <w:r w:rsidRPr="00042A10">
        <w:rPr>
          <w:color w:val="000000" w:themeColor="text1"/>
        </w:rPr>
        <w:t>“).</w:t>
      </w:r>
    </w:p>
    <w:p w14:paraId="3CAB48D8" w14:textId="77777777" w:rsidR="0096248D" w:rsidRPr="00042A10" w:rsidRDefault="0096248D" w:rsidP="00042A10">
      <w:pPr>
        <w:spacing w:after="0" w:line="240" w:lineRule="auto"/>
        <w:jc w:val="center"/>
        <w:rPr>
          <w:color w:val="000000" w:themeColor="text1"/>
        </w:rPr>
      </w:pPr>
    </w:p>
    <w:p w14:paraId="12165885" w14:textId="77777777" w:rsidR="0096248D" w:rsidRPr="00042A10" w:rsidRDefault="0096248D" w:rsidP="00042A10">
      <w:pPr>
        <w:spacing w:after="0" w:line="240" w:lineRule="auto"/>
        <w:jc w:val="center"/>
        <w:rPr>
          <w:b/>
          <w:color w:val="000000" w:themeColor="text1"/>
        </w:rPr>
      </w:pPr>
      <w:r w:rsidRPr="00042A10">
        <w:rPr>
          <w:b/>
          <w:color w:val="000000" w:themeColor="text1"/>
        </w:rPr>
        <w:t>I.</w:t>
      </w:r>
    </w:p>
    <w:p w14:paraId="7E4E95D1" w14:textId="77777777" w:rsidR="0096248D" w:rsidRPr="00042A10" w:rsidRDefault="0096248D" w:rsidP="00042A10">
      <w:pPr>
        <w:spacing w:after="0" w:line="240" w:lineRule="auto"/>
        <w:jc w:val="center"/>
        <w:rPr>
          <w:b/>
          <w:color w:val="000000" w:themeColor="text1"/>
        </w:rPr>
      </w:pPr>
      <w:r w:rsidRPr="00042A10">
        <w:rPr>
          <w:b/>
          <w:color w:val="000000" w:themeColor="text1"/>
        </w:rPr>
        <w:t>Předmět smlouvy</w:t>
      </w:r>
    </w:p>
    <w:p w14:paraId="27D67946" w14:textId="77777777" w:rsidR="0096248D" w:rsidRPr="009372C6" w:rsidRDefault="0096248D" w:rsidP="00042A1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  <w:color w:val="000000" w:themeColor="text1"/>
        </w:rPr>
      </w:pPr>
      <w:r w:rsidRPr="00042A10">
        <w:rPr>
          <w:color w:val="000000" w:themeColor="text1"/>
        </w:rPr>
        <w:t>NPÚ je státní příspěvkovou organizací zřízenou podle zákona č. 20/1987 Sb., o státní památkové péči, ve znění pozdějších předpisů Ministerstvem kultury České republiky. NPÚ se jako odborná a výzkumná organizace státní památkové péče v České republice s celostátní působností zaměřuje především na péči o více než 100 zpřístupněných památek, zejména státních hradů a zámků, které jsou v jeho přímé správě, a také na odbornou a metodickou činnost v oblasti péče o památky a o památkově chráněná území ve vlastnictví a správě jiných subjektů.</w:t>
      </w:r>
    </w:p>
    <w:p w14:paraId="358A2394" w14:textId="4F21A6AE" w:rsidR="009372C6" w:rsidRPr="009372C6" w:rsidRDefault="009372C6" w:rsidP="00042A1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NTK </w:t>
      </w:r>
      <w:r>
        <w:t>je příspěvková organizace řízená prostřednictvím náměstka MŠMT a podle svého statutu plní funkci veřejně přístupné vědeckotechnické knihovny, která je součástí informační infrastruktury výzkumu a vývoje.</w:t>
      </w:r>
    </w:p>
    <w:p w14:paraId="6106CBF5" w14:textId="6EB44289" w:rsidR="00CB31C8" w:rsidRPr="009372C6" w:rsidRDefault="009372C6" w:rsidP="00F7222C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  <w:color w:val="000000" w:themeColor="text1"/>
        </w:rPr>
      </w:pPr>
      <w:r w:rsidRPr="009372C6">
        <w:rPr>
          <w:color w:val="000000" w:themeColor="text1"/>
        </w:rPr>
        <w:t xml:space="preserve">NPÚ je jako příjemce – koordinátor řešitelem </w:t>
      </w:r>
      <w:r>
        <w:rPr>
          <w:color w:val="000000" w:themeColor="text1"/>
        </w:rPr>
        <w:t>p</w:t>
      </w:r>
      <w:r w:rsidR="00CB31C8">
        <w:t>rojekt</w:t>
      </w:r>
      <w:r>
        <w:t xml:space="preserve">u s názvem </w:t>
      </w:r>
      <w:r w:rsidR="00CB31C8">
        <w:t xml:space="preserve">Analýza a prezentace hodnot moderní architektury 60. a 70. let 20. století jako součásti národní a kulturní identity ČR, DG16P02R007, </w:t>
      </w:r>
      <w:r>
        <w:t xml:space="preserve">který </w:t>
      </w:r>
      <w:r w:rsidR="00CB31C8">
        <w:t>je financován Ministerstvem kultury v rámci Programu aplikovaného výzkumu a vývoje.</w:t>
      </w:r>
      <w:r>
        <w:t xml:space="preserve"> Jedním z výstupů tohoto projektu je uspořádání výstavy s názvem </w:t>
      </w:r>
      <w:r>
        <w:rPr>
          <w:i/>
        </w:rPr>
        <w:t xml:space="preserve">To nejlepší z architektury 60. a 70. let 20. století v České republice. </w:t>
      </w:r>
    </w:p>
    <w:p w14:paraId="02C54E42" w14:textId="77777777" w:rsidR="009372C6" w:rsidRPr="009372C6" w:rsidRDefault="0096248D" w:rsidP="009372C6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  <w:color w:val="000000" w:themeColor="text1"/>
        </w:rPr>
      </w:pPr>
      <w:r w:rsidRPr="00CB31C8">
        <w:rPr>
          <w:color w:val="000000" w:themeColor="text1"/>
        </w:rPr>
        <w:t>Předmětem této smlouvy je úprava podmínek spolupráce smluv</w:t>
      </w:r>
      <w:r w:rsidR="006D6F62" w:rsidRPr="00CB31C8">
        <w:rPr>
          <w:color w:val="000000" w:themeColor="text1"/>
        </w:rPr>
        <w:t xml:space="preserve">ních stran při pořádání výstavy </w:t>
      </w:r>
      <w:r w:rsidR="009372C6">
        <w:rPr>
          <w:color w:val="000000" w:themeColor="text1"/>
        </w:rPr>
        <w:t xml:space="preserve">s </w:t>
      </w:r>
      <w:r w:rsidR="006D6F62" w:rsidRPr="00CB31C8">
        <w:rPr>
          <w:color w:val="000000" w:themeColor="text1"/>
        </w:rPr>
        <w:t>názvem</w:t>
      </w:r>
      <w:r w:rsidR="004131FE" w:rsidRPr="00CB31C8">
        <w:rPr>
          <w:color w:val="000000" w:themeColor="text1"/>
        </w:rPr>
        <w:t xml:space="preserve">: </w:t>
      </w:r>
      <w:r w:rsidR="009372C6">
        <w:rPr>
          <w:i/>
        </w:rPr>
        <w:t xml:space="preserve">To nejlepší z architektury 60. a 70. let 20. století v České republice </w:t>
      </w:r>
      <w:r w:rsidR="009372C6" w:rsidRPr="009372C6">
        <w:t>(dále též jen „Výstava“).</w:t>
      </w:r>
    </w:p>
    <w:p w14:paraId="14410C41" w14:textId="6657F791" w:rsidR="0096248D" w:rsidRPr="00042A10" w:rsidRDefault="0096248D" w:rsidP="00FA1E94">
      <w:pPr>
        <w:pStyle w:val="Odstavecseseznamem"/>
        <w:spacing w:after="0" w:line="240" w:lineRule="auto"/>
        <w:ind w:left="567"/>
        <w:jc w:val="both"/>
      </w:pPr>
    </w:p>
    <w:p w14:paraId="0B574C87" w14:textId="77777777" w:rsidR="000465F1" w:rsidRDefault="000465F1" w:rsidP="00042A10">
      <w:pPr>
        <w:spacing w:after="0" w:line="240" w:lineRule="auto"/>
        <w:jc w:val="center"/>
        <w:rPr>
          <w:b/>
          <w:color w:val="000000" w:themeColor="text1"/>
        </w:rPr>
      </w:pPr>
    </w:p>
    <w:p w14:paraId="146965A7" w14:textId="77777777" w:rsidR="009372C6" w:rsidRDefault="009372C6" w:rsidP="00042A10">
      <w:pPr>
        <w:spacing w:after="0" w:line="240" w:lineRule="auto"/>
        <w:jc w:val="center"/>
        <w:rPr>
          <w:b/>
          <w:color w:val="000000" w:themeColor="text1"/>
        </w:rPr>
      </w:pPr>
    </w:p>
    <w:p w14:paraId="2F1F8892" w14:textId="77777777" w:rsidR="0096248D" w:rsidRDefault="0096248D" w:rsidP="00042A10">
      <w:pPr>
        <w:spacing w:after="0" w:line="240" w:lineRule="auto"/>
        <w:jc w:val="center"/>
        <w:rPr>
          <w:b/>
          <w:color w:val="000000" w:themeColor="text1"/>
        </w:rPr>
      </w:pPr>
      <w:r w:rsidRPr="00042A10">
        <w:rPr>
          <w:b/>
          <w:color w:val="000000" w:themeColor="text1"/>
        </w:rPr>
        <w:t>II.</w:t>
      </w:r>
    </w:p>
    <w:p w14:paraId="67C72559" w14:textId="77777777" w:rsidR="000465F1" w:rsidRPr="00E100B8" w:rsidRDefault="000465F1" w:rsidP="000465F1">
      <w:pPr>
        <w:keepNext/>
        <w:tabs>
          <w:tab w:val="left" w:pos="142"/>
          <w:tab w:val="left" w:pos="567"/>
        </w:tabs>
        <w:jc w:val="center"/>
        <w:rPr>
          <w:rFonts w:cstheme="minorHAnsi"/>
          <w:b/>
        </w:rPr>
      </w:pPr>
      <w:r w:rsidRPr="00E100B8">
        <w:rPr>
          <w:rFonts w:cstheme="minorHAnsi"/>
          <w:b/>
        </w:rPr>
        <w:t>Místo a doba konání</w:t>
      </w:r>
    </w:p>
    <w:p w14:paraId="5DF0BF24" w14:textId="63284EFE" w:rsidR="000465F1" w:rsidRDefault="000465F1" w:rsidP="000465F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0465F1">
        <w:rPr>
          <w:rFonts w:cstheme="minorHAnsi"/>
        </w:rPr>
        <w:t>Výstava bude uspořádána v</w:t>
      </w:r>
      <w:r w:rsidR="009372C6">
        <w:rPr>
          <w:rFonts w:cstheme="minorHAnsi"/>
        </w:rPr>
        <w:t> sídle NTK</w:t>
      </w:r>
      <w:r w:rsidR="00653A4A">
        <w:rPr>
          <w:rFonts w:cstheme="minorHAnsi"/>
        </w:rPr>
        <w:t xml:space="preserve"> na adrese </w:t>
      </w:r>
      <w:r w:rsidR="00653A4A">
        <w:t>Technická 2710/6</w:t>
      </w:r>
      <w:r w:rsidR="00F3149F">
        <w:t>,</w:t>
      </w:r>
      <w:r w:rsidR="00653A4A">
        <w:t xml:space="preserve"> </w:t>
      </w:r>
      <w:r w:rsidR="00F3149F">
        <w:t xml:space="preserve">Praha - </w:t>
      </w:r>
      <w:r w:rsidR="00653A4A">
        <w:t>Dejvice 16080, Praha</w:t>
      </w:r>
      <w:r w:rsidR="009372C6">
        <w:rPr>
          <w:rFonts w:cstheme="minorHAnsi"/>
        </w:rPr>
        <w:t xml:space="preserve"> </w:t>
      </w:r>
      <w:r w:rsidRPr="000465F1">
        <w:rPr>
          <w:color w:val="000000" w:themeColor="text1"/>
        </w:rPr>
        <w:t xml:space="preserve">ve dnech: </w:t>
      </w:r>
      <w:r w:rsidR="00653A4A">
        <w:rPr>
          <w:color w:val="000000" w:themeColor="text1"/>
        </w:rPr>
        <w:t>12. 10.</w:t>
      </w:r>
      <w:r w:rsidR="0060767C">
        <w:rPr>
          <w:color w:val="000000" w:themeColor="text1"/>
        </w:rPr>
        <w:t xml:space="preserve"> 202</w:t>
      </w:r>
      <w:r w:rsidR="00653A4A">
        <w:rPr>
          <w:color w:val="000000" w:themeColor="text1"/>
        </w:rPr>
        <w:t>0</w:t>
      </w:r>
      <w:r w:rsidR="00FA1E94">
        <w:rPr>
          <w:color w:val="000000" w:themeColor="text1"/>
        </w:rPr>
        <w:t xml:space="preserve"> </w:t>
      </w:r>
      <w:r w:rsidR="00653A4A">
        <w:rPr>
          <w:color w:val="000000" w:themeColor="text1"/>
        </w:rPr>
        <w:t>–</w:t>
      </w:r>
      <w:r w:rsidR="0060767C">
        <w:rPr>
          <w:color w:val="000000" w:themeColor="text1"/>
        </w:rPr>
        <w:t xml:space="preserve"> </w:t>
      </w:r>
      <w:r w:rsidR="00653A4A">
        <w:rPr>
          <w:color w:val="000000" w:themeColor="text1"/>
        </w:rPr>
        <w:t>15. 1. 2021</w:t>
      </w:r>
      <w:r w:rsidR="007B4349">
        <w:rPr>
          <w:color w:val="000000" w:themeColor="text1"/>
        </w:rPr>
        <w:t>.</w:t>
      </w:r>
    </w:p>
    <w:p w14:paraId="50C77363" w14:textId="77777777" w:rsidR="00653A4A" w:rsidRDefault="00653A4A" w:rsidP="00653A4A">
      <w:pPr>
        <w:pStyle w:val="Odstavecseseznamem"/>
        <w:spacing w:after="0" w:line="240" w:lineRule="auto"/>
        <w:ind w:left="567"/>
        <w:jc w:val="both"/>
        <w:rPr>
          <w:color w:val="000000" w:themeColor="text1"/>
        </w:rPr>
      </w:pPr>
    </w:p>
    <w:p w14:paraId="289A08B0" w14:textId="77777777" w:rsidR="000465F1" w:rsidRPr="00E100B8" w:rsidRDefault="000465F1" w:rsidP="000465F1">
      <w:pPr>
        <w:jc w:val="both"/>
        <w:rPr>
          <w:rFonts w:cstheme="minorHAnsi"/>
          <w:b/>
        </w:rPr>
      </w:pPr>
    </w:p>
    <w:p w14:paraId="384C12A4" w14:textId="77777777" w:rsidR="000465F1" w:rsidRDefault="000465F1" w:rsidP="00042A10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III.</w:t>
      </w:r>
    </w:p>
    <w:p w14:paraId="5973FB16" w14:textId="77777777" w:rsidR="000465F1" w:rsidRPr="00B0037C" w:rsidRDefault="000465F1" w:rsidP="00042A10">
      <w:pPr>
        <w:spacing w:after="0" w:line="240" w:lineRule="auto"/>
        <w:jc w:val="center"/>
        <w:rPr>
          <w:b/>
          <w:color w:val="000000" w:themeColor="text1"/>
        </w:rPr>
      </w:pPr>
      <w:r w:rsidRPr="00B0037C">
        <w:rPr>
          <w:b/>
          <w:color w:val="000000" w:themeColor="text1"/>
        </w:rPr>
        <w:t>Orientační harmonogram výstavy</w:t>
      </w:r>
    </w:p>
    <w:p w14:paraId="7ADB1386" w14:textId="02DDA9BF" w:rsidR="000465F1" w:rsidRPr="00B0037C" w:rsidRDefault="0060767C" w:rsidP="000465F1">
      <w:pPr>
        <w:pStyle w:val="Odstavecseseznamem"/>
        <w:numPr>
          <w:ilvl w:val="0"/>
          <w:numId w:val="12"/>
        </w:numPr>
        <w:tabs>
          <w:tab w:val="left" w:pos="142"/>
        </w:tabs>
        <w:spacing w:after="0" w:line="240" w:lineRule="auto"/>
        <w:ind w:left="567" w:hanging="567"/>
        <w:outlineLvl w:val="0"/>
        <w:rPr>
          <w:rFonts w:cstheme="minorHAnsi"/>
        </w:rPr>
      </w:pPr>
      <w:r w:rsidRPr="00B0037C">
        <w:rPr>
          <w:rFonts w:cstheme="minorHAnsi"/>
        </w:rPr>
        <w:t xml:space="preserve">Instalace výstavy </w:t>
      </w:r>
      <w:r w:rsidRPr="00B0037C">
        <w:rPr>
          <w:rFonts w:cstheme="minorHAnsi"/>
        </w:rPr>
        <w:tab/>
        <w:t xml:space="preserve"> - </w:t>
      </w:r>
      <w:r w:rsidRPr="00B0037C">
        <w:rPr>
          <w:rFonts w:cstheme="minorHAnsi"/>
        </w:rPr>
        <w:tab/>
      </w:r>
      <w:r w:rsidR="00B0037C">
        <w:rPr>
          <w:rFonts w:cstheme="minorHAnsi"/>
        </w:rPr>
        <w:t xml:space="preserve">10. 10. – </w:t>
      </w:r>
      <w:r w:rsidR="00A8365D" w:rsidRPr="00B0037C">
        <w:rPr>
          <w:rFonts w:cstheme="minorHAnsi"/>
        </w:rPr>
        <w:t>11. 10. 2020</w:t>
      </w:r>
      <w:r w:rsidR="000465F1" w:rsidRPr="00B0037C">
        <w:rPr>
          <w:rFonts w:cstheme="minorHAnsi"/>
        </w:rPr>
        <w:t xml:space="preserve"> </w:t>
      </w:r>
    </w:p>
    <w:p w14:paraId="418902A0" w14:textId="6805904A" w:rsidR="000465F1" w:rsidRPr="00B0037C" w:rsidRDefault="000465F1" w:rsidP="000465F1">
      <w:pPr>
        <w:pStyle w:val="Odstavecseseznamem"/>
        <w:numPr>
          <w:ilvl w:val="0"/>
          <w:numId w:val="12"/>
        </w:numPr>
        <w:tabs>
          <w:tab w:val="left" w:pos="142"/>
        </w:tabs>
        <w:spacing w:after="0" w:line="240" w:lineRule="auto"/>
        <w:ind w:left="567" w:hanging="567"/>
        <w:outlineLvl w:val="0"/>
        <w:rPr>
          <w:rFonts w:cstheme="minorHAnsi"/>
        </w:rPr>
      </w:pPr>
      <w:r w:rsidRPr="00B0037C">
        <w:rPr>
          <w:rFonts w:cstheme="minorHAnsi"/>
        </w:rPr>
        <w:t>Vernisáž</w:t>
      </w:r>
      <w:r w:rsidRPr="00B0037C">
        <w:rPr>
          <w:rFonts w:cstheme="minorHAnsi"/>
        </w:rPr>
        <w:tab/>
      </w:r>
      <w:r w:rsidRPr="00B0037C">
        <w:rPr>
          <w:rFonts w:cstheme="minorHAnsi"/>
        </w:rPr>
        <w:tab/>
        <w:t xml:space="preserve"> - </w:t>
      </w:r>
      <w:r w:rsidRPr="00B0037C">
        <w:rPr>
          <w:rFonts w:cstheme="minorHAnsi"/>
        </w:rPr>
        <w:tab/>
      </w:r>
      <w:r w:rsidR="00A8365D" w:rsidRPr="00B0037C">
        <w:rPr>
          <w:rFonts w:cstheme="minorHAnsi"/>
        </w:rPr>
        <w:t>není</w:t>
      </w:r>
      <w:r w:rsidRPr="00B0037C">
        <w:rPr>
          <w:rFonts w:cstheme="minorHAnsi"/>
        </w:rPr>
        <w:tab/>
      </w:r>
      <w:r w:rsidRPr="00B0037C">
        <w:rPr>
          <w:rFonts w:cstheme="minorHAnsi"/>
        </w:rPr>
        <w:tab/>
      </w:r>
    </w:p>
    <w:p w14:paraId="40369336" w14:textId="64136333" w:rsidR="000465F1" w:rsidRPr="00B0037C" w:rsidRDefault="000465F1" w:rsidP="000465F1">
      <w:pPr>
        <w:pStyle w:val="Odstavecseseznamem"/>
        <w:numPr>
          <w:ilvl w:val="0"/>
          <w:numId w:val="12"/>
        </w:numPr>
        <w:tabs>
          <w:tab w:val="left" w:pos="142"/>
        </w:tabs>
        <w:spacing w:after="0" w:line="240" w:lineRule="auto"/>
        <w:ind w:left="567" w:hanging="567"/>
        <w:outlineLvl w:val="0"/>
        <w:rPr>
          <w:rFonts w:cstheme="minorHAnsi"/>
        </w:rPr>
      </w:pPr>
      <w:r w:rsidRPr="00B0037C">
        <w:rPr>
          <w:rFonts w:cstheme="minorHAnsi"/>
        </w:rPr>
        <w:t>Průběh v</w:t>
      </w:r>
      <w:r w:rsidR="0060767C" w:rsidRPr="00B0037C">
        <w:rPr>
          <w:rFonts w:cstheme="minorHAnsi"/>
        </w:rPr>
        <w:t>ýstavy</w:t>
      </w:r>
      <w:r w:rsidR="0060767C" w:rsidRPr="00B0037C">
        <w:rPr>
          <w:rFonts w:cstheme="minorHAnsi"/>
        </w:rPr>
        <w:tab/>
        <w:t xml:space="preserve"> - </w:t>
      </w:r>
      <w:r w:rsidR="0060767C" w:rsidRPr="00B0037C">
        <w:rPr>
          <w:rFonts w:cstheme="minorHAnsi"/>
        </w:rPr>
        <w:tab/>
      </w:r>
      <w:r w:rsidR="00B0037C">
        <w:rPr>
          <w:rFonts w:cstheme="minorHAnsi"/>
        </w:rPr>
        <w:t xml:space="preserve">12. 10. 2020 – </w:t>
      </w:r>
      <w:r w:rsidR="00A8365D" w:rsidRPr="00B0037C">
        <w:rPr>
          <w:rFonts w:cstheme="minorHAnsi"/>
        </w:rPr>
        <w:t>15. 1. 2021</w:t>
      </w:r>
    </w:p>
    <w:p w14:paraId="08BA455A" w14:textId="5D3CFF25" w:rsidR="000465F1" w:rsidRPr="00B0037C" w:rsidRDefault="000465F1" w:rsidP="000465F1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rPr>
          <w:rFonts w:cstheme="minorHAnsi"/>
        </w:rPr>
      </w:pPr>
      <w:proofErr w:type="spellStart"/>
      <w:r w:rsidRPr="00B0037C">
        <w:rPr>
          <w:rFonts w:cstheme="minorHAnsi"/>
        </w:rPr>
        <w:t>D</w:t>
      </w:r>
      <w:r w:rsidR="00653A4A" w:rsidRPr="00B0037C">
        <w:rPr>
          <w:rFonts w:cstheme="minorHAnsi"/>
        </w:rPr>
        <w:t>einstalace</w:t>
      </w:r>
      <w:proofErr w:type="spellEnd"/>
      <w:r w:rsidR="00653A4A" w:rsidRPr="00B0037C">
        <w:rPr>
          <w:rFonts w:cstheme="minorHAnsi"/>
        </w:rPr>
        <w:t xml:space="preserve"> a odvoz</w:t>
      </w:r>
      <w:r w:rsidR="00D61881" w:rsidRPr="00B0037C">
        <w:rPr>
          <w:rFonts w:cstheme="minorHAnsi"/>
        </w:rPr>
        <w:t xml:space="preserve"> výstavy </w:t>
      </w:r>
      <w:r w:rsidRPr="00B0037C">
        <w:rPr>
          <w:rFonts w:cstheme="minorHAnsi"/>
        </w:rPr>
        <w:t xml:space="preserve"> - </w:t>
      </w:r>
      <w:r w:rsidRPr="00B0037C">
        <w:rPr>
          <w:rFonts w:cstheme="minorHAnsi"/>
        </w:rPr>
        <w:tab/>
      </w:r>
      <w:r w:rsidR="00B0037C">
        <w:rPr>
          <w:rFonts w:cstheme="minorHAnsi"/>
        </w:rPr>
        <w:t xml:space="preserve">16. 1. – </w:t>
      </w:r>
      <w:r w:rsidR="00A8365D" w:rsidRPr="00B0037C">
        <w:rPr>
          <w:rFonts w:cstheme="minorHAnsi"/>
        </w:rPr>
        <w:t>20. 1. 2021</w:t>
      </w:r>
    </w:p>
    <w:p w14:paraId="6D035327" w14:textId="424F4A18" w:rsidR="000465F1" w:rsidRPr="005B0BAB" w:rsidRDefault="005B0BAB" w:rsidP="004A6B0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0037C">
        <w:rPr>
          <w:rFonts w:cstheme="minorHAnsi"/>
        </w:rPr>
        <w:t xml:space="preserve">Výstava bude přístupná ve dnech </w:t>
      </w:r>
      <w:r w:rsidR="00A8365D" w:rsidRPr="00B0037C">
        <w:rPr>
          <w:rFonts w:cstheme="minorHAnsi"/>
        </w:rPr>
        <w:t>úterý-neděle</w:t>
      </w:r>
      <w:r w:rsidRPr="00B0037C">
        <w:rPr>
          <w:rFonts w:cstheme="minorHAnsi"/>
        </w:rPr>
        <w:t xml:space="preserve"> od </w:t>
      </w:r>
      <w:r w:rsidR="00A8365D" w:rsidRPr="00B0037C">
        <w:rPr>
          <w:rFonts w:cstheme="minorHAnsi"/>
        </w:rPr>
        <w:t>10</w:t>
      </w:r>
      <w:r w:rsidRPr="00B0037C">
        <w:rPr>
          <w:rFonts w:cstheme="minorHAnsi"/>
        </w:rPr>
        <w:t xml:space="preserve"> do</w:t>
      </w:r>
      <w:r w:rsidR="00A8365D" w:rsidRPr="00B0037C">
        <w:rPr>
          <w:rFonts w:cstheme="minorHAnsi"/>
        </w:rPr>
        <w:t xml:space="preserve"> 18 hodin</w:t>
      </w:r>
      <w:r w:rsidRPr="00B0037C">
        <w:rPr>
          <w:rFonts w:cstheme="minorHAnsi"/>
        </w:rPr>
        <w:t>,</w:t>
      </w:r>
      <w:r>
        <w:rPr>
          <w:rFonts w:cstheme="minorHAnsi"/>
        </w:rPr>
        <w:t xml:space="preserve"> nebude-li</w:t>
      </w:r>
      <w:r w:rsidR="004A6B0D">
        <w:rPr>
          <w:rFonts w:cstheme="minorHAnsi"/>
        </w:rPr>
        <w:t xml:space="preserve"> nezbytné</w:t>
      </w:r>
      <w:r>
        <w:rPr>
          <w:rFonts w:cstheme="minorHAnsi"/>
        </w:rPr>
        <w:t xml:space="preserve"> v důsledku </w:t>
      </w:r>
      <w:r w:rsidR="004A6B0D">
        <w:rPr>
          <w:rFonts w:cstheme="minorHAnsi"/>
        </w:rPr>
        <w:t xml:space="preserve">platných </w:t>
      </w:r>
      <w:r>
        <w:rPr>
          <w:rFonts w:cstheme="minorHAnsi"/>
        </w:rPr>
        <w:t xml:space="preserve">opatření k zamezení šíření </w:t>
      </w:r>
      <w:proofErr w:type="spellStart"/>
      <w:r>
        <w:rPr>
          <w:rFonts w:cstheme="minorHAnsi"/>
        </w:rPr>
        <w:t>koronaviru</w:t>
      </w:r>
      <w:proofErr w:type="spellEnd"/>
      <w:r>
        <w:rPr>
          <w:rFonts w:cstheme="minorHAnsi"/>
        </w:rPr>
        <w:t xml:space="preserve"> </w:t>
      </w:r>
      <w:r w:rsidR="001E122B">
        <w:rPr>
          <w:rFonts w:cstheme="minorHAnsi"/>
        </w:rPr>
        <w:t xml:space="preserve">přístupnost výstavy změnit či omezit. V takovém případě kontaktní osoby smluvních stran sjednají úpravu přístupnosti výstavy tak, aby byla všechna </w:t>
      </w:r>
      <w:r w:rsidR="00B90B8D">
        <w:rPr>
          <w:rFonts w:cstheme="minorHAnsi"/>
        </w:rPr>
        <w:t>závazná opatření</w:t>
      </w:r>
      <w:r w:rsidR="001E122B">
        <w:rPr>
          <w:rFonts w:cstheme="minorHAnsi"/>
        </w:rPr>
        <w:t xml:space="preserve"> dodržena.</w:t>
      </w:r>
      <w:r>
        <w:rPr>
          <w:rFonts w:cstheme="minorHAnsi"/>
        </w:rPr>
        <w:t xml:space="preserve"> </w:t>
      </w:r>
      <w:r w:rsidR="004A6B0D">
        <w:rPr>
          <w:rFonts w:cstheme="minorHAnsi"/>
        </w:rPr>
        <w:t xml:space="preserve">Žádná ze smluvních stran nemá vůči druhé smluvní straně nárok na náhradu škody či jiných nákladů vzniklých v souvislosti s omezením výstavy z důvodů opatření k zamezení šíření </w:t>
      </w:r>
      <w:proofErr w:type="spellStart"/>
      <w:r w:rsidR="004A6B0D">
        <w:rPr>
          <w:rFonts w:cstheme="minorHAnsi"/>
        </w:rPr>
        <w:t>koronaviru</w:t>
      </w:r>
      <w:proofErr w:type="spellEnd"/>
      <w:r w:rsidR="004A6B0D">
        <w:rPr>
          <w:rFonts w:cstheme="minorHAnsi"/>
        </w:rPr>
        <w:t>.</w:t>
      </w:r>
    </w:p>
    <w:p w14:paraId="3399E79E" w14:textId="77777777" w:rsidR="000465F1" w:rsidRDefault="000465F1" w:rsidP="000465F1">
      <w:pPr>
        <w:spacing w:after="0" w:line="240" w:lineRule="auto"/>
        <w:rPr>
          <w:rFonts w:cstheme="minorHAnsi"/>
        </w:rPr>
      </w:pPr>
    </w:p>
    <w:p w14:paraId="1B80EC73" w14:textId="77777777" w:rsidR="00B90B8D" w:rsidRDefault="000465F1" w:rsidP="000465F1">
      <w:pPr>
        <w:spacing w:after="0" w:line="240" w:lineRule="auto"/>
        <w:rPr>
          <w:rFonts w:cstheme="minorHAnsi"/>
        </w:rPr>
      </w:pPr>
      <w:r w:rsidRPr="00E100B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2577A55" w14:textId="3BFBABA1" w:rsidR="000465F1" w:rsidRPr="000465F1" w:rsidRDefault="000465F1" w:rsidP="00B90B8D">
      <w:pPr>
        <w:spacing w:after="0" w:line="240" w:lineRule="auto"/>
        <w:jc w:val="center"/>
        <w:rPr>
          <w:b/>
          <w:color w:val="000000" w:themeColor="text1"/>
        </w:rPr>
      </w:pPr>
      <w:r>
        <w:rPr>
          <w:rFonts w:cstheme="minorHAnsi"/>
          <w:b/>
        </w:rPr>
        <w:t>IV.</w:t>
      </w:r>
    </w:p>
    <w:p w14:paraId="60FCD1DD" w14:textId="77777777" w:rsidR="0096248D" w:rsidRPr="00285739" w:rsidRDefault="0096248D" w:rsidP="00042A10">
      <w:pPr>
        <w:spacing w:after="0" w:line="240" w:lineRule="auto"/>
        <w:jc w:val="center"/>
        <w:rPr>
          <w:b/>
          <w:color w:val="000000" w:themeColor="text1"/>
        </w:rPr>
      </w:pPr>
      <w:r w:rsidRPr="00285739">
        <w:rPr>
          <w:b/>
          <w:color w:val="000000" w:themeColor="text1"/>
        </w:rPr>
        <w:t>Práva o povinnosti smluvních stran</w:t>
      </w:r>
    </w:p>
    <w:p w14:paraId="5E0BF3F5" w14:textId="77777777" w:rsidR="00FA1366" w:rsidRPr="00285739" w:rsidRDefault="00FA1366" w:rsidP="000465F1">
      <w:pPr>
        <w:pStyle w:val="Odstavecseseznamem"/>
        <w:jc w:val="both"/>
        <w:rPr>
          <w:color w:val="000000" w:themeColor="text1"/>
        </w:rPr>
      </w:pPr>
    </w:p>
    <w:p w14:paraId="0B9AF4B2" w14:textId="5C96AE30" w:rsidR="000465F1" w:rsidRPr="00285739" w:rsidRDefault="00653A4A" w:rsidP="004A6B0D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NTK</w:t>
      </w:r>
      <w:r w:rsidR="00FA1366" w:rsidRPr="00285739">
        <w:rPr>
          <w:color w:val="000000" w:themeColor="text1"/>
        </w:rPr>
        <w:t xml:space="preserve"> </w:t>
      </w:r>
      <w:r w:rsidR="000465F1" w:rsidRPr="00285739">
        <w:rPr>
          <w:color w:val="000000" w:themeColor="text1"/>
        </w:rPr>
        <w:t>zajistí na své náklady:</w:t>
      </w:r>
    </w:p>
    <w:p w14:paraId="52A9F959" w14:textId="1C1933A2" w:rsidR="00FA1366" w:rsidRPr="00285739" w:rsidRDefault="00653A4A" w:rsidP="004A6B0D">
      <w:pPr>
        <w:pStyle w:val="Odstavecseseznamem"/>
        <w:numPr>
          <w:ilvl w:val="0"/>
          <w:numId w:val="13"/>
        </w:numPr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v</w:t>
      </w:r>
      <w:r w:rsidR="00E212E9" w:rsidRPr="00285739">
        <w:rPr>
          <w:rFonts w:eastAsia="Times New Roman"/>
          <w:color w:val="000000" w:themeColor="text1"/>
        </w:rPr>
        <w:t xml:space="preserve">ýstavní </w:t>
      </w:r>
      <w:r w:rsidR="0043143A" w:rsidRPr="00285739">
        <w:rPr>
          <w:rFonts w:eastAsia="Times New Roman"/>
          <w:color w:val="000000" w:themeColor="text1"/>
        </w:rPr>
        <w:t xml:space="preserve">prostory </w:t>
      </w:r>
      <w:r w:rsidR="00A8365D">
        <w:rPr>
          <w:rFonts w:eastAsia="Times New Roman"/>
          <w:color w:val="000000" w:themeColor="text1"/>
        </w:rPr>
        <w:t>Galerie NTK</w:t>
      </w:r>
      <w:r>
        <w:rPr>
          <w:rFonts w:eastAsia="Times New Roman"/>
          <w:color w:val="000000" w:themeColor="text1"/>
        </w:rPr>
        <w:t xml:space="preserve"> včetně poskytnutí zázemí (elektřina,</w:t>
      </w:r>
      <w:r w:rsidR="005B0BAB">
        <w:rPr>
          <w:rFonts w:eastAsia="Times New Roman"/>
          <w:color w:val="000000" w:themeColor="text1"/>
        </w:rPr>
        <w:t xml:space="preserve"> osvětlení,</w:t>
      </w:r>
      <w:r>
        <w:rPr>
          <w:rFonts w:eastAsia="Times New Roman"/>
          <w:color w:val="000000" w:themeColor="text1"/>
        </w:rPr>
        <w:t xml:space="preserve"> vytápění, toalety pro návštěvníky)</w:t>
      </w:r>
      <w:r w:rsidR="005B0BAB">
        <w:rPr>
          <w:rFonts w:eastAsia="Times New Roman"/>
          <w:color w:val="000000" w:themeColor="text1"/>
        </w:rPr>
        <w:t>,</w:t>
      </w:r>
    </w:p>
    <w:p w14:paraId="5DCFBD5F" w14:textId="7388F98E" w:rsidR="000465F1" w:rsidRPr="00285739" w:rsidRDefault="00B20078" w:rsidP="004A6B0D">
      <w:pPr>
        <w:pStyle w:val="Odstavecseseznamem"/>
        <w:numPr>
          <w:ilvl w:val="0"/>
          <w:numId w:val="13"/>
        </w:numPr>
        <w:jc w:val="both"/>
        <w:rPr>
          <w:color w:val="000000" w:themeColor="text1"/>
        </w:rPr>
      </w:pPr>
      <w:r w:rsidRPr="00285739">
        <w:rPr>
          <w:color w:val="000000" w:themeColor="text1"/>
        </w:rPr>
        <w:t>dohled</w:t>
      </w:r>
      <w:r w:rsidR="00B90B8D">
        <w:rPr>
          <w:color w:val="000000" w:themeColor="text1"/>
        </w:rPr>
        <w:t xml:space="preserve"> nad</w:t>
      </w:r>
      <w:r w:rsidRPr="00285739">
        <w:rPr>
          <w:color w:val="000000" w:themeColor="text1"/>
        </w:rPr>
        <w:t xml:space="preserve"> </w:t>
      </w:r>
      <w:r w:rsidR="00B90B8D">
        <w:rPr>
          <w:color w:val="000000" w:themeColor="text1"/>
        </w:rPr>
        <w:t>výstavními</w:t>
      </w:r>
      <w:r w:rsidR="00BA750B" w:rsidRPr="00285739">
        <w:rPr>
          <w:color w:val="000000" w:themeColor="text1"/>
        </w:rPr>
        <w:t xml:space="preserve"> prostor</w:t>
      </w:r>
      <w:r w:rsidR="00B90B8D">
        <w:rPr>
          <w:color w:val="000000" w:themeColor="text1"/>
        </w:rPr>
        <w:t>ami</w:t>
      </w:r>
      <w:r w:rsidR="00653A4A">
        <w:rPr>
          <w:color w:val="000000" w:themeColor="text1"/>
        </w:rPr>
        <w:t xml:space="preserve"> (ostraha)</w:t>
      </w:r>
      <w:r w:rsidR="00BA750B" w:rsidRPr="00285739">
        <w:rPr>
          <w:color w:val="000000" w:themeColor="text1"/>
        </w:rPr>
        <w:t xml:space="preserve"> s instalací výše zmíněné výstavy</w:t>
      </w:r>
      <w:r w:rsidR="00653A4A">
        <w:rPr>
          <w:color w:val="000000" w:themeColor="text1"/>
        </w:rPr>
        <w:t xml:space="preserve"> po celou dobu konání výstavy</w:t>
      </w:r>
      <w:r w:rsidR="000465F1" w:rsidRPr="00285739">
        <w:rPr>
          <w:color w:val="000000" w:themeColor="text1"/>
        </w:rPr>
        <w:t xml:space="preserve"> </w:t>
      </w:r>
      <w:r w:rsidR="004A6B0D">
        <w:rPr>
          <w:color w:val="000000" w:themeColor="text1"/>
        </w:rPr>
        <w:t>včetně dohledu na dodržování platných hygienických opatření ze strany návštěvníků výstavy.</w:t>
      </w:r>
    </w:p>
    <w:p w14:paraId="2A0365CB" w14:textId="68DAA4A9" w:rsidR="00BA750B" w:rsidRPr="00E02118" w:rsidRDefault="00653A4A" w:rsidP="004A6B0D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NPÚ zajistí kompletní realizaci výstavy včetně zapůjčení, instalace a </w:t>
      </w:r>
      <w:proofErr w:type="spellStart"/>
      <w:r>
        <w:rPr>
          <w:color w:val="000000" w:themeColor="text1"/>
        </w:rPr>
        <w:t>deinstalace</w:t>
      </w:r>
      <w:proofErr w:type="spellEnd"/>
      <w:r>
        <w:rPr>
          <w:color w:val="000000" w:themeColor="text1"/>
        </w:rPr>
        <w:t xml:space="preserve"> exponátů</w:t>
      </w:r>
      <w:r w:rsidR="00B90B8D">
        <w:rPr>
          <w:color w:val="000000" w:themeColor="text1"/>
        </w:rPr>
        <w:t xml:space="preserve"> výstavy</w:t>
      </w:r>
      <w:r>
        <w:rPr>
          <w:color w:val="000000" w:themeColor="text1"/>
        </w:rPr>
        <w:t xml:space="preserve">. </w:t>
      </w:r>
    </w:p>
    <w:p w14:paraId="20B84426" w14:textId="77777777" w:rsidR="00B90B8D" w:rsidRDefault="00D61881" w:rsidP="004A6B0D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 w:rsidRPr="00566B01">
        <w:rPr>
          <w:color w:val="000000" w:themeColor="text1"/>
        </w:rPr>
        <w:t>NPÚ</w:t>
      </w:r>
      <w:r w:rsidR="00B90B8D">
        <w:rPr>
          <w:color w:val="000000" w:themeColor="text1"/>
        </w:rPr>
        <w:t xml:space="preserve"> </w:t>
      </w:r>
      <w:r w:rsidRPr="00566B01">
        <w:rPr>
          <w:color w:val="000000" w:themeColor="text1"/>
        </w:rPr>
        <w:t xml:space="preserve">i </w:t>
      </w:r>
      <w:r w:rsidR="00653A4A">
        <w:rPr>
          <w:color w:val="000000" w:themeColor="text1"/>
        </w:rPr>
        <w:t xml:space="preserve">NTK </w:t>
      </w:r>
      <w:r w:rsidRPr="00566B01">
        <w:rPr>
          <w:color w:val="000000" w:themeColor="text1"/>
        </w:rPr>
        <w:t>se zavazují prezentovat konání výstavy na svých webových stránkách a prostřed</w:t>
      </w:r>
      <w:r w:rsidR="00F91165" w:rsidRPr="00566B01">
        <w:rPr>
          <w:color w:val="000000" w:themeColor="text1"/>
        </w:rPr>
        <w:t>nictvím sociálních sítí</w:t>
      </w:r>
      <w:r w:rsidR="00BA750B" w:rsidRPr="00566B01">
        <w:rPr>
          <w:color w:val="000000" w:themeColor="text1"/>
        </w:rPr>
        <w:t>, kde má příslušná instituce založený propagační profil</w:t>
      </w:r>
      <w:r w:rsidR="00F91165" w:rsidRPr="00566B01">
        <w:rPr>
          <w:color w:val="000000" w:themeColor="text1"/>
        </w:rPr>
        <w:t xml:space="preserve"> (</w:t>
      </w:r>
      <w:r w:rsidR="00BA750B" w:rsidRPr="00566B01">
        <w:rPr>
          <w:color w:val="000000" w:themeColor="text1"/>
        </w:rPr>
        <w:t xml:space="preserve">př. </w:t>
      </w:r>
      <w:proofErr w:type="spellStart"/>
      <w:r w:rsidR="00F91165" w:rsidRPr="00566B01">
        <w:rPr>
          <w:color w:val="000000" w:themeColor="text1"/>
        </w:rPr>
        <w:t>Facebook</w:t>
      </w:r>
      <w:proofErr w:type="spellEnd"/>
      <w:r w:rsidR="00BA750B" w:rsidRPr="00566B01">
        <w:rPr>
          <w:color w:val="000000" w:themeColor="text1"/>
        </w:rPr>
        <w:t xml:space="preserve">, </w:t>
      </w:r>
      <w:proofErr w:type="spellStart"/>
      <w:r w:rsidR="00BA750B" w:rsidRPr="00566B01">
        <w:rPr>
          <w:color w:val="000000" w:themeColor="text1"/>
        </w:rPr>
        <w:t>Twiter</w:t>
      </w:r>
      <w:proofErr w:type="spellEnd"/>
      <w:r w:rsidR="00BA750B" w:rsidRPr="00566B01">
        <w:rPr>
          <w:color w:val="000000" w:themeColor="text1"/>
        </w:rPr>
        <w:t xml:space="preserve">, </w:t>
      </w:r>
      <w:proofErr w:type="spellStart"/>
      <w:r w:rsidR="00BA750B" w:rsidRPr="00566B01">
        <w:rPr>
          <w:color w:val="000000" w:themeColor="text1"/>
        </w:rPr>
        <w:t>Instagram</w:t>
      </w:r>
      <w:proofErr w:type="spellEnd"/>
      <w:r w:rsidR="00F91165" w:rsidRPr="00566B01">
        <w:rPr>
          <w:color w:val="000000" w:themeColor="text1"/>
        </w:rPr>
        <w:t>).</w:t>
      </w:r>
      <w:r w:rsidR="007569B6" w:rsidRPr="00566B01">
        <w:rPr>
          <w:color w:val="000000" w:themeColor="text1"/>
        </w:rPr>
        <w:t xml:space="preserve"> </w:t>
      </w:r>
    </w:p>
    <w:p w14:paraId="408A60BC" w14:textId="6D182806" w:rsidR="00D61881" w:rsidRPr="00566B01" w:rsidRDefault="007569B6" w:rsidP="004A6B0D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 w:rsidRPr="00566B01">
        <w:rPr>
          <w:color w:val="000000" w:themeColor="text1"/>
        </w:rPr>
        <w:t>Obě smluvní strany jsou oprávněny pořizovat v prostorách výstavy fotografický, audiovizuální nebo jiný záznam za účelem své propagace, k dokumentaci výstavy pro potřeby závěrečných zpráv a přehledů apod.</w:t>
      </w:r>
    </w:p>
    <w:p w14:paraId="17ADED68" w14:textId="50450B64" w:rsidR="00D61881" w:rsidRPr="00D61881" w:rsidRDefault="00D61881" w:rsidP="004A6B0D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 w:rsidRPr="00D61881">
        <w:rPr>
          <w:rFonts w:cstheme="minorHAnsi"/>
        </w:rPr>
        <w:t>Pokud to bude nutné, bližší pod</w:t>
      </w:r>
      <w:r w:rsidR="00F22F56">
        <w:rPr>
          <w:rFonts w:cstheme="minorHAnsi"/>
        </w:rPr>
        <w:t>mínky přípravy, průběhu výstavy, edukačních programů,</w:t>
      </w:r>
      <w:r w:rsidR="00BA750B">
        <w:rPr>
          <w:rFonts w:cstheme="minorHAnsi"/>
        </w:rPr>
        <w:t xml:space="preserve"> </w:t>
      </w:r>
      <w:r w:rsidR="00653A4A">
        <w:rPr>
          <w:rFonts w:cstheme="minorHAnsi"/>
        </w:rPr>
        <w:t xml:space="preserve">případného </w:t>
      </w:r>
      <w:r w:rsidR="00BA750B">
        <w:rPr>
          <w:rFonts w:cstheme="minorHAnsi"/>
        </w:rPr>
        <w:t xml:space="preserve">prodeje vstupenek, jakož </w:t>
      </w:r>
      <w:r w:rsidRPr="00D61881">
        <w:rPr>
          <w:rFonts w:cstheme="minorHAnsi"/>
        </w:rPr>
        <w:t xml:space="preserve">i instalace a </w:t>
      </w:r>
      <w:proofErr w:type="spellStart"/>
      <w:r w:rsidRPr="00D61881">
        <w:rPr>
          <w:rFonts w:cstheme="minorHAnsi"/>
        </w:rPr>
        <w:t>deinstalace</w:t>
      </w:r>
      <w:proofErr w:type="spellEnd"/>
      <w:r w:rsidRPr="00D61881">
        <w:rPr>
          <w:rFonts w:cstheme="minorHAnsi"/>
        </w:rPr>
        <w:t xml:space="preserve"> výstavy si smluvní strany dohodnou operativně prostřednictvím oprávněných osob uvedených v čl. V</w:t>
      </w:r>
      <w:r w:rsidR="00FA1E94">
        <w:rPr>
          <w:rFonts w:cstheme="minorHAnsi"/>
        </w:rPr>
        <w:t>I</w:t>
      </w:r>
      <w:r w:rsidRPr="00D61881">
        <w:rPr>
          <w:rFonts w:cstheme="minorHAnsi"/>
        </w:rPr>
        <w:t xml:space="preserve">. </w:t>
      </w:r>
      <w:r w:rsidR="00B90B8D">
        <w:rPr>
          <w:rFonts w:cstheme="minorHAnsi"/>
        </w:rPr>
        <w:t>s</w:t>
      </w:r>
      <w:r w:rsidRPr="00D61881">
        <w:rPr>
          <w:rFonts w:cstheme="minorHAnsi"/>
        </w:rPr>
        <w:t>mlouvy.</w:t>
      </w:r>
    </w:p>
    <w:p w14:paraId="067971D9" w14:textId="45DC12D1" w:rsidR="0096248D" w:rsidRPr="00D61881" w:rsidRDefault="0096248D" w:rsidP="004A6B0D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 w:rsidRPr="00D61881">
        <w:rPr>
          <w:rFonts w:cs="Arial"/>
          <w:color w:val="000000" w:themeColor="text1"/>
        </w:rPr>
        <w:t>Obě zúčastněné strany jsou povinny jednat při realizaci vzájemné spolupráce dle této smlouvy vždy s ohledem na zachování dobrého jména druhé zúčastněné strany a s cílem naplnit účel této smlouvy, kterým je úspěšné a bezproblémové</w:t>
      </w:r>
      <w:r w:rsidR="00566B01">
        <w:rPr>
          <w:rFonts w:cs="Arial"/>
          <w:color w:val="000000" w:themeColor="text1"/>
        </w:rPr>
        <w:t xml:space="preserve"> uspořádání</w:t>
      </w:r>
      <w:r w:rsidRPr="00D61881">
        <w:rPr>
          <w:rFonts w:cs="Arial"/>
          <w:color w:val="000000" w:themeColor="text1"/>
        </w:rPr>
        <w:t xml:space="preserve"> </w:t>
      </w:r>
      <w:r w:rsidR="006D6F62" w:rsidRPr="00D61881">
        <w:rPr>
          <w:rFonts w:cs="Arial"/>
          <w:color w:val="000000" w:themeColor="text1"/>
        </w:rPr>
        <w:t>v</w:t>
      </w:r>
      <w:r w:rsidR="004358FA" w:rsidRPr="00D61881">
        <w:rPr>
          <w:rFonts w:cs="Arial"/>
          <w:color w:val="000000" w:themeColor="text1"/>
        </w:rPr>
        <w:t>ýstavy.</w:t>
      </w:r>
      <w:r w:rsidRPr="00D61881">
        <w:rPr>
          <w:rFonts w:cs="Arial"/>
          <w:color w:val="000000" w:themeColor="text1"/>
        </w:rPr>
        <w:t xml:space="preserve"> </w:t>
      </w:r>
    </w:p>
    <w:p w14:paraId="7C1134BF" w14:textId="77777777" w:rsidR="0096248D" w:rsidRPr="00266FA9" w:rsidRDefault="0096248D" w:rsidP="00266FA9">
      <w:pPr>
        <w:spacing w:after="0" w:line="240" w:lineRule="auto"/>
        <w:jc w:val="both"/>
        <w:rPr>
          <w:color w:val="000000" w:themeColor="text1"/>
        </w:rPr>
      </w:pPr>
    </w:p>
    <w:p w14:paraId="3B2175F4" w14:textId="77777777" w:rsidR="00F22F56" w:rsidRDefault="00F22F56" w:rsidP="00042A10">
      <w:pPr>
        <w:pStyle w:val="Odstavecseseznamem"/>
        <w:spacing w:after="0" w:line="240" w:lineRule="auto"/>
        <w:ind w:left="567" w:hanging="567"/>
        <w:jc w:val="center"/>
        <w:rPr>
          <w:b/>
          <w:color w:val="000000" w:themeColor="text1"/>
        </w:rPr>
      </w:pPr>
    </w:p>
    <w:p w14:paraId="0DB6E125" w14:textId="77777777" w:rsidR="00F22F56" w:rsidRDefault="00F22F56" w:rsidP="00042A10">
      <w:pPr>
        <w:pStyle w:val="Odstavecseseznamem"/>
        <w:spacing w:after="0" w:line="240" w:lineRule="auto"/>
        <w:ind w:left="567" w:hanging="567"/>
        <w:jc w:val="center"/>
        <w:rPr>
          <w:b/>
          <w:color w:val="000000" w:themeColor="text1"/>
        </w:rPr>
      </w:pPr>
    </w:p>
    <w:p w14:paraId="3BE7F134" w14:textId="77777777" w:rsidR="0096248D" w:rsidRDefault="0096248D" w:rsidP="00042A10">
      <w:pPr>
        <w:pStyle w:val="Odstavecseseznamem"/>
        <w:spacing w:after="0" w:line="240" w:lineRule="auto"/>
        <w:ind w:left="567" w:hanging="567"/>
        <w:jc w:val="center"/>
        <w:rPr>
          <w:b/>
          <w:color w:val="000000" w:themeColor="text1"/>
        </w:rPr>
      </w:pPr>
      <w:r w:rsidRPr="00042A10">
        <w:rPr>
          <w:b/>
          <w:color w:val="000000" w:themeColor="text1"/>
        </w:rPr>
        <w:t>V.</w:t>
      </w:r>
    </w:p>
    <w:p w14:paraId="4C1D2A89" w14:textId="77777777" w:rsidR="00F50092" w:rsidRPr="00E100B8" w:rsidRDefault="00F50092" w:rsidP="00F50092">
      <w:pPr>
        <w:tabs>
          <w:tab w:val="left" w:pos="142"/>
        </w:tabs>
        <w:jc w:val="center"/>
        <w:rPr>
          <w:rFonts w:cstheme="minorHAnsi"/>
          <w:b/>
        </w:rPr>
      </w:pPr>
      <w:r w:rsidRPr="00E100B8">
        <w:rPr>
          <w:rFonts w:cstheme="minorHAnsi"/>
          <w:b/>
        </w:rPr>
        <w:t>Finanční vyrovnání</w:t>
      </w:r>
    </w:p>
    <w:p w14:paraId="3966F98C" w14:textId="24F63CE4" w:rsidR="00763AFF" w:rsidRPr="00E100B8" w:rsidRDefault="00653A4A" w:rsidP="004A6B0D">
      <w:pPr>
        <w:pStyle w:val="Odstavecseseznamem"/>
        <w:numPr>
          <w:ilvl w:val="0"/>
          <w:numId w:val="23"/>
        </w:numPr>
        <w:tabs>
          <w:tab w:val="left" w:pos="-3828"/>
          <w:tab w:val="left" w:pos="-226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Vstup na výstavu je zdarma.</w:t>
      </w:r>
    </w:p>
    <w:p w14:paraId="0D94F233" w14:textId="7F0ABD65" w:rsidR="00F50092" w:rsidRPr="00E100B8" w:rsidRDefault="00F50092" w:rsidP="004A6B0D">
      <w:pPr>
        <w:pStyle w:val="Odstavecseseznamem"/>
        <w:numPr>
          <w:ilvl w:val="0"/>
          <w:numId w:val="23"/>
        </w:numPr>
        <w:tabs>
          <w:tab w:val="left" w:pos="-3828"/>
          <w:tab w:val="left" w:pos="-226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E100B8">
        <w:rPr>
          <w:rFonts w:cstheme="minorHAnsi"/>
        </w:rPr>
        <w:t xml:space="preserve">Pokud se za trvání této smlouvy vyskytne potřeba vynaložení dalších nákladů, které nebyly výslovně v této smlouvě dohodnuty, uhradí tyto náklady ta ze smluvních stran, která jejich plnění objednala anebo přijala. V takovém případě se nebude jednat o solidární závazky smluvních stran </w:t>
      </w:r>
      <w:r w:rsidRPr="00E100B8">
        <w:rPr>
          <w:rFonts w:cstheme="minorHAnsi"/>
        </w:rPr>
        <w:lastRenderedPageBreak/>
        <w:t>vyplývajících z této smlouvy. Smluvní strany konstatují, že z této smlouvy pro ně nevyplývá žádné finanční plnění vůči druhé smluvní straně vyjma případné náhrady škody.</w:t>
      </w:r>
    </w:p>
    <w:p w14:paraId="0573C4AF" w14:textId="4353932E" w:rsidR="00F50092" w:rsidRPr="00E100B8" w:rsidRDefault="00404DE3" w:rsidP="004A6B0D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NTK</w:t>
      </w:r>
      <w:r w:rsidR="00F50092" w:rsidRPr="00E100B8">
        <w:rPr>
          <w:rFonts w:cstheme="minorHAnsi"/>
        </w:rPr>
        <w:t xml:space="preserve"> odpovídá </w:t>
      </w:r>
      <w:r w:rsidR="00F9152E">
        <w:rPr>
          <w:rFonts w:cstheme="minorHAnsi"/>
        </w:rPr>
        <w:t xml:space="preserve">NPÚ </w:t>
      </w:r>
      <w:r w:rsidR="00F50092" w:rsidRPr="00E100B8">
        <w:rPr>
          <w:rFonts w:cstheme="minorHAnsi"/>
        </w:rPr>
        <w:t xml:space="preserve">za škodu případně vzniklou na </w:t>
      </w:r>
      <w:r>
        <w:rPr>
          <w:rFonts w:cstheme="minorHAnsi"/>
        </w:rPr>
        <w:t xml:space="preserve">exponátech </w:t>
      </w:r>
      <w:r w:rsidR="00F50092" w:rsidRPr="00E100B8">
        <w:rPr>
          <w:rFonts w:cstheme="minorHAnsi"/>
        </w:rPr>
        <w:t xml:space="preserve">nebo jiných částech výstavy, a to jak v průběhu instalace výstavy, jejího průběhu nebo během </w:t>
      </w:r>
      <w:proofErr w:type="spellStart"/>
      <w:r w:rsidR="00F50092" w:rsidRPr="00E100B8">
        <w:rPr>
          <w:rFonts w:cstheme="minorHAnsi"/>
        </w:rPr>
        <w:t>deinstalace</w:t>
      </w:r>
      <w:proofErr w:type="spellEnd"/>
      <w:r w:rsidR="00F50092" w:rsidRPr="00E100B8">
        <w:rPr>
          <w:rFonts w:cstheme="minorHAnsi"/>
        </w:rPr>
        <w:t xml:space="preserve"> výstavy s výjimkou škody způsobené </w:t>
      </w:r>
      <w:r w:rsidR="00F50092">
        <w:rPr>
          <w:rFonts w:cstheme="minorHAnsi"/>
        </w:rPr>
        <w:t xml:space="preserve">NPÚ </w:t>
      </w:r>
      <w:r w:rsidR="00F50092" w:rsidRPr="00E100B8">
        <w:rPr>
          <w:rFonts w:cstheme="minorHAnsi"/>
        </w:rPr>
        <w:t>nebo jím pověřenými osobami. Pro případ řešení škody vzniklé na vypůjčených exponátech, smluv</w:t>
      </w:r>
      <w:r w:rsidR="00F50092">
        <w:rPr>
          <w:rFonts w:cstheme="minorHAnsi"/>
        </w:rPr>
        <w:t>ní strany konstatují, že hodnoty zapůjč</w:t>
      </w:r>
      <w:r w:rsidR="00C26817">
        <w:rPr>
          <w:rFonts w:cstheme="minorHAnsi"/>
        </w:rPr>
        <w:t>ených exponátů jsou vyčísleny ve výpůjčních smlouvách.</w:t>
      </w:r>
      <w:r w:rsidR="00C26817" w:rsidRPr="00E100B8">
        <w:rPr>
          <w:rFonts w:cstheme="minorHAnsi"/>
        </w:rPr>
        <w:t xml:space="preserve"> </w:t>
      </w:r>
    </w:p>
    <w:p w14:paraId="454D1E21" w14:textId="77777777" w:rsidR="00F50092" w:rsidRDefault="00F50092" w:rsidP="00042A10">
      <w:pPr>
        <w:pStyle w:val="Odstavecseseznamem"/>
        <w:spacing w:after="0" w:line="240" w:lineRule="auto"/>
        <w:ind w:left="567" w:hanging="567"/>
        <w:jc w:val="center"/>
        <w:rPr>
          <w:b/>
          <w:color w:val="000000" w:themeColor="text1"/>
        </w:rPr>
      </w:pPr>
    </w:p>
    <w:p w14:paraId="3A89A670" w14:textId="77777777" w:rsidR="00A97059" w:rsidRDefault="00A97059" w:rsidP="00042A10">
      <w:pPr>
        <w:pStyle w:val="Odstavecseseznamem"/>
        <w:spacing w:after="0" w:line="240" w:lineRule="auto"/>
        <w:ind w:left="567" w:hanging="567"/>
        <w:jc w:val="center"/>
        <w:rPr>
          <w:b/>
          <w:color w:val="000000" w:themeColor="text1"/>
        </w:rPr>
      </w:pPr>
    </w:p>
    <w:p w14:paraId="4DC2F758" w14:textId="77777777" w:rsidR="00A97059" w:rsidRDefault="00A97059" w:rsidP="00042A10">
      <w:pPr>
        <w:pStyle w:val="Odstavecseseznamem"/>
        <w:spacing w:after="0" w:line="240" w:lineRule="auto"/>
        <w:ind w:left="567" w:hanging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VI.</w:t>
      </w:r>
    </w:p>
    <w:p w14:paraId="4B97D0F2" w14:textId="77777777" w:rsidR="003E702C" w:rsidRDefault="00730BA6" w:rsidP="00042A10">
      <w:pPr>
        <w:pStyle w:val="Odstavecseseznamem"/>
        <w:spacing w:after="0" w:line="240" w:lineRule="auto"/>
        <w:ind w:left="567" w:hanging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Závě</w:t>
      </w:r>
      <w:r w:rsidR="003E702C">
        <w:rPr>
          <w:b/>
          <w:color w:val="000000" w:themeColor="text1"/>
        </w:rPr>
        <w:t>rečná a společná ustanovení</w:t>
      </w:r>
    </w:p>
    <w:p w14:paraId="1A37B5EC" w14:textId="77777777" w:rsidR="00D61881" w:rsidRPr="00042A10" w:rsidRDefault="00D61881" w:rsidP="00042A10">
      <w:pPr>
        <w:pStyle w:val="Odstavecseseznamem"/>
        <w:spacing w:after="0" w:line="240" w:lineRule="auto"/>
        <w:ind w:left="567" w:hanging="567"/>
        <w:jc w:val="center"/>
        <w:rPr>
          <w:b/>
          <w:color w:val="000000" w:themeColor="text1"/>
        </w:rPr>
      </w:pPr>
    </w:p>
    <w:p w14:paraId="17AA11EC" w14:textId="373F56EC" w:rsidR="00404DE3" w:rsidRPr="00042A10" w:rsidRDefault="00404DE3" w:rsidP="00042A10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Smluvní strany konstatují, že práva a povinnosti smluvních stran ohledně plnění vzájemně si poskytnutých účastníky této smlouvy ohledně realizace výstavy před účinností této smlouvy se řídí ustanoveními této smlouvy. </w:t>
      </w:r>
    </w:p>
    <w:p w14:paraId="02938E7A" w14:textId="233504AB" w:rsidR="003E702C" w:rsidRDefault="0096248D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042A10">
        <w:rPr>
          <w:color w:val="000000" w:themeColor="text1"/>
        </w:rPr>
        <w:t>Smluvní strany berou na vědomí, že tato smlouva </w:t>
      </w:r>
      <w:r w:rsidRPr="00042A10" w:rsidDel="00B80264">
        <w:rPr>
          <w:color w:val="000000" w:themeColor="text1"/>
        </w:rPr>
        <w:t xml:space="preserve"> </w:t>
      </w:r>
      <w:r w:rsidRPr="00042A10">
        <w:rPr>
          <w:color w:val="000000" w:themeColor="text1"/>
        </w:rPr>
        <w:t>podléhá uveřejnění dle zákona č. 340/2015 Sb., o zvláštních podmínkách účinnosti některých smluv, uveřejňování těchto smluv a o registru smluv (zákon o registru smluv), ve znění pozdějších předpisů. Tuto smlouvu je povinen uveřejnit NPÚ. Tato smlouva nabývá platnosti dnem podpisu smluvními stranami a účinnosti dnem uveřejnění v registru smluv.</w:t>
      </w:r>
      <w:r w:rsidR="00D80219">
        <w:rPr>
          <w:color w:val="000000" w:themeColor="text1"/>
        </w:rPr>
        <w:t xml:space="preserve"> </w:t>
      </w:r>
      <w:r w:rsidR="00461BA5">
        <w:rPr>
          <w:color w:val="000000" w:themeColor="text1"/>
        </w:rPr>
        <w:t xml:space="preserve">Nezbytnou podmínkou </w:t>
      </w:r>
      <w:r w:rsidR="00461BA5">
        <w:rPr>
          <w:rFonts w:ascii="Calibri" w:eastAsia="Times New Roman" w:hAnsi="Calibri" w:cs="Calibri"/>
        </w:rPr>
        <w:t>pro platnost smlouvy je její podpis oběma řediteli územních pracovišť</w:t>
      </w:r>
      <w:r w:rsidR="00461BA5">
        <w:rPr>
          <w:color w:val="000000" w:themeColor="text1"/>
        </w:rPr>
        <w:t xml:space="preserve"> NPÚ. </w:t>
      </w:r>
      <w:r w:rsidR="00D80219">
        <w:rPr>
          <w:color w:val="000000" w:themeColor="text1"/>
        </w:rPr>
        <w:t>Smluvní strany konstatují, že pro účely uveřejnění této smlouvy v registru smluv nelze určit hodnotu jejího plnění.</w:t>
      </w:r>
    </w:p>
    <w:p w14:paraId="71CD837B" w14:textId="77777777" w:rsidR="00401444" w:rsidRPr="003E702C" w:rsidRDefault="00401444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3E702C">
        <w:rPr>
          <w:color w:val="000000" w:themeColor="text1"/>
        </w:rPr>
        <w:t>Kontaktní osoby pro věci spolupráce dle této smlouvy jsou:</w:t>
      </w:r>
    </w:p>
    <w:p w14:paraId="743A097B" w14:textId="77777777" w:rsidR="00401444" w:rsidRPr="00042A10" w:rsidRDefault="00401444" w:rsidP="00401444">
      <w:pPr>
        <w:spacing w:after="0" w:line="240" w:lineRule="auto"/>
        <w:ind w:left="567" w:hanging="567"/>
        <w:jc w:val="both"/>
        <w:rPr>
          <w:color w:val="000000" w:themeColor="text1"/>
        </w:rPr>
      </w:pPr>
    </w:p>
    <w:p w14:paraId="54509476" w14:textId="77777777" w:rsidR="00BA750B" w:rsidRPr="008B61AB" w:rsidRDefault="00401444" w:rsidP="00BA750B">
      <w:pPr>
        <w:pStyle w:val="Odstavecseseznamem"/>
        <w:numPr>
          <w:ilvl w:val="0"/>
          <w:numId w:val="6"/>
        </w:numPr>
        <w:spacing w:after="0" w:line="240" w:lineRule="auto"/>
        <w:ind w:left="1134" w:hanging="567"/>
        <w:jc w:val="both"/>
        <w:rPr>
          <w:color w:val="000000" w:themeColor="text1"/>
        </w:rPr>
      </w:pPr>
      <w:r w:rsidRPr="008B61AB">
        <w:rPr>
          <w:color w:val="000000" w:themeColor="text1"/>
        </w:rPr>
        <w:t>Národní památkový ústav:</w:t>
      </w:r>
      <w:r w:rsidRPr="008B61AB">
        <w:rPr>
          <w:b/>
          <w:color w:val="000000" w:themeColor="text1"/>
        </w:rPr>
        <w:t xml:space="preserve"> </w:t>
      </w:r>
      <w:r w:rsidR="00BA750B" w:rsidRPr="008B61AB">
        <w:rPr>
          <w:b/>
          <w:color w:val="000000" w:themeColor="text1"/>
        </w:rPr>
        <w:tab/>
      </w:r>
      <w:r w:rsidR="00BA750B" w:rsidRPr="008B61AB">
        <w:rPr>
          <w:b/>
          <w:color w:val="000000" w:themeColor="text1"/>
        </w:rPr>
        <w:tab/>
      </w:r>
    </w:p>
    <w:p w14:paraId="3FC8F84A" w14:textId="6D838506" w:rsidR="00BA750B" w:rsidRPr="008B61AB" w:rsidRDefault="007157B5" w:rsidP="00BA750B">
      <w:pPr>
        <w:spacing w:after="0" w:line="240" w:lineRule="auto"/>
        <w:ind w:firstLine="70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xxx</w:t>
      </w:r>
      <w:proofErr w:type="spellEnd"/>
      <w:r w:rsidR="00471602">
        <w:rPr>
          <w:color w:val="000000" w:themeColor="text1"/>
        </w:rPr>
        <w:t xml:space="preserve">., tel.: </w:t>
      </w:r>
      <w:proofErr w:type="spellStart"/>
      <w:r>
        <w:rPr>
          <w:color w:val="000000" w:themeColor="text1"/>
        </w:rPr>
        <w:t>xxx</w:t>
      </w:r>
      <w:proofErr w:type="spellEnd"/>
    </w:p>
    <w:p w14:paraId="71BF163A" w14:textId="77777777" w:rsidR="00401444" w:rsidRPr="008B61AB" w:rsidRDefault="00401444" w:rsidP="00401444">
      <w:pPr>
        <w:pStyle w:val="Odstavecseseznamem"/>
        <w:spacing w:after="0" w:line="240" w:lineRule="auto"/>
        <w:ind w:left="1134"/>
        <w:jc w:val="both"/>
        <w:rPr>
          <w:color w:val="000000" w:themeColor="text1"/>
        </w:rPr>
      </w:pPr>
    </w:p>
    <w:p w14:paraId="338A45A7" w14:textId="77777777" w:rsidR="00404DE3" w:rsidRDefault="00404DE3" w:rsidP="008B61A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NTK:</w:t>
      </w:r>
    </w:p>
    <w:p w14:paraId="7605728F" w14:textId="2FBE5B7B" w:rsidR="00BA750B" w:rsidRPr="00471602" w:rsidRDefault="007157B5" w:rsidP="00404DE3">
      <w:pPr>
        <w:spacing w:after="0" w:line="240" w:lineRule="auto"/>
        <w:ind w:left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xxx</w:t>
      </w:r>
      <w:proofErr w:type="spellEnd"/>
      <w:r w:rsidR="00471602">
        <w:rPr>
          <w:color w:val="000000" w:themeColor="text1"/>
        </w:rPr>
        <w:t xml:space="preserve">, tel.: </w:t>
      </w:r>
      <w:r>
        <w:rPr>
          <w:color w:val="000000" w:themeColor="text1"/>
        </w:rPr>
        <w:t>xxx</w:t>
      </w:r>
      <w:bookmarkStart w:id="0" w:name="_GoBack"/>
      <w:bookmarkEnd w:id="0"/>
    </w:p>
    <w:p w14:paraId="72E74BD1" w14:textId="77777777" w:rsidR="00A97059" w:rsidRPr="00471602" w:rsidRDefault="00A97059" w:rsidP="00A97059">
      <w:pPr>
        <w:spacing w:after="0" w:line="240" w:lineRule="auto"/>
        <w:jc w:val="both"/>
        <w:rPr>
          <w:color w:val="000000" w:themeColor="text1"/>
        </w:rPr>
      </w:pPr>
    </w:p>
    <w:p w14:paraId="2E5487EA" w14:textId="77777777" w:rsidR="006E3E2E" w:rsidRPr="0043143A" w:rsidRDefault="006E3E2E" w:rsidP="0043143A">
      <w:pPr>
        <w:spacing w:after="0" w:line="240" w:lineRule="auto"/>
        <w:jc w:val="both"/>
        <w:rPr>
          <w:color w:val="000000" w:themeColor="text1"/>
        </w:rPr>
      </w:pPr>
    </w:p>
    <w:p w14:paraId="7BEEE090" w14:textId="77777777" w:rsidR="0096248D" w:rsidRDefault="0096248D" w:rsidP="00181E12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042A10">
        <w:rPr>
          <w:color w:val="000000" w:themeColor="text1"/>
        </w:rPr>
        <w:t xml:space="preserve">Smluvní strany se dohodly, že vztah založený touto smlouvou může být ukončen na základě vzájemné </w:t>
      </w:r>
      <w:r w:rsidR="00A97059">
        <w:rPr>
          <w:color w:val="000000" w:themeColor="text1"/>
        </w:rPr>
        <w:t xml:space="preserve">písemné </w:t>
      </w:r>
      <w:r w:rsidRPr="00042A10">
        <w:rPr>
          <w:color w:val="000000" w:themeColor="text1"/>
        </w:rPr>
        <w:t>dohody obou smluvních stran.</w:t>
      </w:r>
    </w:p>
    <w:p w14:paraId="1629FC3C" w14:textId="7E149656" w:rsidR="00A97059" w:rsidRPr="00A97059" w:rsidRDefault="00730BA6" w:rsidP="00A97059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A97059">
        <w:rPr>
          <w:color w:val="000000" w:themeColor="text1"/>
        </w:rPr>
        <w:t xml:space="preserve">V případě, že některá ze smluvních stran poruší tuto smlouvu </w:t>
      </w:r>
      <w:r w:rsidR="00D80219">
        <w:rPr>
          <w:color w:val="000000" w:themeColor="text1"/>
        </w:rPr>
        <w:t xml:space="preserve">zvlášť </w:t>
      </w:r>
      <w:r w:rsidRPr="00A97059">
        <w:rPr>
          <w:color w:val="000000" w:themeColor="text1"/>
        </w:rPr>
        <w:t>závažným způsobem</w:t>
      </w:r>
      <w:r w:rsidR="00D80219">
        <w:rPr>
          <w:color w:val="000000" w:themeColor="text1"/>
        </w:rPr>
        <w:t xml:space="preserve"> nebo opakovaně</w:t>
      </w:r>
      <w:r w:rsidRPr="00A97059">
        <w:rPr>
          <w:color w:val="000000" w:themeColor="text1"/>
        </w:rPr>
        <w:t>, je druhá smluvní strana oprávněna od této smlouvy odstoupit.</w:t>
      </w:r>
      <w:r w:rsidR="00A97059" w:rsidRPr="00A97059">
        <w:rPr>
          <w:rFonts w:cstheme="minorHAnsi"/>
        </w:rPr>
        <w:t xml:space="preserve"> Odstoupení musí být písemné a je účinné okamžikem doručení písemného oznámení o odstoupení od smlouvy s uvedením důvodů na adresu druhé smluvní strany. V takovém případě </w:t>
      </w:r>
      <w:r w:rsidR="00D80219">
        <w:rPr>
          <w:rFonts w:cstheme="minorHAnsi"/>
        </w:rPr>
        <w:t xml:space="preserve">se výstava </w:t>
      </w:r>
      <w:r w:rsidR="00763AFF">
        <w:rPr>
          <w:rFonts w:cstheme="minorHAnsi"/>
        </w:rPr>
        <w:t xml:space="preserve">ruší a </w:t>
      </w:r>
      <w:r w:rsidR="00763AFF" w:rsidRPr="00A97059">
        <w:rPr>
          <w:rFonts w:cstheme="minorHAnsi"/>
        </w:rPr>
        <w:t>smluvní</w:t>
      </w:r>
      <w:r w:rsidR="00A97059" w:rsidRPr="00A97059">
        <w:rPr>
          <w:rFonts w:cstheme="minorHAnsi"/>
        </w:rPr>
        <w:t xml:space="preserve"> strany </w:t>
      </w:r>
      <w:r w:rsidR="00D80219">
        <w:rPr>
          <w:rFonts w:cstheme="minorHAnsi"/>
        </w:rPr>
        <w:t xml:space="preserve">jsou </w:t>
      </w:r>
      <w:r w:rsidR="00A97059" w:rsidRPr="00A97059">
        <w:rPr>
          <w:rFonts w:cstheme="minorHAnsi"/>
        </w:rPr>
        <w:t xml:space="preserve">povinny poskytnout si součinnost při </w:t>
      </w:r>
      <w:proofErr w:type="spellStart"/>
      <w:r w:rsidR="00A97059" w:rsidRPr="00A97059">
        <w:rPr>
          <w:rFonts w:cstheme="minorHAnsi"/>
        </w:rPr>
        <w:t>deinstalaci</w:t>
      </w:r>
      <w:proofErr w:type="spellEnd"/>
      <w:r w:rsidR="00A97059" w:rsidRPr="00A97059">
        <w:rPr>
          <w:rFonts w:cstheme="minorHAnsi"/>
        </w:rPr>
        <w:t xml:space="preserve"> výstavy do </w:t>
      </w:r>
      <w:r w:rsidR="00A97059">
        <w:rPr>
          <w:rFonts w:cstheme="minorHAnsi"/>
        </w:rPr>
        <w:t>tří</w:t>
      </w:r>
      <w:r w:rsidR="00A97059" w:rsidRPr="00A97059">
        <w:rPr>
          <w:rFonts w:cstheme="minorHAnsi"/>
        </w:rPr>
        <w:t xml:space="preserve"> dnů od doručení odstoupení. </w:t>
      </w:r>
    </w:p>
    <w:p w14:paraId="63BE5074" w14:textId="77777777" w:rsidR="00730BA6" w:rsidRPr="00A97059" w:rsidRDefault="00A97059" w:rsidP="00A97059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A97059">
        <w:rPr>
          <w:rFonts w:cstheme="minorHAnsi"/>
        </w:rPr>
        <w:t>Dojde-li k odstoupení od smlouvy z důvodů porušení ustanovení této smlouvy, má smluvní strana, která byla jednáním druhé strany poškozena, též nárok na náhradu škody včetně náhrady vynaložených nákladů.</w:t>
      </w:r>
    </w:p>
    <w:p w14:paraId="172156FF" w14:textId="77777777" w:rsidR="0096248D" w:rsidRDefault="0096248D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042A10">
        <w:rPr>
          <w:color w:val="000000" w:themeColor="text1"/>
        </w:rPr>
        <w:t xml:space="preserve">Není-li touto smlouvou výslovně stanoveno jinak, pro úpravu právních vztahů smluvních stran vyplývajících z této smlouvy se použije ustanovení zák. č. 89/2012 Sb., občanského zákoníku. </w:t>
      </w:r>
    </w:p>
    <w:p w14:paraId="75133AD7" w14:textId="77777777" w:rsidR="0096248D" w:rsidRDefault="0096248D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042A10">
        <w:rPr>
          <w:color w:val="000000" w:themeColor="text1"/>
        </w:rPr>
        <w:t>Smluvní strany shodně prohlašují, že tato smlouva byla sepsána dle jejich pravé a svobodné vůle, vážně, určitě a srozumitelně, že nebyla uzavřena v tísni a že vzájemné plnění dle této smlouvy není v hrubém nepoměru. S obsahem této smlouvy se před jejím podpisem smluvní strany seznámily a nemají proti němu námitek. Na důkaz toho smluvní strany připojují vlastnoruční podpisy.</w:t>
      </w:r>
    </w:p>
    <w:p w14:paraId="02A75113" w14:textId="77777777" w:rsidR="00F9152E" w:rsidRPr="00042A10" w:rsidRDefault="00F9152E" w:rsidP="00F9152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042A10">
        <w:rPr>
          <w:color w:val="000000" w:themeColor="text1"/>
        </w:rPr>
        <w:t>Smlou</w:t>
      </w:r>
      <w:r>
        <w:rPr>
          <w:color w:val="000000" w:themeColor="text1"/>
        </w:rPr>
        <w:t xml:space="preserve">va je vyhotovena ve dvou </w:t>
      </w:r>
      <w:r w:rsidRPr="00042A10">
        <w:rPr>
          <w:color w:val="000000" w:themeColor="text1"/>
        </w:rPr>
        <w:t xml:space="preserve">stejnopisech s platností originálu, z nichž </w:t>
      </w:r>
      <w:r>
        <w:rPr>
          <w:color w:val="000000" w:themeColor="text1"/>
        </w:rPr>
        <w:t>každá ze smluvních stran obdrží jedno.</w:t>
      </w:r>
      <w:r w:rsidRPr="00042A10">
        <w:rPr>
          <w:color w:val="000000" w:themeColor="text1"/>
        </w:rPr>
        <w:t xml:space="preserve"> </w:t>
      </w:r>
    </w:p>
    <w:p w14:paraId="67DDFD1F" w14:textId="77777777" w:rsidR="00F9152E" w:rsidRDefault="00F9152E" w:rsidP="00F9152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042A10">
        <w:rPr>
          <w:color w:val="000000" w:themeColor="text1"/>
        </w:rPr>
        <w:t>Změny nebo doplňky této smlouvy je možné činit pouze formou písemných číslovaných dodatků.</w:t>
      </w:r>
    </w:p>
    <w:p w14:paraId="7DC551DF" w14:textId="77777777" w:rsidR="0096248D" w:rsidRPr="00042A10" w:rsidRDefault="0096248D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042A10">
        <w:rPr>
          <w:color w:val="000000" w:themeColor="text1"/>
        </w:rPr>
        <w:lastRenderedPageBreak/>
        <w:t xml:space="preserve">Informace o ochraně osobních údajů jsou ze strany NPÚ uvedeny na webových stránkách </w:t>
      </w:r>
      <w:hyperlink r:id="rId6" w:history="1">
        <w:r w:rsidRPr="003E702C">
          <w:t>www.npu.cz</w:t>
        </w:r>
      </w:hyperlink>
      <w:r w:rsidRPr="00042A10">
        <w:rPr>
          <w:color w:val="000000" w:themeColor="text1"/>
        </w:rPr>
        <w:t xml:space="preserve"> v sekci „Ochrana osobních údajů“. </w:t>
      </w:r>
    </w:p>
    <w:p w14:paraId="15E2DD50" w14:textId="77777777" w:rsidR="0096248D" w:rsidRPr="00042A10" w:rsidRDefault="0096248D" w:rsidP="00042A10">
      <w:pPr>
        <w:spacing w:after="0" w:line="240" w:lineRule="auto"/>
        <w:ind w:left="567" w:hanging="567"/>
        <w:jc w:val="both"/>
        <w:rPr>
          <w:color w:val="000000" w:themeColor="text1"/>
        </w:rPr>
      </w:pPr>
    </w:p>
    <w:p w14:paraId="3B50FEEF" w14:textId="77777777" w:rsidR="0096248D" w:rsidRDefault="0096248D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</w:p>
    <w:p w14:paraId="79B1D5DE" w14:textId="77777777" w:rsidR="008B61AB" w:rsidRDefault="008B61AB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</w:p>
    <w:p w14:paraId="36669B96" w14:textId="77777777" w:rsidR="008B61AB" w:rsidRDefault="008B61AB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</w:p>
    <w:p w14:paraId="2D50EB7F" w14:textId="77777777" w:rsidR="00B512E5" w:rsidRDefault="00B512E5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</w:p>
    <w:p w14:paraId="1467245B" w14:textId="77777777" w:rsidR="0096248D" w:rsidRPr="00042A10" w:rsidRDefault="0096248D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</w:p>
    <w:p w14:paraId="53EA79E5" w14:textId="6EB3ECD0" w:rsidR="0096248D" w:rsidRPr="00042A10" w:rsidRDefault="009D1431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404DE3">
        <w:rPr>
          <w:color w:val="000000" w:themeColor="text1"/>
        </w:rPr>
        <w:t xml:space="preserve"> Praze </w:t>
      </w:r>
      <w:r w:rsidR="002127E7">
        <w:rPr>
          <w:color w:val="000000" w:themeColor="text1"/>
        </w:rPr>
        <w:t xml:space="preserve"> </w:t>
      </w:r>
      <w:r w:rsidR="00404DE3">
        <w:rPr>
          <w:color w:val="000000" w:themeColor="text1"/>
        </w:rPr>
        <w:t>dne …………………………..</w:t>
      </w:r>
      <w:r w:rsidR="00404DE3">
        <w:rPr>
          <w:color w:val="000000" w:themeColor="text1"/>
        </w:rPr>
        <w:tab/>
        <w:t>V Praze</w:t>
      </w:r>
      <w:r w:rsidR="00E15136">
        <w:rPr>
          <w:color w:val="000000" w:themeColor="text1"/>
        </w:rPr>
        <w:t xml:space="preserve"> </w:t>
      </w:r>
      <w:r w:rsidR="0096248D" w:rsidRPr="00042A10">
        <w:rPr>
          <w:color w:val="000000" w:themeColor="text1"/>
        </w:rPr>
        <w:t>dne …………………………...</w:t>
      </w:r>
    </w:p>
    <w:p w14:paraId="655320ED" w14:textId="77777777" w:rsidR="0096248D" w:rsidRPr="00042A10" w:rsidRDefault="0096248D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</w:p>
    <w:p w14:paraId="41232307" w14:textId="77777777" w:rsidR="0096248D" w:rsidRPr="00042A10" w:rsidRDefault="0096248D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</w:p>
    <w:p w14:paraId="7C0391D7" w14:textId="77777777" w:rsidR="0096248D" w:rsidRDefault="0096248D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</w:p>
    <w:p w14:paraId="196B9FBD" w14:textId="77777777" w:rsidR="008B61AB" w:rsidRDefault="008B61AB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</w:p>
    <w:p w14:paraId="50DBCBC2" w14:textId="77777777" w:rsidR="008B61AB" w:rsidRPr="00042A10" w:rsidRDefault="008B61AB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</w:p>
    <w:p w14:paraId="2FFEDE31" w14:textId="77777777" w:rsidR="00042A10" w:rsidRDefault="0096248D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  <w:r w:rsidRPr="00042A10">
        <w:rPr>
          <w:color w:val="000000" w:themeColor="text1"/>
        </w:rPr>
        <w:t>……………………………………………………………..</w:t>
      </w:r>
      <w:r w:rsidRPr="00042A10">
        <w:rPr>
          <w:color w:val="000000" w:themeColor="text1"/>
        </w:rPr>
        <w:tab/>
        <w:t>………………………………………………………………</w:t>
      </w:r>
    </w:p>
    <w:p w14:paraId="0790DF27" w14:textId="3B1D3DE2" w:rsidR="00404DE3" w:rsidRDefault="00404DE3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Ing. arch. Naděžda Goryczková</w:t>
      </w:r>
      <w:r>
        <w:rPr>
          <w:color w:val="000000" w:themeColor="text1"/>
        </w:rPr>
        <w:tab/>
        <w:t>Ing. Martin Svoboda</w:t>
      </w:r>
    </w:p>
    <w:p w14:paraId="656C9D73" w14:textId="0E66E9AF" w:rsidR="00404DE3" w:rsidRDefault="00404DE3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generální ředitelka</w:t>
      </w:r>
      <w:r w:rsidR="00471602">
        <w:rPr>
          <w:color w:val="000000" w:themeColor="text1"/>
        </w:rPr>
        <w:t xml:space="preserve"> NPÚ</w:t>
      </w:r>
      <w:r>
        <w:rPr>
          <w:color w:val="000000" w:themeColor="text1"/>
        </w:rPr>
        <w:tab/>
        <w:t>ředitel</w:t>
      </w:r>
    </w:p>
    <w:p w14:paraId="6BDBDFF7" w14:textId="2B89EA6B" w:rsidR="00404DE3" w:rsidRPr="00042A10" w:rsidRDefault="00471602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v. z. Mgr. et Mgr. Petr Spejchal</w:t>
      </w:r>
      <w:r w:rsidR="00404DE3">
        <w:rPr>
          <w:color w:val="000000" w:themeColor="text1"/>
        </w:rPr>
        <w:tab/>
        <w:t>NTK</w:t>
      </w:r>
      <w:r w:rsidR="00404DE3">
        <w:rPr>
          <w:color w:val="000000" w:themeColor="text1"/>
        </w:rPr>
        <w:tab/>
      </w:r>
      <w:r>
        <w:rPr>
          <w:color w:val="000000" w:themeColor="text1"/>
        </w:rPr>
        <w:br/>
        <w:t>1. náměstek generální ředitelky</w:t>
      </w:r>
    </w:p>
    <w:sectPr w:rsidR="00404DE3" w:rsidRPr="00042A10" w:rsidSect="0072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334"/>
    <w:multiLevelType w:val="hybridMultilevel"/>
    <w:tmpl w:val="AF1C74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D5ABF"/>
    <w:multiLevelType w:val="hybridMultilevel"/>
    <w:tmpl w:val="D16239E0"/>
    <w:lvl w:ilvl="0" w:tplc="D6089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67245"/>
    <w:multiLevelType w:val="hybridMultilevel"/>
    <w:tmpl w:val="22F2F39A"/>
    <w:lvl w:ilvl="0" w:tplc="EAC89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55ED3"/>
    <w:multiLevelType w:val="hybridMultilevel"/>
    <w:tmpl w:val="517A11FA"/>
    <w:lvl w:ilvl="0" w:tplc="B29A7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D35A7"/>
    <w:multiLevelType w:val="hybridMultilevel"/>
    <w:tmpl w:val="5E0C7F8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01012"/>
    <w:multiLevelType w:val="hybridMultilevel"/>
    <w:tmpl w:val="644667BA"/>
    <w:lvl w:ilvl="0" w:tplc="D91CAB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E7822"/>
    <w:multiLevelType w:val="hybridMultilevel"/>
    <w:tmpl w:val="2452A7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F0FFA"/>
    <w:multiLevelType w:val="hybridMultilevel"/>
    <w:tmpl w:val="22F2F39A"/>
    <w:lvl w:ilvl="0" w:tplc="EAC89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CF7DAA"/>
    <w:multiLevelType w:val="hybridMultilevel"/>
    <w:tmpl w:val="688A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C1457"/>
    <w:multiLevelType w:val="hybridMultilevel"/>
    <w:tmpl w:val="49583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2F8E"/>
    <w:multiLevelType w:val="hybridMultilevel"/>
    <w:tmpl w:val="19BA53C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7641B7"/>
    <w:multiLevelType w:val="hybridMultilevel"/>
    <w:tmpl w:val="3946A2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E53A1B"/>
    <w:multiLevelType w:val="hybridMultilevel"/>
    <w:tmpl w:val="CDF49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4183"/>
    <w:multiLevelType w:val="hybridMultilevel"/>
    <w:tmpl w:val="688A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E73C1"/>
    <w:multiLevelType w:val="hybridMultilevel"/>
    <w:tmpl w:val="A92EC25E"/>
    <w:lvl w:ilvl="0" w:tplc="4B5A3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0630F"/>
    <w:multiLevelType w:val="hybridMultilevel"/>
    <w:tmpl w:val="694C2A5E"/>
    <w:lvl w:ilvl="0" w:tplc="CB1EDF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4256B"/>
    <w:multiLevelType w:val="hybridMultilevel"/>
    <w:tmpl w:val="86140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7437F"/>
    <w:multiLevelType w:val="hybridMultilevel"/>
    <w:tmpl w:val="5F1E62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794C0C"/>
    <w:multiLevelType w:val="hybridMultilevel"/>
    <w:tmpl w:val="118A4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60E6E"/>
    <w:multiLevelType w:val="hybridMultilevel"/>
    <w:tmpl w:val="AC3E4E98"/>
    <w:lvl w:ilvl="0" w:tplc="6FD6E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797C95"/>
    <w:multiLevelType w:val="hybridMultilevel"/>
    <w:tmpl w:val="B156CC08"/>
    <w:lvl w:ilvl="0" w:tplc="EE7802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E637F0"/>
    <w:multiLevelType w:val="hybridMultilevel"/>
    <w:tmpl w:val="6F34B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B4F7C"/>
    <w:multiLevelType w:val="hybridMultilevel"/>
    <w:tmpl w:val="216695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6"/>
  </w:num>
  <w:num w:numId="5">
    <w:abstractNumId w:val="8"/>
  </w:num>
  <w:num w:numId="6">
    <w:abstractNumId w:val="20"/>
  </w:num>
  <w:num w:numId="7">
    <w:abstractNumId w:val="13"/>
  </w:num>
  <w:num w:numId="8">
    <w:abstractNumId w:val="18"/>
  </w:num>
  <w:num w:numId="9">
    <w:abstractNumId w:val="22"/>
  </w:num>
  <w:num w:numId="10">
    <w:abstractNumId w:val="21"/>
  </w:num>
  <w:num w:numId="11">
    <w:abstractNumId w:val="17"/>
  </w:num>
  <w:num w:numId="12">
    <w:abstractNumId w:val="11"/>
  </w:num>
  <w:num w:numId="13">
    <w:abstractNumId w:val="3"/>
  </w:num>
  <w:num w:numId="14">
    <w:abstractNumId w:val="15"/>
  </w:num>
  <w:num w:numId="15">
    <w:abstractNumId w:val="19"/>
  </w:num>
  <w:num w:numId="16">
    <w:abstractNumId w:val="7"/>
  </w:num>
  <w:num w:numId="17">
    <w:abstractNumId w:val="10"/>
  </w:num>
  <w:num w:numId="18">
    <w:abstractNumId w:val="2"/>
  </w:num>
  <w:num w:numId="19">
    <w:abstractNumId w:val="12"/>
  </w:num>
  <w:num w:numId="20">
    <w:abstractNumId w:val="5"/>
  </w:num>
  <w:num w:numId="21">
    <w:abstractNumId w:val="6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8D"/>
    <w:rsid w:val="00024E8C"/>
    <w:rsid w:val="00042A10"/>
    <w:rsid w:val="000465F1"/>
    <w:rsid w:val="000530CD"/>
    <w:rsid w:val="000B0693"/>
    <w:rsid w:val="000B28C9"/>
    <w:rsid w:val="000D4D65"/>
    <w:rsid w:val="000D66B1"/>
    <w:rsid w:val="000F1E3A"/>
    <w:rsid w:val="00181E12"/>
    <w:rsid w:val="001C5624"/>
    <w:rsid w:val="001E122B"/>
    <w:rsid w:val="001E24A1"/>
    <w:rsid w:val="001E602E"/>
    <w:rsid w:val="001F48EB"/>
    <w:rsid w:val="00200BB3"/>
    <w:rsid w:val="002127E7"/>
    <w:rsid w:val="00266FA9"/>
    <w:rsid w:val="00285739"/>
    <w:rsid w:val="00296AF5"/>
    <w:rsid w:val="002A5A28"/>
    <w:rsid w:val="002E73CE"/>
    <w:rsid w:val="00301ED5"/>
    <w:rsid w:val="00302D3B"/>
    <w:rsid w:val="00377542"/>
    <w:rsid w:val="003A2F67"/>
    <w:rsid w:val="003C5205"/>
    <w:rsid w:val="003E2440"/>
    <w:rsid w:val="003E702C"/>
    <w:rsid w:val="003F452C"/>
    <w:rsid w:val="00401444"/>
    <w:rsid w:val="00404DE3"/>
    <w:rsid w:val="004131FE"/>
    <w:rsid w:val="0043143A"/>
    <w:rsid w:val="004358FA"/>
    <w:rsid w:val="00461BA5"/>
    <w:rsid w:val="00471602"/>
    <w:rsid w:val="00472EED"/>
    <w:rsid w:val="00495B76"/>
    <w:rsid w:val="004A04D2"/>
    <w:rsid w:val="004A1F4A"/>
    <w:rsid w:val="004A6B0D"/>
    <w:rsid w:val="0051381F"/>
    <w:rsid w:val="00566B01"/>
    <w:rsid w:val="00567E02"/>
    <w:rsid w:val="0058260A"/>
    <w:rsid w:val="00585651"/>
    <w:rsid w:val="00594641"/>
    <w:rsid w:val="005A14CC"/>
    <w:rsid w:val="005B0BAB"/>
    <w:rsid w:val="005C6BEB"/>
    <w:rsid w:val="005F6BF2"/>
    <w:rsid w:val="0060767C"/>
    <w:rsid w:val="006146EA"/>
    <w:rsid w:val="00650479"/>
    <w:rsid w:val="00653A4A"/>
    <w:rsid w:val="006877F9"/>
    <w:rsid w:val="006D6F62"/>
    <w:rsid w:val="006E34E2"/>
    <w:rsid w:val="006E3E2E"/>
    <w:rsid w:val="006F2560"/>
    <w:rsid w:val="007157B5"/>
    <w:rsid w:val="00717082"/>
    <w:rsid w:val="007200C1"/>
    <w:rsid w:val="00730BA6"/>
    <w:rsid w:val="007569B6"/>
    <w:rsid w:val="00763AFF"/>
    <w:rsid w:val="007B4349"/>
    <w:rsid w:val="008B61AB"/>
    <w:rsid w:val="00906E24"/>
    <w:rsid w:val="009372C6"/>
    <w:rsid w:val="0096248D"/>
    <w:rsid w:val="00965449"/>
    <w:rsid w:val="009D1431"/>
    <w:rsid w:val="00A33A62"/>
    <w:rsid w:val="00A60E44"/>
    <w:rsid w:val="00A8365D"/>
    <w:rsid w:val="00A85870"/>
    <w:rsid w:val="00A97059"/>
    <w:rsid w:val="00AD2A81"/>
    <w:rsid w:val="00AF642C"/>
    <w:rsid w:val="00B0037C"/>
    <w:rsid w:val="00B0269A"/>
    <w:rsid w:val="00B04CE1"/>
    <w:rsid w:val="00B20078"/>
    <w:rsid w:val="00B512E5"/>
    <w:rsid w:val="00B83F9D"/>
    <w:rsid w:val="00B90B8D"/>
    <w:rsid w:val="00B95064"/>
    <w:rsid w:val="00BA750B"/>
    <w:rsid w:val="00BD61BC"/>
    <w:rsid w:val="00BF45BB"/>
    <w:rsid w:val="00C26817"/>
    <w:rsid w:val="00C62FFE"/>
    <w:rsid w:val="00C72200"/>
    <w:rsid w:val="00CA13C7"/>
    <w:rsid w:val="00CB31C8"/>
    <w:rsid w:val="00CB3B4B"/>
    <w:rsid w:val="00CC30EA"/>
    <w:rsid w:val="00CD34A5"/>
    <w:rsid w:val="00D22464"/>
    <w:rsid w:val="00D61881"/>
    <w:rsid w:val="00D649F6"/>
    <w:rsid w:val="00D70770"/>
    <w:rsid w:val="00D80219"/>
    <w:rsid w:val="00DD7262"/>
    <w:rsid w:val="00E02118"/>
    <w:rsid w:val="00E15136"/>
    <w:rsid w:val="00E15A31"/>
    <w:rsid w:val="00E16052"/>
    <w:rsid w:val="00E212E9"/>
    <w:rsid w:val="00E609F0"/>
    <w:rsid w:val="00EB4EFF"/>
    <w:rsid w:val="00EE1132"/>
    <w:rsid w:val="00EF1027"/>
    <w:rsid w:val="00F22F56"/>
    <w:rsid w:val="00F23A06"/>
    <w:rsid w:val="00F3149F"/>
    <w:rsid w:val="00F50092"/>
    <w:rsid w:val="00F8732E"/>
    <w:rsid w:val="00F91165"/>
    <w:rsid w:val="00F9152E"/>
    <w:rsid w:val="00FA1366"/>
    <w:rsid w:val="00FA1E94"/>
    <w:rsid w:val="00FB2BB9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A512"/>
  <w15:docId w15:val="{2CE86E94-5927-43CE-AB40-C68B08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4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E24A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48D"/>
    <w:pPr>
      <w:spacing w:after="160" w:line="259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62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48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48D"/>
    <w:rPr>
      <w:sz w:val="20"/>
      <w:szCs w:val="20"/>
    </w:rPr>
  </w:style>
  <w:style w:type="character" w:styleId="Hypertextovodkaz">
    <w:name w:val="Hyperlink"/>
    <w:uiPriority w:val="99"/>
    <w:unhideWhenUsed/>
    <w:rsid w:val="0096248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48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24A1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13C7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440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440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D618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188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D4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09A6-DD09-46C2-8C54-73A80A33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angelisova</dc:creator>
  <cp:lastModifiedBy>Janouchová Miroslava</cp:lastModifiedBy>
  <cp:revision>4</cp:revision>
  <dcterms:created xsi:type="dcterms:W3CDTF">2020-10-22T12:19:00Z</dcterms:created>
  <dcterms:modified xsi:type="dcterms:W3CDTF">2020-11-12T13:14:00Z</dcterms:modified>
</cp:coreProperties>
</file>