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D639E" w14:textId="77777777" w:rsidR="00A7650B" w:rsidRPr="006B1B30" w:rsidRDefault="00A7650B" w:rsidP="00A7650B">
      <w:pPr>
        <w:jc w:val="center"/>
        <w:rPr>
          <w:rFonts w:cs="Calibri"/>
          <w:sz w:val="32"/>
          <w:szCs w:val="32"/>
        </w:rPr>
      </w:pPr>
    </w:p>
    <w:tbl>
      <w:tblPr>
        <w:tblStyle w:val="Mkatabulky"/>
        <w:tblpPr w:leftFromText="142" w:rightFromText="142" w:vertAnchor="text" w:horzAnchor="margin" w:tblpY="2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503E5" w:rsidRPr="006B1B30" w14:paraId="7DF9A964" w14:textId="77777777" w:rsidTr="001D02BC">
        <w:trPr>
          <w:trHeight w:val="889"/>
        </w:trPr>
        <w:tc>
          <w:tcPr>
            <w:tcW w:w="9212" w:type="dxa"/>
            <w:tcBorders>
              <w:top w:val="single" w:sz="2" w:space="0" w:color="808080"/>
              <w:bottom w:val="single" w:sz="2" w:space="0" w:color="808080"/>
            </w:tcBorders>
          </w:tcPr>
          <w:p w14:paraId="04F36058" w14:textId="77777777" w:rsidR="00A7650B" w:rsidRPr="006B1B30" w:rsidRDefault="00A7650B" w:rsidP="001D02BC">
            <w:pPr>
              <w:jc w:val="center"/>
              <w:rPr>
                <w:rFonts w:cs="Calibri"/>
                <w:sz w:val="19"/>
                <w:szCs w:val="19"/>
              </w:rPr>
            </w:pPr>
          </w:p>
          <w:p w14:paraId="07C3CF70" w14:textId="77777777" w:rsidR="00A7650B" w:rsidRPr="006B1B30" w:rsidRDefault="00A7650B" w:rsidP="001D02BC">
            <w:pPr>
              <w:jc w:val="center"/>
              <w:rPr>
                <w:rFonts w:asciiTheme="minorHAnsi" w:hAnsiTheme="minorHAnsi" w:cstheme="minorHAnsi"/>
                <w:b/>
                <w:bCs/>
              </w:rPr>
            </w:pPr>
            <w:r w:rsidRPr="006B1B30">
              <w:rPr>
                <w:rFonts w:asciiTheme="minorHAnsi" w:hAnsiTheme="minorHAnsi" w:cstheme="minorHAnsi"/>
                <w:b/>
                <w:bCs/>
                <w:sz w:val="44"/>
                <w:szCs w:val="44"/>
              </w:rPr>
              <w:t>Smlouva o poskytování služeb</w:t>
            </w:r>
          </w:p>
        </w:tc>
      </w:tr>
      <w:tr w:rsidR="003503E5" w:rsidRPr="006B1B30" w14:paraId="45A219D6" w14:textId="77777777" w:rsidTr="001D02BC">
        <w:trPr>
          <w:trHeight w:val="7480"/>
        </w:trPr>
        <w:tc>
          <w:tcPr>
            <w:tcW w:w="9212" w:type="dxa"/>
            <w:tcBorders>
              <w:top w:val="single" w:sz="2" w:space="0" w:color="808080"/>
            </w:tcBorders>
          </w:tcPr>
          <w:p w14:paraId="6DE459E3" w14:textId="77777777" w:rsidR="00A7650B" w:rsidRPr="006B1B30" w:rsidRDefault="00A7650B" w:rsidP="001D02BC">
            <w:pPr>
              <w:spacing w:before="240" w:after="240"/>
              <w:jc w:val="center"/>
              <w:rPr>
                <w:rFonts w:asciiTheme="minorHAnsi" w:hAnsiTheme="minorHAnsi" w:cstheme="minorHAnsi"/>
              </w:rPr>
            </w:pPr>
            <w:r w:rsidRPr="006B1B30">
              <w:rPr>
                <w:rFonts w:asciiTheme="minorHAnsi" w:hAnsiTheme="minorHAnsi" w:cstheme="minorHAnsi"/>
              </w:rPr>
              <w:t>mezi</w:t>
            </w:r>
          </w:p>
          <w:p w14:paraId="6C593D58" w14:textId="152DF458" w:rsidR="00A7650B" w:rsidRPr="006B1B30" w:rsidRDefault="00A7650B" w:rsidP="001D02BC">
            <w:pPr>
              <w:spacing w:before="240" w:after="240"/>
              <w:jc w:val="center"/>
              <w:rPr>
                <w:rFonts w:asciiTheme="minorHAnsi" w:hAnsiTheme="minorHAnsi" w:cstheme="minorHAnsi"/>
                <w:b/>
                <w:bCs/>
                <w:sz w:val="44"/>
                <w:szCs w:val="44"/>
              </w:rPr>
            </w:pPr>
            <w:r w:rsidRPr="006B1B30">
              <w:rPr>
                <w:rFonts w:asciiTheme="minorHAnsi" w:hAnsiTheme="minorHAnsi" w:cstheme="minorHAnsi"/>
                <w:b/>
                <w:bCs/>
                <w:sz w:val="44"/>
                <w:szCs w:val="44"/>
              </w:rPr>
              <w:t>Rozvojový fond Pardubice a.s.</w:t>
            </w:r>
          </w:p>
          <w:p w14:paraId="369337C1" w14:textId="77777777" w:rsidR="00A7650B" w:rsidRPr="006B1B30" w:rsidRDefault="00A7650B" w:rsidP="001D02BC">
            <w:pPr>
              <w:spacing w:before="240" w:after="240"/>
              <w:jc w:val="center"/>
              <w:rPr>
                <w:rFonts w:asciiTheme="minorHAnsi" w:hAnsiTheme="minorHAnsi" w:cstheme="minorHAnsi"/>
              </w:rPr>
            </w:pPr>
            <w:r w:rsidRPr="006B1B30">
              <w:rPr>
                <w:rFonts w:asciiTheme="minorHAnsi" w:hAnsiTheme="minorHAnsi" w:cstheme="minorHAnsi"/>
              </w:rPr>
              <w:t>a</w:t>
            </w:r>
          </w:p>
          <w:p w14:paraId="48CEB869" w14:textId="77777777" w:rsidR="00A7650B" w:rsidRPr="006B1B30" w:rsidRDefault="00A7650B" w:rsidP="001D02BC">
            <w:pPr>
              <w:spacing w:before="240" w:after="240"/>
              <w:jc w:val="center"/>
              <w:rPr>
                <w:rFonts w:cs="Calibri"/>
                <w:b/>
                <w:bCs/>
                <w:sz w:val="44"/>
                <w:szCs w:val="44"/>
              </w:rPr>
            </w:pPr>
            <w:r w:rsidRPr="006B1B30">
              <w:rPr>
                <w:rFonts w:asciiTheme="minorHAnsi" w:hAnsiTheme="minorHAnsi" w:cstheme="minorHAnsi"/>
                <w:b/>
                <w:bCs/>
                <w:sz w:val="44"/>
                <w:szCs w:val="44"/>
              </w:rPr>
              <w:t>HOCKEY CLUB DYNAMO PARDUBICE a.s.</w:t>
            </w:r>
          </w:p>
          <w:p w14:paraId="3D85710E" w14:textId="77777777" w:rsidR="00A7650B" w:rsidRPr="006B1B30" w:rsidRDefault="00A7650B" w:rsidP="001D02BC">
            <w:pPr>
              <w:jc w:val="center"/>
              <w:rPr>
                <w:rFonts w:cs="Calibri"/>
                <w:sz w:val="44"/>
                <w:szCs w:val="44"/>
              </w:rPr>
            </w:pPr>
          </w:p>
          <w:p w14:paraId="434F08EB" w14:textId="77777777" w:rsidR="00A7650B" w:rsidRPr="006B1B30" w:rsidRDefault="00A7650B" w:rsidP="001D02BC">
            <w:pPr>
              <w:jc w:val="center"/>
              <w:rPr>
                <w:rFonts w:cs="Calibri"/>
                <w:sz w:val="44"/>
                <w:szCs w:val="44"/>
              </w:rPr>
            </w:pPr>
          </w:p>
          <w:p w14:paraId="4A15E940" w14:textId="77777777" w:rsidR="00A7650B" w:rsidRPr="006B1B30" w:rsidRDefault="00A7650B" w:rsidP="001D02BC">
            <w:pPr>
              <w:tabs>
                <w:tab w:val="left" w:pos="6000"/>
              </w:tabs>
              <w:jc w:val="center"/>
              <w:rPr>
                <w:rFonts w:cs="Calibri"/>
                <w:sz w:val="44"/>
                <w:szCs w:val="44"/>
              </w:rPr>
            </w:pPr>
          </w:p>
        </w:tc>
      </w:tr>
      <w:tr w:rsidR="003503E5" w:rsidRPr="006B1B30" w14:paraId="6B6E9F93" w14:textId="77777777" w:rsidTr="001D02BC">
        <w:trPr>
          <w:trHeight w:val="2522"/>
        </w:trPr>
        <w:tc>
          <w:tcPr>
            <w:tcW w:w="9212" w:type="dxa"/>
            <w:vAlign w:val="bottom"/>
          </w:tcPr>
          <w:p w14:paraId="76C5FB8F" w14:textId="77777777" w:rsidR="00A7650B" w:rsidRPr="006B1B30" w:rsidRDefault="00A7650B" w:rsidP="001D02BC">
            <w:pPr>
              <w:jc w:val="center"/>
              <w:rPr>
                <w:rFonts w:cs="Calibri"/>
              </w:rPr>
            </w:pPr>
            <w:r w:rsidRPr="006B1B30">
              <w:rPr>
                <w:noProof/>
              </w:rPr>
              <w:drawing>
                <wp:inline distT="0" distB="0" distL="0" distR="0" wp14:anchorId="49674402" wp14:editId="19A8DC71">
                  <wp:extent cx="1057275" cy="466725"/>
                  <wp:effectExtent l="0" t="0" r="9525" b="9525"/>
                  <wp:docPr id="31" name="Obrázek 31"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p>
          <w:p w14:paraId="24508E78" w14:textId="77777777" w:rsidR="00A7650B" w:rsidRPr="006B1B30" w:rsidRDefault="00A7650B" w:rsidP="001D02BC">
            <w:pPr>
              <w:jc w:val="center"/>
              <w:rPr>
                <w:rFonts w:asciiTheme="minorHAnsi" w:hAnsiTheme="minorHAnsi" w:cstheme="minorHAnsi"/>
                <w:sz w:val="18"/>
                <w:szCs w:val="18"/>
              </w:rPr>
            </w:pPr>
            <w:r w:rsidRPr="006B1B30">
              <w:rPr>
                <w:rFonts w:asciiTheme="minorHAnsi" w:hAnsiTheme="minorHAnsi" w:cstheme="minorHAnsi"/>
                <w:sz w:val="18"/>
                <w:szCs w:val="18"/>
              </w:rPr>
              <w:t>Advokátní kancelář Brož, Sedlatý s.r.o.</w:t>
            </w:r>
          </w:p>
          <w:p w14:paraId="41764C43" w14:textId="77777777" w:rsidR="00A7650B" w:rsidRPr="006B1B30" w:rsidRDefault="00A7650B" w:rsidP="001D02BC">
            <w:pPr>
              <w:jc w:val="center"/>
              <w:rPr>
                <w:rFonts w:asciiTheme="minorHAnsi" w:hAnsiTheme="minorHAnsi" w:cstheme="minorHAnsi"/>
                <w:sz w:val="18"/>
                <w:szCs w:val="18"/>
              </w:rPr>
            </w:pPr>
            <w:r w:rsidRPr="006B1B30">
              <w:rPr>
                <w:rFonts w:asciiTheme="minorHAnsi" w:hAnsiTheme="minorHAnsi" w:cstheme="minorHAnsi"/>
                <w:sz w:val="18"/>
                <w:szCs w:val="18"/>
              </w:rPr>
              <w:t>Atrium Flóra – Budova A, Vinohradská 2828/151</w:t>
            </w:r>
          </w:p>
          <w:p w14:paraId="725888CB" w14:textId="77777777" w:rsidR="00A7650B" w:rsidRPr="006B1B30" w:rsidRDefault="00A7650B" w:rsidP="001D02BC">
            <w:pPr>
              <w:jc w:val="center"/>
              <w:rPr>
                <w:rFonts w:asciiTheme="minorHAnsi" w:hAnsiTheme="minorHAnsi" w:cstheme="minorHAnsi"/>
                <w:sz w:val="18"/>
                <w:szCs w:val="18"/>
              </w:rPr>
            </w:pPr>
            <w:r w:rsidRPr="006B1B30">
              <w:rPr>
                <w:rFonts w:asciiTheme="minorHAnsi" w:hAnsiTheme="minorHAnsi" w:cstheme="minorHAnsi"/>
                <w:sz w:val="18"/>
                <w:szCs w:val="18"/>
              </w:rPr>
              <w:t>130 00 Praha 3, Česká republika</w:t>
            </w:r>
          </w:p>
          <w:p w14:paraId="4984C783" w14:textId="77777777" w:rsidR="00A7650B" w:rsidRPr="006B1B30" w:rsidRDefault="00A7650B" w:rsidP="001D02BC">
            <w:pPr>
              <w:jc w:val="center"/>
              <w:rPr>
                <w:rFonts w:asciiTheme="minorHAnsi" w:hAnsiTheme="minorHAnsi" w:cstheme="minorHAnsi"/>
                <w:sz w:val="18"/>
                <w:szCs w:val="18"/>
              </w:rPr>
            </w:pPr>
            <w:r w:rsidRPr="006B1B30">
              <w:rPr>
                <w:rFonts w:asciiTheme="minorHAnsi" w:hAnsiTheme="minorHAnsi" w:cstheme="minorHAnsi"/>
                <w:sz w:val="18"/>
                <w:szCs w:val="18"/>
              </w:rPr>
              <w:t xml:space="preserve">tel: </w:t>
            </w:r>
            <w:r w:rsidRPr="006B1B30">
              <w:rPr>
                <w:rFonts w:asciiTheme="minorHAnsi" w:hAnsiTheme="minorHAnsi" w:cstheme="minorHAnsi"/>
                <w:bCs/>
                <w:sz w:val="18"/>
                <w:szCs w:val="18"/>
              </w:rPr>
              <w:t xml:space="preserve">+420 </w:t>
            </w:r>
            <w:r w:rsidRPr="006B1B30">
              <w:rPr>
                <w:rFonts w:asciiTheme="minorHAnsi" w:hAnsiTheme="minorHAnsi" w:cstheme="minorHAnsi"/>
                <w:sz w:val="18"/>
                <w:szCs w:val="18"/>
              </w:rPr>
              <w:t xml:space="preserve">246 028 028, </w:t>
            </w:r>
            <w:r w:rsidRPr="006B1B30">
              <w:rPr>
                <w:rFonts w:asciiTheme="minorHAnsi" w:hAnsiTheme="minorHAnsi" w:cstheme="minorHAnsi"/>
                <w:bCs/>
                <w:sz w:val="18"/>
                <w:szCs w:val="18"/>
              </w:rPr>
              <w:t xml:space="preserve">fax:+420 </w:t>
            </w:r>
            <w:r w:rsidRPr="006B1B30">
              <w:rPr>
                <w:rFonts w:asciiTheme="minorHAnsi" w:hAnsiTheme="minorHAnsi" w:cstheme="minorHAnsi"/>
                <w:sz w:val="18"/>
                <w:szCs w:val="18"/>
              </w:rPr>
              <w:t>246 028 029</w:t>
            </w:r>
          </w:p>
          <w:p w14:paraId="05E6B87F" w14:textId="77777777" w:rsidR="00A7650B" w:rsidRPr="006B1B30" w:rsidRDefault="00DE3814" w:rsidP="001D02BC">
            <w:pPr>
              <w:jc w:val="center"/>
              <w:rPr>
                <w:rStyle w:val="Hypertextovodkaz"/>
                <w:rFonts w:asciiTheme="minorHAnsi" w:hAnsiTheme="minorHAnsi" w:cstheme="minorHAnsi"/>
                <w:color w:val="auto"/>
                <w:sz w:val="18"/>
                <w:szCs w:val="18"/>
              </w:rPr>
            </w:pPr>
            <w:hyperlink r:id="rId9" w:history="1">
              <w:r w:rsidR="00A7650B" w:rsidRPr="006B1B30">
                <w:rPr>
                  <w:rStyle w:val="Hypertextovodkaz"/>
                  <w:rFonts w:asciiTheme="minorHAnsi" w:hAnsiTheme="minorHAnsi" w:cstheme="minorHAnsi"/>
                  <w:bCs/>
                  <w:color w:val="auto"/>
                  <w:sz w:val="18"/>
                  <w:szCs w:val="18"/>
                </w:rPr>
                <w:t>info@broz-sedlaty.cz</w:t>
              </w:r>
            </w:hyperlink>
            <w:r w:rsidR="00A7650B" w:rsidRPr="006B1B30">
              <w:rPr>
                <w:rFonts w:asciiTheme="minorHAnsi" w:hAnsiTheme="minorHAnsi" w:cstheme="minorHAnsi"/>
                <w:bCs/>
                <w:sz w:val="18"/>
                <w:szCs w:val="18"/>
                <w:lang w:eastAsia="en-US"/>
              </w:rPr>
              <w:t xml:space="preserve">, </w:t>
            </w:r>
            <w:hyperlink r:id="rId10" w:history="1">
              <w:r w:rsidR="00A7650B" w:rsidRPr="006B1B30">
                <w:rPr>
                  <w:rStyle w:val="Hypertextovodkaz"/>
                  <w:rFonts w:asciiTheme="minorHAnsi" w:hAnsiTheme="minorHAnsi" w:cstheme="minorHAnsi"/>
                  <w:color w:val="auto"/>
                  <w:sz w:val="18"/>
                  <w:szCs w:val="18"/>
                </w:rPr>
                <w:t>www.broz-sedlaty.cz</w:t>
              </w:r>
            </w:hyperlink>
          </w:p>
          <w:p w14:paraId="7F4093AF" w14:textId="77777777" w:rsidR="00A7650B" w:rsidRPr="006B1B30" w:rsidRDefault="00A7650B" w:rsidP="001D02BC">
            <w:pPr>
              <w:jc w:val="center"/>
              <w:rPr>
                <w:rStyle w:val="Hypertextovodkaz"/>
                <w:rFonts w:cs="Calibri"/>
                <w:bCs/>
                <w:color w:val="auto"/>
                <w:sz w:val="16"/>
                <w:szCs w:val="16"/>
              </w:rPr>
            </w:pPr>
          </w:p>
        </w:tc>
      </w:tr>
    </w:tbl>
    <w:p w14:paraId="0DECC61D" w14:textId="77777777" w:rsidR="00A7650B" w:rsidRPr="006B1B30" w:rsidRDefault="00A7650B" w:rsidP="00A7650B">
      <w:pPr>
        <w:ind w:left="0" w:right="0"/>
        <w:rPr>
          <w:b/>
          <w:sz w:val="32"/>
          <w:szCs w:val="32"/>
        </w:rPr>
      </w:pPr>
    </w:p>
    <w:p w14:paraId="4F78F5D0" w14:textId="77777777" w:rsidR="00A7650B" w:rsidRPr="006B1B30" w:rsidRDefault="00A7650B" w:rsidP="00A7650B">
      <w:pPr>
        <w:tabs>
          <w:tab w:val="center" w:pos="4536"/>
        </w:tabs>
        <w:rPr>
          <w:rFonts w:cs="Calibri"/>
        </w:rPr>
      </w:pPr>
    </w:p>
    <w:p w14:paraId="6E7B1E00" w14:textId="77777777" w:rsidR="00A7650B" w:rsidRPr="006B1B30" w:rsidRDefault="00A7650B" w:rsidP="00A7650B">
      <w:pPr>
        <w:spacing w:after="240"/>
        <w:jc w:val="center"/>
        <w:rPr>
          <w:rFonts w:cs="Calibri"/>
          <w:b/>
        </w:rPr>
        <w:sectPr w:rsidR="00A7650B" w:rsidRPr="006B1B30" w:rsidSect="001D02BC">
          <w:headerReference w:type="even" r:id="rId11"/>
          <w:headerReference w:type="default" r:id="rId12"/>
          <w:footerReference w:type="even" r:id="rId13"/>
          <w:footerReference w:type="first" r:id="rId14"/>
          <w:pgSz w:w="11906" w:h="16838"/>
          <w:pgMar w:top="1417" w:right="1558" w:bottom="1276" w:left="1276" w:header="708" w:footer="234" w:gutter="0"/>
          <w:cols w:space="708"/>
          <w:titlePg/>
          <w:docGrid w:linePitch="360"/>
        </w:sectPr>
      </w:pPr>
    </w:p>
    <w:p w14:paraId="043AE65B" w14:textId="77777777" w:rsidR="000D2C5B" w:rsidRPr="006B1B30" w:rsidRDefault="000D2C5B" w:rsidP="000D2C5B">
      <w:pPr>
        <w:spacing w:after="240"/>
        <w:jc w:val="center"/>
        <w:rPr>
          <w:rFonts w:cs="Calibri"/>
        </w:rPr>
      </w:pPr>
      <w:r w:rsidRPr="006B1B30">
        <w:rPr>
          <w:rFonts w:cs="Calibri"/>
          <w:b/>
        </w:rPr>
        <w:lastRenderedPageBreak/>
        <w:t>OBSAH</w:t>
      </w:r>
    </w:p>
    <w:sdt>
      <w:sdtPr>
        <w:id w:val="-1031566397"/>
        <w:docPartObj>
          <w:docPartGallery w:val="Table of Contents"/>
          <w:docPartUnique/>
        </w:docPartObj>
      </w:sdtPr>
      <w:sdtEndPr/>
      <w:sdtContent>
        <w:p w14:paraId="62A3EA60" w14:textId="77777777" w:rsidR="007F395F" w:rsidRPr="006B1B30" w:rsidRDefault="007F395F" w:rsidP="001C3DB7">
          <w:pPr>
            <w:pStyle w:val="Bezmezer"/>
            <w:ind w:left="0"/>
            <w:outlineLvl w:val="1"/>
          </w:pPr>
        </w:p>
        <w:p w14:paraId="1A874718" w14:textId="5D5312CF" w:rsidR="001B4FC3" w:rsidRDefault="00E44B34">
          <w:pPr>
            <w:pStyle w:val="Obsah1"/>
            <w:rPr>
              <w:rFonts w:asciiTheme="minorHAnsi" w:eastAsiaTheme="minorEastAsia" w:hAnsiTheme="minorHAnsi" w:cstheme="minorBidi"/>
              <w:sz w:val="22"/>
            </w:rPr>
          </w:pPr>
          <w:r w:rsidRPr="006B1B30">
            <w:fldChar w:fldCharType="begin"/>
          </w:r>
          <w:r w:rsidRPr="006B1B30">
            <w:instrText xml:space="preserve"> TOC \t "Nadpisy;1" </w:instrText>
          </w:r>
          <w:r w:rsidRPr="006B1B30">
            <w:fldChar w:fldCharType="separate"/>
          </w:r>
          <w:r w:rsidR="001B4FC3">
            <w:t>1.</w:t>
          </w:r>
          <w:r w:rsidR="001B4FC3">
            <w:rPr>
              <w:rFonts w:asciiTheme="minorHAnsi" w:eastAsiaTheme="minorEastAsia" w:hAnsiTheme="minorHAnsi" w:cstheme="minorBidi"/>
              <w:sz w:val="22"/>
            </w:rPr>
            <w:tab/>
          </w:r>
          <w:r w:rsidR="001B4FC3">
            <w:t>Účel a předmět Smlouvy</w:t>
          </w:r>
          <w:r w:rsidR="001B4FC3">
            <w:tab/>
          </w:r>
          <w:r w:rsidR="001B4FC3">
            <w:fldChar w:fldCharType="begin"/>
          </w:r>
          <w:r w:rsidR="001B4FC3">
            <w:instrText xml:space="preserve"> PAGEREF _Toc55934494 \h </w:instrText>
          </w:r>
          <w:r w:rsidR="001B4FC3">
            <w:fldChar w:fldCharType="separate"/>
          </w:r>
          <w:r w:rsidR="00C9005D">
            <w:t>4</w:t>
          </w:r>
          <w:r w:rsidR="001B4FC3">
            <w:fldChar w:fldCharType="end"/>
          </w:r>
        </w:p>
        <w:p w14:paraId="52BF1EB0" w14:textId="05C0D4A1" w:rsidR="001B4FC3" w:rsidRDefault="001B4FC3">
          <w:pPr>
            <w:pStyle w:val="Obsah1"/>
            <w:rPr>
              <w:rFonts w:asciiTheme="minorHAnsi" w:eastAsiaTheme="minorEastAsia" w:hAnsiTheme="minorHAnsi" w:cstheme="minorBidi"/>
              <w:sz w:val="22"/>
            </w:rPr>
          </w:pPr>
          <w:r w:rsidRPr="007E02AC">
            <w:rPr>
              <w:bCs/>
            </w:rPr>
            <w:t>2.</w:t>
          </w:r>
          <w:r>
            <w:rPr>
              <w:rFonts w:asciiTheme="minorHAnsi" w:eastAsiaTheme="minorEastAsia" w:hAnsiTheme="minorHAnsi" w:cstheme="minorBidi"/>
              <w:sz w:val="22"/>
            </w:rPr>
            <w:tab/>
          </w:r>
          <w:r>
            <w:t>Místo poskytování Služeb</w:t>
          </w:r>
          <w:r>
            <w:tab/>
          </w:r>
          <w:r>
            <w:fldChar w:fldCharType="begin"/>
          </w:r>
          <w:r>
            <w:instrText xml:space="preserve"> PAGEREF _Toc55934495 \h </w:instrText>
          </w:r>
          <w:r>
            <w:fldChar w:fldCharType="separate"/>
          </w:r>
          <w:r w:rsidR="00C9005D">
            <w:t>7</w:t>
          </w:r>
          <w:r>
            <w:fldChar w:fldCharType="end"/>
          </w:r>
        </w:p>
        <w:p w14:paraId="09091DE8" w14:textId="79762B6E" w:rsidR="001B4FC3" w:rsidRDefault="001B4FC3">
          <w:pPr>
            <w:pStyle w:val="Obsah1"/>
            <w:rPr>
              <w:rFonts w:asciiTheme="minorHAnsi" w:eastAsiaTheme="minorEastAsia" w:hAnsiTheme="minorHAnsi" w:cstheme="minorBidi"/>
              <w:sz w:val="22"/>
            </w:rPr>
          </w:pPr>
          <w:r>
            <w:t>3.</w:t>
          </w:r>
          <w:r>
            <w:rPr>
              <w:rFonts w:asciiTheme="minorHAnsi" w:eastAsiaTheme="minorEastAsia" w:hAnsiTheme="minorHAnsi" w:cstheme="minorBidi"/>
              <w:sz w:val="22"/>
            </w:rPr>
            <w:tab/>
          </w:r>
          <w:r>
            <w:t>Trvání Smlouvy</w:t>
          </w:r>
          <w:r>
            <w:tab/>
          </w:r>
          <w:r>
            <w:fldChar w:fldCharType="begin"/>
          </w:r>
          <w:r>
            <w:instrText xml:space="preserve"> PAGEREF _Toc55934496 \h </w:instrText>
          </w:r>
          <w:r>
            <w:fldChar w:fldCharType="separate"/>
          </w:r>
          <w:r w:rsidR="00C9005D">
            <w:t>7</w:t>
          </w:r>
          <w:r>
            <w:fldChar w:fldCharType="end"/>
          </w:r>
        </w:p>
        <w:p w14:paraId="3DCD0A33" w14:textId="027EF10D" w:rsidR="001B4FC3" w:rsidRDefault="001B4FC3">
          <w:pPr>
            <w:pStyle w:val="Obsah1"/>
            <w:rPr>
              <w:rFonts w:asciiTheme="minorHAnsi" w:eastAsiaTheme="minorEastAsia" w:hAnsiTheme="minorHAnsi" w:cstheme="minorBidi"/>
              <w:sz w:val="22"/>
            </w:rPr>
          </w:pPr>
          <w:r>
            <w:t>4.</w:t>
          </w:r>
          <w:r>
            <w:rPr>
              <w:rFonts w:asciiTheme="minorHAnsi" w:eastAsiaTheme="minorEastAsia" w:hAnsiTheme="minorHAnsi" w:cstheme="minorBidi"/>
              <w:sz w:val="22"/>
            </w:rPr>
            <w:tab/>
          </w:r>
          <w:r>
            <w:t>Odměna a platební podmínky</w:t>
          </w:r>
          <w:r>
            <w:tab/>
          </w:r>
          <w:r>
            <w:fldChar w:fldCharType="begin"/>
          </w:r>
          <w:r>
            <w:instrText xml:space="preserve"> PAGEREF _Toc55934497 \h </w:instrText>
          </w:r>
          <w:r>
            <w:fldChar w:fldCharType="separate"/>
          </w:r>
          <w:r w:rsidR="00C9005D">
            <w:t>7</w:t>
          </w:r>
          <w:r>
            <w:fldChar w:fldCharType="end"/>
          </w:r>
        </w:p>
        <w:p w14:paraId="7E0D13DA" w14:textId="1797A93B" w:rsidR="001B4FC3" w:rsidRDefault="001B4FC3">
          <w:pPr>
            <w:pStyle w:val="Obsah1"/>
            <w:rPr>
              <w:rFonts w:asciiTheme="minorHAnsi" w:eastAsiaTheme="minorEastAsia" w:hAnsiTheme="minorHAnsi" w:cstheme="minorBidi"/>
              <w:sz w:val="22"/>
            </w:rPr>
          </w:pPr>
          <w:r>
            <w:t>5.</w:t>
          </w:r>
          <w:r>
            <w:rPr>
              <w:rFonts w:asciiTheme="minorHAnsi" w:eastAsiaTheme="minorEastAsia" w:hAnsiTheme="minorHAnsi" w:cstheme="minorBidi"/>
              <w:sz w:val="22"/>
            </w:rPr>
            <w:tab/>
          </w:r>
          <w:r>
            <w:t>Splatnost a způsob úhrad dle této Smlouvy</w:t>
          </w:r>
          <w:r>
            <w:tab/>
          </w:r>
          <w:r>
            <w:fldChar w:fldCharType="begin"/>
          </w:r>
          <w:r>
            <w:instrText xml:space="preserve"> PAGEREF _Toc55934498 \h </w:instrText>
          </w:r>
          <w:r>
            <w:fldChar w:fldCharType="separate"/>
          </w:r>
          <w:r w:rsidR="00C9005D">
            <w:t>9</w:t>
          </w:r>
          <w:r>
            <w:fldChar w:fldCharType="end"/>
          </w:r>
        </w:p>
        <w:p w14:paraId="56BF7D6B" w14:textId="3CAA6909" w:rsidR="001B4FC3" w:rsidRDefault="001B4FC3">
          <w:pPr>
            <w:pStyle w:val="Obsah1"/>
            <w:rPr>
              <w:rFonts w:asciiTheme="minorHAnsi" w:eastAsiaTheme="minorEastAsia" w:hAnsiTheme="minorHAnsi" w:cstheme="minorBidi"/>
              <w:sz w:val="22"/>
            </w:rPr>
          </w:pPr>
          <w:r>
            <w:t>6.</w:t>
          </w:r>
          <w:r>
            <w:rPr>
              <w:rFonts w:asciiTheme="minorHAnsi" w:eastAsiaTheme="minorEastAsia" w:hAnsiTheme="minorHAnsi" w:cstheme="minorBidi"/>
              <w:sz w:val="22"/>
            </w:rPr>
            <w:tab/>
          </w:r>
          <w:r>
            <w:t>Práva a povinnosti Smluvních stran</w:t>
          </w:r>
          <w:r>
            <w:tab/>
          </w:r>
          <w:r>
            <w:fldChar w:fldCharType="begin"/>
          </w:r>
          <w:r>
            <w:instrText xml:space="preserve"> PAGEREF _Toc55934499 \h </w:instrText>
          </w:r>
          <w:r>
            <w:fldChar w:fldCharType="separate"/>
          </w:r>
          <w:r w:rsidR="00C9005D">
            <w:t>10</w:t>
          </w:r>
          <w:r>
            <w:fldChar w:fldCharType="end"/>
          </w:r>
        </w:p>
        <w:p w14:paraId="0B3B4904" w14:textId="5436AF2B" w:rsidR="001B4FC3" w:rsidRDefault="001B4FC3">
          <w:pPr>
            <w:pStyle w:val="Obsah1"/>
            <w:rPr>
              <w:rFonts w:asciiTheme="minorHAnsi" w:eastAsiaTheme="minorEastAsia" w:hAnsiTheme="minorHAnsi" w:cstheme="minorBidi"/>
              <w:sz w:val="22"/>
            </w:rPr>
          </w:pPr>
          <w:r>
            <w:t>7.</w:t>
          </w:r>
          <w:r>
            <w:rPr>
              <w:rFonts w:asciiTheme="minorHAnsi" w:eastAsiaTheme="minorEastAsia" w:hAnsiTheme="minorHAnsi" w:cstheme="minorBidi"/>
              <w:sz w:val="22"/>
            </w:rPr>
            <w:tab/>
          </w:r>
          <w:r>
            <w:t>Porušení smluvních povinností</w:t>
          </w:r>
          <w:r>
            <w:tab/>
          </w:r>
          <w:r>
            <w:fldChar w:fldCharType="begin"/>
          </w:r>
          <w:r>
            <w:instrText xml:space="preserve"> PAGEREF _Toc55934500 \h </w:instrText>
          </w:r>
          <w:r>
            <w:fldChar w:fldCharType="separate"/>
          </w:r>
          <w:r w:rsidR="00C9005D">
            <w:t>11</w:t>
          </w:r>
          <w:r>
            <w:fldChar w:fldCharType="end"/>
          </w:r>
        </w:p>
        <w:p w14:paraId="7C6CDB71" w14:textId="600B8804" w:rsidR="001B4FC3" w:rsidRDefault="001B4FC3">
          <w:pPr>
            <w:pStyle w:val="Obsah1"/>
            <w:rPr>
              <w:rFonts w:asciiTheme="minorHAnsi" w:eastAsiaTheme="minorEastAsia" w:hAnsiTheme="minorHAnsi" w:cstheme="minorBidi"/>
              <w:sz w:val="22"/>
            </w:rPr>
          </w:pPr>
          <w:r>
            <w:t>8.</w:t>
          </w:r>
          <w:r>
            <w:rPr>
              <w:rFonts w:asciiTheme="minorHAnsi" w:eastAsiaTheme="minorEastAsia" w:hAnsiTheme="minorHAnsi" w:cstheme="minorBidi"/>
              <w:sz w:val="22"/>
            </w:rPr>
            <w:tab/>
          </w:r>
          <w:r>
            <w:t>Ukončení této Smlouvy</w:t>
          </w:r>
          <w:r>
            <w:tab/>
          </w:r>
          <w:r>
            <w:fldChar w:fldCharType="begin"/>
          </w:r>
          <w:r>
            <w:instrText xml:space="preserve"> PAGEREF _Toc55934501 \h </w:instrText>
          </w:r>
          <w:r>
            <w:fldChar w:fldCharType="separate"/>
          </w:r>
          <w:r w:rsidR="00C9005D">
            <w:t>11</w:t>
          </w:r>
          <w:r>
            <w:fldChar w:fldCharType="end"/>
          </w:r>
        </w:p>
        <w:p w14:paraId="772B78B5" w14:textId="562BB3C2" w:rsidR="001B4FC3" w:rsidRDefault="001B4FC3">
          <w:pPr>
            <w:pStyle w:val="Obsah1"/>
            <w:rPr>
              <w:rFonts w:asciiTheme="minorHAnsi" w:eastAsiaTheme="minorEastAsia" w:hAnsiTheme="minorHAnsi" w:cstheme="minorBidi"/>
              <w:sz w:val="22"/>
            </w:rPr>
          </w:pPr>
          <w:r>
            <w:t>9.</w:t>
          </w:r>
          <w:r>
            <w:rPr>
              <w:rFonts w:asciiTheme="minorHAnsi" w:eastAsiaTheme="minorEastAsia" w:hAnsiTheme="minorHAnsi" w:cstheme="minorBidi"/>
              <w:sz w:val="22"/>
            </w:rPr>
            <w:tab/>
          </w:r>
          <w:r>
            <w:t>Oznamování</w:t>
          </w:r>
          <w:r>
            <w:tab/>
          </w:r>
          <w:r>
            <w:fldChar w:fldCharType="begin"/>
          </w:r>
          <w:r>
            <w:instrText xml:space="preserve"> PAGEREF _Toc55934502 \h </w:instrText>
          </w:r>
          <w:r>
            <w:fldChar w:fldCharType="separate"/>
          </w:r>
          <w:r w:rsidR="00C9005D">
            <w:t>13</w:t>
          </w:r>
          <w:r>
            <w:fldChar w:fldCharType="end"/>
          </w:r>
        </w:p>
        <w:p w14:paraId="59C29EEE" w14:textId="2AA43E2B" w:rsidR="001B4FC3" w:rsidRDefault="001B4FC3">
          <w:pPr>
            <w:pStyle w:val="Obsah1"/>
            <w:rPr>
              <w:rFonts w:asciiTheme="minorHAnsi" w:eastAsiaTheme="minorEastAsia" w:hAnsiTheme="minorHAnsi" w:cstheme="minorBidi"/>
              <w:sz w:val="22"/>
            </w:rPr>
          </w:pPr>
          <w:r>
            <w:t>10.</w:t>
          </w:r>
          <w:r>
            <w:rPr>
              <w:rFonts w:asciiTheme="minorHAnsi" w:eastAsiaTheme="minorEastAsia" w:hAnsiTheme="minorHAnsi" w:cstheme="minorBidi"/>
              <w:sz w:val="22"/>
            </w:rPr>
            <w:tab/>
          </w:r>
          <w:r>
            <w:t>Ochrana důvěrných informací</w:t>
          </w:r>
          <w:r>
            <w:tab/>
          </w:r>
          <w:r>
            <w:fldChar w:fldCharType="begin"/>
          </w:r>
          <w:r>
            <w:instrText xml:space="preserve"> PAGEREF _Toc55934503 \h </w:instrText>
          </w:r>
          <w:r>
            <w:fldChar w:fldCharType="separate"/>
          </w:r>
          <w:r w:rsidR="00C9005D">
            <w:t>13</w:t>
          </w:r>
          <w:r>
            <w:fldChar w:fldCharType="end"/>
          </w:r>
        </w:p>
        <w:p w14:paraId="1A57EEF3" w14:textId="4B4E40F0" w:rsidR="001B4FC3" w:rsidRDefault="001B4FC3">
          <w:pPr>
            <w:pStyle w:val="Obsah1"/>
            <w:rPr>
              <w:rFonts w:asciiTheme="minorHAnsi" w:eastAsiaTheme="minorEastAsia" w:hAnsiTheme="minorHAnsi" w:cstheme="minorBidi"/>
              <w:sz w:val="22"/>
            </w:rPr>
          </w:pPr>
          <w:r>
            <w:t>11.</w:t>
          </w:r>
          <w:r>
            <w:rPr>
              <w:rFonts w:asciiTheme="minorHAnsi" w:eastAsiaTheme="minorEastAsia" w:hAnsiTheme="minorHAnsi" w:cstheme="minorBidi"/>
              <w:sz w:val="22"/>
            </w:rPr>
            <w:tab/>
          </w:r>
          <w:r>
            <w:t>Rozhodné právo</w:t>
          </w:r>
          <w:r>
            <w:tab/>
          </w:r>
          <w:r>
            <w:fldChar w:fldCharType="begin"/>
          </w:r>
          <w:r>
            <w:instrText xml:space="preserve"> PAGEREF _Toc55934504 \h </w:instrText>
          </w:r>
          <w:r>
            <w:fldChar w:fldCharType="separate"/>
          </w:r>
          <w:r w:rsidR="00C9005D">
            <w:t>14</w:t>
          </w:r>
          <w:r>
            <w:fldChar w:fldCharType="end"/>
          </w:r>
        </w:p>
        <w:p w14:paraId="3A7695A1" w14:textId="6115847D" w:rsidR="001B4FC3" w:rsidRDefault="001B4FC3">
          <w:pPr>
            <w:pStyle w:val="Obsah1"/>
            <w:rPr>
              <w:rFonts w:asciiTheme="minorHAnsi" w:eastAsiaTheme="minorEastAsia" w:hAnsiTheme="minorHAnsi" w:cstheme="minorBidi"/>
              <w:sz w:val="22"/>
            </w:rPr>
          </w:pPr>
          <w:r>
            <w:t>12.</w:t>
          </w:r>
          <w:r>
            <w:rPr>
              <w:rFonts w:asciiTheme="minorHAnsi" w:eastAsiaTheme="minorEastAsia" w:hAnsiTheme="minorHAnsi" w:cstheme="minorBidi"/>
              <w:sz w:val="22"/>
            </w:rPr>
            <w:tab/>
          </w:r>
          <w:r>
            <w:t>Řešení sporů</w:t>
          </w:r>
          <w:r>
            <w:tab/>
          </w:r>
          <w:r>
            <w:fldChar w:fldCharType="begin"/>
          </w:r>
          <w:r>
            <w:instrText xml:space="preserve"> PAGEREF _Toc55934505 \h </w:instrText>
          </w:r>
          <w:r>
            <w:fldChar w:fldCharType="separate"/>
          </w:r>
          <w:r w:rsidR="00C9005D">
            <w:t>14</w:t>
          </w:r>
          <w:r>
            <w:fldChar w:fldCharType="end"/>
          </w:r>
        </w:p>
        <w:p w14:paraId="7257018D" w14:textId="40565348" w:rsidR="001B4FC3" w:rsidRDefault="001B4FC3">
          <w:pPr>
            <w:pStyle w:val="Obsah1"/>
            <w:rPr>
              <w:rFonts w:asciiTheme="minorHAnsi" w:eastAsiaTheme="minorEastAsia" w:hAnsiTheme="minorHAnsi" w:cstheme="minorBidi"/>
              <w:sz w:val="22"/>
            </w:rPr>
          </w:pPr>
          <w:r>
            <w:t>13.</w:t>
          </w:r>
          <w:r>
            <w:rPr>
              <w:rFonts w:asciiTheme="minorHAnsi" w:eastAsiaTheme="minorEastAsia" w:hAnsiTheme="minorHAnsi" w:cstheme="minorBidi"/>
              <w:sz w:val="22"/>
            </w:rPr>
            <w:tab/>
          </w:r>
          <w:r>
            <w:t>Vymezení vůči Občanskému zákoníku</w:t>
          </w:r>
          <w:r>
            <w:tab/>
          </w:r>
          <w:r>
            <w:fldChar w:fldCharType="begin"/>
          </w:r>
          <w:r>
            <w:instrText xml:space="preserve"> PAGEREF _Toc55934506 \h </w:instrText>
          </w:r>
          <w:r>
            <w:fldChar w:fldCharType="separate"/>
          </w:r>
          <w:r w:rsidR="00C9005D">
            <w:t>14</w:t>
          </w:r>
          <w:r>
            <w:fldChar w:fldCharType="end"/>
          </w:r>
        </w:p>
        <w:p w14:paraId="0EE363AE" w14:textId="203A739F" w:rsidR="001B4FC3" w:rsidRDefault="001B4FC3">
          <w:pPr>
            <w:pStyle w:val="Obsah1"/>
            <w:rPr>
              <w:rFonts w:asciiTheme="minorHAnsi" w:eastAsiaTheme="minorEastAsia" w:hAnsiTheme="minorHAnsi" w:cstheme="minorBidi"/>
              <w:sz w:val="22"/>
            </w:rPr>
          </w:pPr>
          <w:r>
            <w:t>14.</w:t>
          </w:r>
          <w:r>
            <w:rPr>
              <w:rFonts w:asciiTheme="minorHAnsi" w:eastAsiaTheme="minorEastAsia" w:hAnsiTheme="minorHAnsi" w:cstheme="minorBidi"/>
              <w:sz w:val="22"/>
            </w:rPr>
            <w:tab/>
          </w:r>
          <w:r>
            <w:t>Vyšší moc</w:t>
          </w:r>
          <w:r>
            <w:tab/>
          </w:r>
          <w:r>
            <w:fldChar w:fldCharType="begin"/>
          </w:r>
          <w:r>
            <w:instrText xml:space="preserve"> PAGEREF _Toc55934507 \h </w:instrText>
          </w:r>
          <w:r>
            <w:fldChar w:fldCharType="separate"/>
          </w:r>
          <w:r w:rsidR="00C9005D">
            <w:t>14</w:t>
          </w:r>
          <w:r>
            <w:fldChar w:fldCharType="end"/>
          </w:r>
        </w:p>
        <w:p w14:paraId="4473BB97" w14:textId="2957DBFC" w:rsidR="001B4FC3" w:rsidRDefault="001B4FC3">
          <w:pPr>
            <w:pStyle w:val="Obsah1"/>
            <w:rPr>
              <w:rFonts w:asciiTheme="minorHAnsi" w:eastAsiaTheme="minorEastAsia" w:hAnsiTheme="minorHAnsi" w:cstheme="minorBidi"/>
              <w:sz w:val="22"/>
            </w:rPr>
          </w:pPr>
          <w:r>
            <w:t>15.</w:t>
          </w:r>
          <w:r>
            <w:rPr>
              <w:rFonts w:asciiTheme="minorHAnsi" w:eastAsiaTheme="minorEastAsia" w:hAnsiTheme="minorHAnsi" w:cstheme="minorBidi"/>
              <w:sz w:val="22"/>
            </w:rPr>
            <w:tab/>
          </w:r>
          <w:r>
            <w:t>Vzdání se práva</w:t>
          </w:r>
          <w:r>
            <w:tab/>
          </w:r>
          <w:r>
            <w:fldChar w:fldCharType="begin"/>
          </w:r>
          <w:r>
            <w:instrText xml:space="preserve"> PAGEREF _Toc55934508 \h </w:instrText>
          </w:r>
          <w:r>
            <w:fldChar w:fldCharType="separate"/>
          </w:r>
          <w:r w:rsidR="00C9005D">
            <w:t>14</w:t>
          </w:r>
          <w:r>
            <w:fldChar w:fldCharType="end"/>
          </w:r>
        </w:p>
        <w:p w14:paraId="26F05E3B" w14:textId="331B55D1" w:rsidR="001B4FC3" w:rsidRDefault="001B4FC3">
          <w:pPr>
            <w:pStyle w:val="Obsah1"/>
            <w:rPr>
              <w:rFonts w:asciiTheme="minorHAnsi" w:eastAsiaTheme="minorEastAsia" w:hAnsiTheme="minorHAnsi" w:cstheme="minorBidi"/>
              <w:sz w:val="22"/>
            </w:rPr>
          </w:pPr>
          <w:r>
            <w:t>16.</w:t>
          </w:r>
          <w:r>
            <w:rPr>
              <w:rFonts w:asciiTheme="minorHAnsi" w:eastAsiaTheme="minorEastAsia" w:hAnsiTheme="minorHAnsi" w:cstheme="minorBidi"/>
              <w:sz w:val="22"/>
            </w:rPr>
            <w:tab/>
          </w:r>
          <w:r>
            <w:t>Oddělitelnost</w:t>
          </w:r>
          <w:r>
            <w:tab/>
          </w:r>
          <w:r>
            <w:fldChar w:fldCharType="begin"/>
          </w:r>
          <w:r>
            <w:instrText xml:space="preserve"> PAGEREF _Toc55934509 \h </w:instrText>
          </w:r>
          <w:r>
            <w:fldChar w:fldCharType="separate"/>
          </w:r>
          <w:r w:rsidR="00C9005D">
            <w:t>14</w:t>
          </w:r>
          <w:r>
            <w:fldChar w:fldCharType="end"/>
          </w:r>
        </w:p>
        <w:p w14:paraId="6E5BD71F" w14:textId="3FE5E2DC" w:rsidR="001B4FC3" w:rsidRDefault="001B4FC3">
          <w:pPr>
            <w:pStyle w:val="Obsah1"/>
            <w:rPr>
              <w:rFonts w:asciiTheme="minorHAnsi" w:eastAsiaTheme="minorEastAsia" w:hAnsiTheme="minorHAnsi" w:cstheme="minorBidi"/>
              <w:sz w:val="22"/>
            </w:rPr>
          </w:pPr>
          <w:r>
            <w:t>17.</w:t>
          </w:r>
          <w:r>
            <w:rPr>
              <w:rFonts w:asciiTheme="minorHAnsi" w:eastAsiaTheme="minorEastAsia" w:hAnsiTheme="minorHAnsi" w:cstheme="minorBidi"/>
              <w:sz w:val="22"/>
            </w:rPr>
            <w:tab/>
          </w:r>
          <w:r>
            <w:t>Postoupení</w:t>
          </w:r>
          <w:r>
            <w:tab/>
          </w:r>
          <w:r>
            <w:fldChar w:fldCharType="begin"/>
          </w:r>
          <w:r>
            <w:instrText xml:space="preserve"> PAGEREF _Toc55934510 \h </w:instrText>
          </w:r>
          <w:r>
            <w:fldChar w:fldCharType="separate"/>
          </w:r>
          <w:r w:rsidR="00C9005D">
            <w:t>15</w:t>
          </w:r>
          <w:r>
            <w:fldChar w:fldCharType="end"/>
          </w:r>
        </w:p>
        <w:p w14:paraId="5458AA5C" w14:textId="4A9D58F5" w:rsidR="001B4FC3" w:rsidRDefault="001B4FC3">
          <w:pPr>
            <w:pStyle w:val="Obsah1"/>
            <w:rPr>
              <w:rFonts w:asciiTheme="minorHAnsi" w:eastAsiaTheme="minorEastAsia" w:hAnsiTheme="minorHAnsi" w:cstheme="minorBidi"/>
              <w:sz w:val="22"/>
            </w:rPr>
          </w:pPr>
          <w:r>
            <w:t>18.</w:t>
          </w:r>
          <w:r>
            <w:rPr>
              <w:rFonts w:asciiTheme="minorHAnsi" w:eastAsiaTheme="minorEastAsia" w:hAnsiTheme="minorHAnsi" w:cstheme="minorBidi"/>
              <w:sz w:val="22"/>
            </w:rPr>
            <w:tab/>
          </w:r>
          <w:r>
            <w:t>Závěrečná ustanovení</w:t>
          </w:r>
          <w:r>
            <w:tab/>
          </w:r>
          <w:r>
            <w:fldChar w:fldCharType="begin"/>
          </w:r>
          <w:r>
            <w:instrText xml:space="preserve"> PAGEREF _Toc55934511 \h </w:instrText>
          </w:r>
          <w:r>
            <w:fldChar w:fldCharType="separate"/>
          </w:r>
          <w:r w:rsidR="00C9005D">
            <w:t>15</w:t>
          </w:r>
          <w:r>
            <w:fldChar w:fldCharType="end"/>
          </w:r>
        </w:p>
        <w:p w14:paraId="688C6D0D" w14:textId="4075081B" w:rsidR="001B4FC3" w:rsidRDefault="001B4FC3">
          <w:pPr>
            <w:pStyle w:val="Obsah1"/>
            <w:rPr>
              <w:rFonts w:asciiTheme="minorHAnsi" w:eastAsiaTheme="minorEastAsia" w:hAnsiTheme="minorHAnsi" w:cstheme="minorBidi"/>
              <w:sz w:val="22"/>
            </w:rPr>
          </w:pPr>
          <w:r>
            <w:t>19.</w:t>
          </w:r>
          <w:r>
            <w:rPr>
              <w:rFonts w:asciiTheme="minorHAnsi" w:eastAsiaTheme="minorEastAsia" w:hAnsiTheme="minorHAnsi" w:cstheme="minorBidi"/>
              <w:sz w:val="22"/>
            </w:rPr>
            <w:tab/>
          </w:r>
          <w:r>
            <w:t>Změny</w:t>
          </w:r>
          <w:r>
            <w:tab/>
          </w:r>
          <w:r>
            <w:fldChar w:fldCharType="begin"/>
          </w:r>
          <w:r>
            <w:instrText xml:space="preserve"> PAGEREF _Toc55934512 \h </w:instrText>
          </w:r>
          <w:r>
            <w:fldChar w:fldCharType="separate"/>
          </w:r>
          <w:r w:rsidR="00C9005D">
            <w:t>16</w:t>
          </w:r>
          <w:r>
            <w:fldChar w:fldCharType="end"/>
          </w:r>
        </w:p>
        <w:p w14:paraId="6E407F8F" w14:textId="6B2980F6" w:rsidR="001B4FC3" w:rsidRDefault="001B4FC3">
          <w:pPr>
            <w:pStyle w:val="Obsah1"/>
            <w:rPr>
              <w:rFonts w:asciiTheme="minorHAnsi" w:eastAsiaTheme="minorEastAsia" w:hAnsiTheme="minorHAnsi" w:cstheme="minorBidi"/>
              <w:sz w:val="22"/>
            </w:rPr>
          </w:pPr>
          <w:r>
            <w:t>20.</w:t>
          </w:r>
          <w:r>
            <w:rPr>
              <w:rFonts w:asciiTheme="minorHAnsi" w:eastAsiaTheme="minorEastAsia" w:hAnsiTheme="minorHAnsi" w:cstheme="minorBidi"/>
              <w:sz w:val="22"/>
            </w:rPr>
            <w:tab/>
          </w:r>
          <w:r>
            <w:t>Vyhotovení</w:t>
          </w:r>
          <w:r>
            <w:tab/>
          </w:r>
          <w:r>
            <w:fldChar w:fldCharType="begin"/>
          </w:r>
          <w:r>
            <w:instrText xml:space="preserve"> PAGEREF _Toc55934513 \h </w:instrText>
          </w:r>
          <w:r>
            <w:fldChar w:fldCharType="separate"/>
          </w:r>
          <w:r w:rsidR="00C9005D">
            <w:t>16</w:t>
          </w:r>
          <w:r>
            <w:fldChar w:fldCharType="end"/>
          </w:r>
        </w:p>
        <w:p w14:paraId="3B6A8A1C" w14:textId="25D3AD73" w:rsidR="001B4FC3" w:rsidRDefault="001B4FC3">
          <w:pPr>
            <w:pStyle w:val="Obsah1"/>
            <w:rPr>
              <w:rFonts w:asciiTheme="minorHAnsi" w:eastAsiaTheme="minorEastAsia" w:hAnsiTheme="minorHAnsi" w:cstheme="minorBidi"/>
              <w:sz w:val="22"/>
            </w:rPr>
          </w:pPr>
          <w:r>
            <w:t>21.</w:t>
          </w:r>
          <w:r>
            <w:rPr>
              <w:rFonts w:asciiTheme="minorHAnsi" w:eastAsiaTheme="minorEastAsia" w:hAnsiTheme="minorHAnsi" w:cstheme="minorBidi"/>
              <w:sz w:val="22"/>
            </w:rPr>
            <w:tab/>
          </w:r>
          <w:r>
            <w:t>Prohlášení o přístupnosti Smlouvy</w:t>
          </w:r>
          <w:r>
            <w:tab/>
          </w:r>
          <w:r>
            <w:fldChar w:fldCharType="begin"/>
          </w:r>
          <w:r>
            <w:instrText xml:space="preserve"> PAGEREF _Toc55934514 \h </w:instrText>
          </w:r>
          <w:r>
            <w:fldChar w:fldCharType="separate"/>
          </w:r>
          <w:r w:rsidR="00C9005D">
            <w:t>16</w:t>
          </w:r>
          <w:r>
            <w:fldChar w:fldCharType="end"/>
          </w:r>
        </w:p>
        <w:p w14:paraId="01412313" w14:textId="75C63B7A" w:rsidR="001B4FC3" w:rsidRDefault="001B4FC3">
          <w:pPr>
            <w:pStyle w:val="Obsah1"/>
            <w:rPr>
              <w:rFonts w:asciiTheme="minorHAnsi" w:eastAsiaTheme="minorEastAsia" w:hAnsiTheme="minorHAnsi" w:cstheme="minorBidi"/>
              <w:sz w:val="22"/>
            </w:rPr>
          </w:pPr>
          <w:r>
            <w:t>22.</w:t>
          </w:r>
          <w:r>
            <w:rPr>
              <w:rFonts w:asciiTheme="minorHAnsi" w:eastAsiaTheme="minorEastAsia" w:hAnsiTheme="minorHAnsi" w:cstheme="minorBidi"/>
              <w:sz w:val="22"/>
            </w:rPr>
            <w:tab/>
          </w:r>
          <w:r>
            <w:t>Účinnost</w:t>
          </w:r>
          <w:r>
            <w:tab/>
          </w:r>
          <w:r>
            <w:fldChar w:fldCharType="begin"/>
          </w:r>
          <w:r>
            <w:instrText xml:space="preserve"> PAGEREF _Toc55934515 \h </w:instrText>
          </w:r>
          <w:r>
            <w:fldChar w:fldCharType="separate"/>
          </w:r>
          <w:r w:rsidR="00C9005D">
            <w:t>16</w:t>
          </w:r>
          <w:r>
            <w:fldChar w:fldCharType="end"/>
          </w:r>
        </w:p>
        <w:p w14:paraId="0AD073D3" w14:textId="3AEB4DA5" w:rsidR="007F395F" w:rsidRPr="006B1B30" w:rsidRDefault="00E44B34" w:rsidP="00E44B34">
          <w:pPr>
            <w:pStyle w:val="Bezmezer"/>
            <w:outlineLvl w:val="1"/>
          </w:pPr>
          <w:r w:rsidRPr="006B1B30">
            <w:fldChar w:fldCharType="end"/>
          </w:r>
        </w:p>
      </w:sdtContent>
    </w:sdt>
    <w:p w14:paraId="79F81FF2" w14:textId="77777777" w:rsidR="000D2C5B" w:rsidRPr="006B1B30" w:rsidRDefault="000D2C5B" w:rsidP="000D2C5B">
      <w:pPr>
        <w:rPr>
          <w:rFonts w:cs="Calibri"/>
          <w:noProof/>
          <w:sz w:val="16"/>
          <w:szCs w:val="16"/>
        </w:rPr>
      </w:pPr>
      <w:r w:rsidRPr="006B1B30">
        <w:rPr>
          <w:noProof/>
          <w:sz w:val="16"/>
          <w:szCs w:val="16"/>
        </w:rPr>
        <w:br w:type="page"/>
      </w:r>
    </w:p>
    <w:p w14:paraId="3EEE7865" w14:textId="77777777" w:rsidR="00A7650B" w:rsidRPr="006B1B30" w:rsidRDefault="00A7650B" w:rsidP="00A7650B">
      <w:pPr>
        <w:spacing w:before="240" w:after="60"/>
        <w:ind w:left="0"/>
        <w:jc w:val="both"/>
        <w:rPr>
          <w:b/>
        </w:rPr>
      </w:pPr>
      <w:r w:rsidRPr="006B1B30">
        <w:rPr>
          <w:b/>
        </w:rPr>
        <w:lastRenderedPageBreak/>
        <w:t xml:space="preserve">Tuto smlouvu o poskytování služeb uzavírají podle ustanovení § 1746 a násl. zákona č. 89/2012 Sb., občanský zákoník, ve znění pozdějších předpisů (dále jen „Občanský zákoník“), níže </w:t>
      </w:r>
      <w:r w:rsidRPr="006B1B30">
        <w:rPr>
          <w:b/>
          <w:bCs/>
        </w:rPr>
        <w:t>uvedeného dne následující smluvní strany (dále jen „Smlouva“)</w:t>
      </w:r>
      <w:r w:rsidRPr="006B1B30">
        <w:rPr>
          <w:b/>
        </w:rPr>
        <w:t>:</w:t>
      </w:r>
    </w:p>
    <w:p w14:paraId="5D8D8518" w14:textId="5A6888A3" w:rsidR="00A7650B" w:rsidRPr="006B1B30" w:rsidRDefault="00A7650B" w:rsidP="00A7650B">
      <w:pPr>
        <w:tabs>
          <w:tab w:val="left" w:pos="567"/>
        </w:tabs>
        <w:spacing w:before="240" w:after="60"/>
        <w:ind w:left="567" w:hanging="567"/>
        <w:jc w:val="both"/>
        <w:rPr>
          <w:rFonts w:asciiTheme="minorHAnsi" w:hAnsiTheme="minorHAnsi" w:cstheme="minorHAnsi"/>
        </w:rPr>
      </w:pPr>
      <w:r w:rsidRPr="006B1B30">
        <w:rPr>
          <w:rFonts w:asciiTheme="minorHAnsi" w:hAnsiTheme="minorHAnsi" w:cstheme="minorHAnsi"/>
        </w:rPr>
        <w:t>1.</w:t>
      </w:r>
      <w:r w:rsidRPr="006B1B30">
        <w:rPr>
          <w:rFonts w:asciiTheme="minorHAnsi" w:hAnsiTheme="minorHAnsi" w:cstheme="minorHAnsi"/>
        </w:rPr>
        <w:tab/>
      </w:r>
      <w:bookmarkStart w:id="0" w:name="_Hlk47095427"/>
      <w:r w:rsidRPr="006B1B30">
        <w:rPr>
          <w:rFonts w:asciiTheme="minorHAnsi" w:hAnsiTheme="minorHAnsi" w:cstheme="minorHAnsi"/>
          <w:b/>
        </w:rPr>
        <w:t>HOCKEY CLUB DYNAMO PARDUBICE a.s.</w:t>
      </w:r>
      <w:r w:rsidRPr="006B1B30">
        <w:rPr>
          <w:rFonts w:asciiTheme="minorHAnsi" w:hAnsiTheme="minorHAnsi" w:cstheme="minorHAnsi"/>
        </w:rPr>
        <w:t xml:space="preserve">, IČO: 601 12 476, se sídlem Sukova třída 1735, Zelené Předměstí, 530 02 Pardubice, zapsaná v obchodním rejstříku vedeném Krajským soudem v Hradci Králové pod </w:t>
      </w:r>
      <w:proofErr w:type="spellStart"/>
      <w:r w:rsidRPr="006B1B30">
        <w:rPr>
          <w:rFonts w:asciiTheme="minorHAnsi" w:hAnsiTheme="minorHAnsi" w:cstheme="minorHAnsi"/>
        </w:rPr>
        <w:t>sp</w:t>
      </w:r>
      <w:proofErr w:type="spellEnd"/>
      <w:r w:rsidRPr="006B1B30">
        <w:rPr>
          <w:rFonts w:asciiTheme="minorHAnsi" w:hAnsiTheme="minorHAnsi" w:cstheme="minorHAnsi"/>
        </w:rPr>
        <w:t>. zn. B 1078, zastoupena Mgr. Ondřejem Heřmanem, předsedou představenstva, a Mgr. Ivanem Čonkou, místopředsedou představenstva</w:t>
      </w:r>
    </w:p>
    <w:p w14:paraId="1937D1B9" w14:textId="77777777" w:rsidR="00A7650B" w:rsidRPr="006B1B30" w:rsidRDefault="00A7650B" w:rsidP="00A7650B">
      <w:pPr>
        <w:spacing w:before="240" w:after="60"/>
        <w:ind w:left="567"/>
        <w:jc w:val="both"/>
        <w:rPr>
          <w:rFonts w:asciiTheme="minorHAnsi" w:hAnsiTheme="minorHAnsi" w:cstheme="minorHAnsi"/>
        </w:rPr>
      </w:pPr>
      <w:r w:rsidRPr="006B1B30">
        <w:rPr>
          <w:rFonts w:asciiTheme="minorHAnsi" w:hAnsiTheme="minorHAnsi" w:cstheme="minorHAnsi"/>
        </w:rPr>
        <w:t>(dále též jen „</w:t>
      </w:r>
      <w:r w:rsidRPr="006B1B30">
        <w:rPr>
          <w:b/>
        </w:rPr>
        <w:t>Objednatel</w:t>
      </w:r>
      <w:r w:rsidRPr="006B1B30">
        <w:rPr>
          <w:rFonts w:asciiTheme="minorHAnsi" w:hAnsiTheme="minorHAnsi" w:cstheme="minorHAnsi"/>
        </w:rPr>
        <w:t>“)</w:t>
      </w:r>
    </w:p>
    <w:bookmarkEnd w:id="0"/>
    <w:p w14:paraId="0D755E2F" w14:textId="77777777" w:rsidR="00A7650B" w:rsidRPr="006B1B30" w:rsidRDefault="00A7650B" w:rsidP="00A7650B">
      <w:pPr>
        <w:tabs>
          <w:tab w:val="left" w:pos="4340"/>
        </w:tabs>
        <w:spacing w:before="240" w:after="60"/>
        <w:ind w:left="567"/>
        <w:jc w:val="both"/>
        <w:rPr>
          <w:rFonts w:asciiTheme="minorHAnsi" w:hAnsiTheme="minorHAnsi" w:cstheme="minorHAnsi"/>
        </w:rPr>
      </w:pPr>
      <w:r w:rsidRPr="006B1B30">
        <w:rPr>
          <w:rFonts w:asciiTheme="minorHAnsi" w:hAnsiTheme="minorHAnsi" w:cstheme="minorHAnsi"/>
        </w:rPr>
        <w:t>a</w:t>
      </w:r>
    </w:p>
    <w:p w14:paraId="6AAAD87C" w14:textId="77777777" w:rsidR="00A7650B" w:rsidRPr="006B1B30" w:rsidRDefault="00A7650B" w:rsidP="00A7650B">
      <w:pPr>
        <w:tabs>
          <w:tab w:val="left" w:pos="567"/>
        </w:tabs>
        <w:spacing w:before="240" w:after="60"/>
        <w:ind w:left="567" w:hanging="567"/>
        <w:jc w:val="both"/>
        <w:rPr>
          <w:rFonts w:asciiTheme="minorHAnsi" w:hAnsiTheme="minorHAnsi" w:cstheme="minorHAnsi"/>
        </w:rPr>
      </w:pPr>
      <w:r w:rsidRPr="006B1B30">
        <w:rPr>
          <w:rFonts w:asciiTheme="minorHAnsi" w:hAnsiTheme="minorHAnsi" w:cstheme="minorHAnsi"/>
        </w:rPr>
        <w:t>2.</w:t>
      </w:r>
      <w:r w:rsidRPr="006B1B30">
        <w:rPr>
          <w:rFonts w:asciiTheme="minorHAnsi" w:hAnsiTheme="minorHAnsi" w:cstheme="minorHAnsi"/>
        </w:rPr>
        <w:tab/>
      </w:r>
      <w:r w:rsidRPr="006B1B30">
        <w:rPr>
          <w:rFonts w:asciiTheme="minorHAnsi" w:hAnsiTheme="minorHAnsi" w:cstheme="minorHAnsi"/>
          <w:b/>
        </w:rPr>
        <w:t>Rozvojový fond Pardubice a.s.</w:t>
      </w:r>
      <w:r w:rsidRPr="006B1B30">
        <w:rPr>
          <w:rFonts w:asciiTheme="minorHAnsi" w:hAnsiTheme="minorHAnsi" w:cstheme="minorHAnsi"/>
          <w:bCs/>
        </w:rPr>
        <w:t>,</w:t>
      </w:r>
      <w:r w:rsidRPr="006B1B30">
        <w:rPr>
          <w:rFonts w:asciiTheme="minorHAnsi" w:hAnsiTheme="minorHAnsi" w:cstheme="minorHAnsi"/>
        </w:rPr>
        <w:t xml:space="preserve"> IČO: 252 91 408, se sídlem třída Míru 90, Zelené Předměstí, 530 02 Pardubice, zapsaná v obchodním rejstříku vedeném Krajským soudem v Hradci Králové pod </w:t>
      </w:r>
      <w:proofErr w:type="spellStart"/>
      <w:r w:rsidRPr="006B1B30">
        <w:rPr>
          <w:rFonts w:asciiTheme="minorHAnsi" w:hAnsiTheme="minorHAnsi" w:cstheme="minorHAnsi"/>
        </w:rPr>
        <w:t>sp</w:t>
      </w:r>
      <w:proofErr w:type="spellEnd"/>
      <w:r w:rsidRPr="006B1B30">
        <w:rPr>
          <w:rFonts w:asciiTheme="minorHAnsi" w:hAnsiTheme="minorHAnsi" w:cstheme="minorHAnsi"/>
        </w:rPr>
        <w:t>. zn. B 1822, zastoupena Ing. Alexandrem Krejčířem, předsedou představenstva, a Mgr. Ondřejem Šebkem, místopředsedou představenstva</w:t>
      </w:r>
    </w:p>
    <w:p w14:paraId="373FFBB8" w14:textId="77777777" w:rsidR="00A7650B" w:rsidRPr="006B1B30" w:rsidRDefault="00A7650B" w:rsidP="00A7650B">
      <w:pPr>
        <w:spacing w:before="240" w:after="60"/>
        <w:ind w:left="567"/>
        <w:jc w:val="both"/>
        <w:rPr>
          <w:rFonts w:asciiTheme="minorHAnsi" w:hAnsiTheme="minorHAnsi" w:cstheme="minorHAnsi"/>
        </w:rPr>
      </w:pPr>
      <w:r w:rsidRPr="006B1B30">
        <w:rPr>
          <w:rFonts w:asciiTheme="minorHAnsi" w:hAnsiTheme="minorHAnsi" w:cstheme="minorHAnsi"/>
        </w:rPr>
        <w:t>(dále též jen „</w:t>
      </w:r>
      <w:r w:rsidRPr="006B1B30">
        <w:rPr>
          <w:b/>
        </w:rPr>
        <w:t>Poskytovatel</w:t>
      </w:r>
      <w:r w:rsidRPr="006B1B30">
        <w:rPr>
          <w:rFonts w:asciiTheme="minorHAnsi" w:hAnsiTheme="minorHAnsi" w:cstheme="minorHAnsi"/>
        </w:rPr>
        <w:t>“)</w:t>
      </w:r>
    </w:p>
    <w:p w14:paraId="2CA88030" w14:textId="77777777" w:rsidR="00A7650B" w:rsidRPr="006B1B30" w:rsidRDefault="00A7650B" w:rsidP="00A7650B">
      <w:pPr>
        <w:spacing w:before="240" w:after="60"/>
        <w:ind w:left="567"/>
        <w:jc w:val="both"/>
        <w:rPr>
          <w:rFonts w:asciiTheme="minorHAnsi" w:hAnsiTheme="minorHAnsi" w:cstheme="minorHAnsi"/>
        </w:rPr>
      </w:pPr>
      <w:r w:rsidRPr="006B1B30">
        <w:rPr>
          <w:rFonts w:asciiTheme="minorHAnsi" w:hAnsiTheme="minorHAnsi" w:cstheme="minorHAnsi"/>
        </w:rPr>
        <w:t>(</w:t>
      </w:r>
      <w:r w:rsidRPr="006B1B30">
        <w:rPr>
          <w:rFonts w:eastAsia="Times New Roman"/>
        </w:rPr>
        <w:t xml:space="preserve">Objednatel a Poskytovatel </w:t>
      </w:r>
      <w:r w:rsidRPr="006B1B30">
        <w:rPr>
          <w:rFonts w:asciiTheme="minorHAnsi" w:hAnsiTheme="minorHAnsi" w:cstheme="minorHAnsi"/>
        </w:rPr>
        <w:t>společně dále jen „</w:t>
      </w:r>
      <w:r w:rsidRPr="006B1B30">
        <w:rPr>
          <w:rFonts w:asciiTheme="minorHAnsi" w:hAnsiTheme="minorHAnsi" w:cstheme="minorHAnsi"/>
          <w:b/>
        </w:rPr>
        <w:t>Smluvní strany</w:t>
      </w:r>
      <w:r w:rsidRPr="006B1B30">
        <w:rPr>
          <w:rFonts w:asciiTheme="minorHAnsi" w:hAnsiTheme="minorHAnsi" w:cstheme="minorHAnsi"/>
        </w:rPr>
        <w:t>“ a každá jednotlivě „</w:t>
      </w:r>
      <w:r w:rsidRPr="006B1B30">
        <w:rPr>
          <w:rFonts w:asciiTheme="minorHAnsi" w:hAnsiTheme="minorHAnsi" w:cstheme="minorHAnsi"/>
          <w:b/>
        </w:rPr>
        <w:t>Smluvní strana</w:t>
      </w:r>
      <w:r w:rsidRPr="006B1B30">
        <w:rPr>
          <w:rFonts w:asciiTheme="minorHAnsi" w:hAnsiTheme="minorHAnsi" w:cstheme="minorHAnsi"/>
        </w:rPr>
        <w:t>“).</w:t>
      </w:r>
    </w:p>
    <w:p w14:paraId="574A69B5" w14:textId="77777777" w:rsidR="00A7650B" w:rsidRPr="006B1B30" w:rsidRDefault="00A7650B" w:rsidP="00E96C57">
      <w:pPr>
        <w:spacing w:before="240" w:after="60"/>
        <w:ind w:left="0" w:right="0"/>
        <w:jc w:val="both"/>
        <w:rPr>
          <w:rFonts w:asciiTheme="minorHAnsi" w:hAnsiTheme="minorHAnsi" w:cstheme="minorHAnsi"/>
          <w:b/>
        </w:rPr>
      </w:pPr>
      <w:r w:rsidRPr="006B1B30">
        <w:rPr>
          <w:rFonts w:asciiTheme="minorHAnsi" w:hAnsiTheme="minorHAnsi" w:cstheme="minorHAnsi"/>
          <w:b/>
        </w:rPr>
        <w:t>VZHLEDEM K TOMU, ŽE:</w:t>
      </w:r>
    </w:p>
    <w:p w14:paraId="5CC62E67" w14:textId="3D5097A1" w:rsidR="00A7650B" w:rsidRPr="006B1B30" w:rsidRDefault="00A7650B" w:rsidP="00A7650B">
      <w:pPr>
        <w:pStyle w:val="Preambule"/>
        <w:spacing w:before="240" w:after="60"/>
        <w:rPr>
          <w:bCs/>
          <w:color w:val="auto"/>
        </w:rPr>
      </w:pPr>
      <w:r w:rsidRPr="006B1B30">
        <w:rPr>
          <w:bCs/>
          <w:color w:val="auto"/>
        </w:rPr>
        <w:t xml:space="preserve">Objednatel </w:t>
      </w:r>
      <w:r w:rsidRPr="006B1B30">
        <w:rPr>
          <w:color w:val="auto"/>
        </w:rPr>
        <w:t xml:space="preserve">(t.č. s názvem </w:t>
      </w:r>
      <w:r w:rsidRPr="006B1B30">
        <w:rPr>
          <w:bCs/>
          <w:color w:val="auto"/>
        </w:rPr>
        <w:t>HC MOELLER PARDUBICE a.s.</w:t>
      </w:r>
      <w:r w:rsidRPr="006B1B30">
        <w:rPr>
          <w:color w:val="auto"/>
        </w:rPr>
        <w:t xml:space="preserve">) uzavřel s Poskytovatelem (t.č. s názvem </w:t>
      </w:r>
      <w:r w:rsidRPr="006B1B30">
        <w:rPr>
          <w:bCs/>
          <w:color w:val="auto"/>
        </w:rPr>
        <w:t>Městský rozvojový fond Pardubice a.s.</w:t>
      </w:r>
      <w:r w:rsidRPr="006B1B30">
        <w:rPr>
          <w:color w:val="auto"/>
        </w:rPr>
        <w:t>) dne 1.5.2008 nájemní smlouvu (ledové plochy se službami zajišťujícími utkání hokejových mužstev a sportovních tříd), jejímž předmětem bylo přenechání v ní specifikovaných prostor sloužících podnikání nacházejících se uvnitř budovy –</w:t>
      </w:r>
      <w:r w:rsidR="00321A2F" w:rsidRPr="006B1B30">
        <w:rPr>
          <w:color w:val="auto"/>
        </w:rPr>
        <w:t> </w:t>
      </w:r>
      <w:r w:rsidRPr="006B1B30">
        <w:rPr>
          <w:color w:val="auto"/>
        </w:rPr>
        <w:t xml:space="preserve">multifunkční haly, tj. ledových ploch, k užívání </w:t>
      </w:r>
      <w:r w:rsidR="009741BA" w:rsidRPr="006B1B30">
        <w:rPr>
          <w:color w:val="auto"/>
        </w:rPr>
        <w:t>Objednateli</w:t>
      </w:r>
      <w:r w:rsidRPr="006B1B30">
        <w:rPr>
          <w:color w:val="auto"/>
        </w:rPr>
        <w:t xml:space="preserve">, jakož i závazek </w:t>
      </w:r>
      <w:r w:rsidR="000A5857" w:rsidRPr="006B1B30">
        <w:rPr>
          <w:color w:val="auto"/>
        </w:rPr>
        <w:t xml:space="preserve">Poskytovatele </w:t>
      </w:r>
      <w:r w:rsidRPr="006B1B30">
        <w:rPr>
          <w:color w:val="auto"/>
        </w:rPr>
        <w:t>k</w:t>
      </w:r>
      <w:r w:rsidR="00D71A0E" w:rsidRPr="006B1B30">
        <w:rPr>
          <w:color w:val="auto"/>
        </w:rPr>
        <w:t> </w:t>
      </w:r>
      <w:r w:rsidRPr="006B1B30">
        <w:rPr>
          <w:color w:val="auto"/>
        </w:rPr>
        <w:t xml:space="preserve">zajištění služeb spojených s utkáními hokejových mužstev a sportovních tříd klubu Objednatele, k níž byl mezi těmito </w:t>
      </w:r>
      <w:r w:rsidR="00506DBC" w:rsidRPr="006B1B30">
        <w:rPr>
          <w:color w:val="auto"/>
        </w:rPr>
        <w:t xml:space="preserve">Smluvními </w:t>
      </w:r>
      <w:r w:rsidRPr="006B1B30">
        <w:rPr>
          <w:color w:val="auto"/>
        </w:rPr>
        <w:t>stranami uzavřen dne 7.11.2008 dodatek č. 1, dne 17.9.2010 dodatek č. 2, dne 14.9.2010 dodatek č. 3 a dne 10.8.2012 dodatek č. 4 (dále jen „</w:t>
      </w:r>
      <w:r w:rsidRPr="006B1B30">
        <w:rPr>
          <w:b/>
          <w:bCs/>
          <w:color w:val="auto"/>
        </w:rPr>
        <w:t>Původní smlouva</w:t>
      </w:r>
      <w:r w:rsidRPr="006B1B30">
        <w:rPr>
          <w:color w:val="auto"/>
        </w:rPr>
        <w:t>“);</w:t>
      </w:r>
    </w:p>
    <w:p w14:paraId="39EF039B" w14:textId="3C861944" w:rsidR="00A7650B" w:rsidRPr="006B1B30" w:rsidRDefault="00A7650B" w:rsidP="00A7650B">
      <w:pPr>
        <w:pStyle w:val="Preambule"/>
        <w:spacing w:before="240" w:after="60"/>
        <w:rPr>
          <w:color w:val="auto"/>
        </w:rPr>
      </w:pPr>
      <w:r w:rsidRPr="006B1B30">
        <w:rPr>
          <w:b/>
          <w:bCs/>
          <w:iCs/>
          <w:color w:val="auto"/>
        </w:rPr>
        <w:t>Statutární město Pardubice</w:t>
      </w:r>
      <w:r w:rsidRPr="006B1B30">
        <w:rPr>
          <w:iCs/>
          <w:color w:val="auto"/>
        </w:rPr>
        <w:t xml:space="preserve">, </w:t>
      </w:r>
      <w:r w:rsidRPr="006B1B30">
        <w:rPr>
          <w:bCs/>
          <w:iCs/>
          <w:color w:val="auto"/>
        </w:rPr>
        <w:t xml:space="preserve">IČO 002 74 046, se sídlem Pernštýnské náměstí č.p. 1, 530 21 Pardubice </w:t>
      </w:r>
      <w:r w:rsidRPr="006B1B30">
        <w:rPr>
          <w:color w:val="auto"/>
        </w:rPr>
        <w:t xml:space="preserve">(dále jen </w:t>
      </w:r>
      <w:r w:rsidR="00C274C3" w:rsidRPr="006B1B30">
        <w:rPr>
          <w:color w:val="auto"/>
        </w:rPr>
        <w:t>„</w:t>
      </w:r>
      <w:r w:rsidRPr="006B1B30">
        <w:rPr>
          <w:b/>
          <w:bCs/>
          <w:color w:val="auto"/>
        </w:rPr>
        <w:t>SMP</w:t>
      </w:r>
      <w:r w:rsidRPr="006B1B30">
        <w:rPr>
          <w:color w:val="auto"/>
        </w:rPr>
        <w:t xml:space="preserve">"), uzavřelo se společností </w:t>
      </w:r>
      <w:proofErr w:type="spellStart"/>
      <w:r w:rsidRPr="006B1B30">
        <w:rPr>
          <w:b/>
          <w:bCs/>
          <w:color w:val="auto"/>
        </w:rPr>
        <w:t>HokejPce</w:t>
      </w:r>
      <w:proofErr w:type="spellEnd"/>
      <w:r w:rsidRPr="006B1B30">
        <w:rPr>
          <w:b/>
          <w:bCs/>
          <w:color w:val="auto"/>
        </w:rPr>
        <w:t xml:space="preserve"> 2020 s.r.o.</w:t>
      </w:r>
      <w:r w:rsidRPr="006B1B30">
        <w:rPr>
          <w:color w:val="auto"/>
        </w:rPr>
        <w:t xml:space="preserve">, IČO: 465 09 801, se sídlem </w:t>
      </w:r>
      <w:r w:rsidR="00B922C0" w:rsidRPr="00B922C0">
        <w:rPr>
          <w:color w:val="auto"/>
        </w:rPr>
        <w:t>Lánovská 1690</w:t>
      </w:r>
      <w:r w:rsidRPr="006B1B30">
        <w:rPr>
          <w:color w:val="auto"/>
        </w:rPr>
        <w:t xml:space="preserve">, 543 01 Vrchlabí, zapsanou v obchodním rejstříku vedeném Krajským soudem v Hradci Králové pod </w:t>
      </w:r>
      <w:proofErr w:type="spellStart"/>
      <w:r w:rsidRPr="006B1B30">
        <w:rPr>
          <w:color w:val="auto"/>
        </w:rPr>
        <w:t>sp</w:t>
      </w:r>
      <w:proofErr w:type="spellEnd"/>
      <w:r w:rsidRPr="006B1B30">
        <w:rPr>
          <w:color w:val="auto"/>
        </w:rPr>
        <w:t>. zn. C 2301 (dále jen „</w:t>
      </w:r>
      <w:r w:rsidRPr="006B1B30">
        <w:rPr>
          <w:b/>
          <w:bCs/>
          <w:color w:val="auto"/>
        </w:rPr>
        <w:t>Investor</w:t>
      </w:r>
      <w:r w:rsidRPr="006B1B30">
        <w:rPr>
          <w:color w:val="auto"/>
        </w:rPr>
        <w:t>“), dne 12.6.2020 akcionářskou dohodu (dále jen „</w:t>
      </w:r>
      <w:r w:rsidRPr="006B1B30">
        <w:rPr>
          <w:b/>
          <w:bCs/>
          <w:color w:val="auto"/>
        </w:rPr>
        <w:t>Akcionářská dohoda</w:t>
      </w:r>
      <w:r w:rsidRPr="006B1B30">
        <w:rPr>
          <w:color w:val="auto"/>
        </w:rPr>
        <w:t>“);</w:t>
      </w:r>
    </w:p>
    <w:p w14:paraId="216A1126" w14:textId="0325B25F" w:rsidR="00A7650B" w:rsidRPr="006B1B30" w:rsidRDefault="00A7650B" w:rsidP="00A7650B">
      <w:pPr>
        <w:pStyle w:val="Preambule"/>
        <w:spacing w:before="240" w:after="60"/>
        <w:rPr>
          <w:color w:val="auto"/>
        </w:rPr>
      </w:pPr>
      <w:r w:rsidRPr="006B1B30">
        <w:rPr>
          <w:color w:val="auto"/>
        </w:rPr>
        <w:t xml:space="preserve">Na základě čl. 9.2 Akcionářské dohody se SMP zavázalo zajistit, že </w:t>
      </w:r>
      <w:r w:rsidR="001A3426" w:rsidRPr="006B1B30">
        <w:rPr>
          <w:color w:val="auto"/>
        </w:rPr>
        <w:t>Objednatel a Poskytovatel</w:t>
      </w:r>
      <w:r w:rsidRPr="006B1B30">
        <w:rPr>
          <w:color w:val="auto"/>
        </w:rPr>
        <w:t xml:space="preserve"> spolu uzavřou nejpozději do dvou (2) měsíců od uzavření Akcionářské dohody novou nájemní smlouvu (</w:t>
      </w:r>
      <w:r w:rsidR="00284D7E" w:rsidRPr="006B1B30">
        <w:rPr>
          <w:color w:val="auto"/>
        </w:rPr>
        <w:t>respektive</w:t>
      </w:r>
      <w:r w:rsidRPr="006B1B30">
        <w:rPr>
          <w:color w:val="auto"/>
        </w:rPr>
        <w:t xml:space="preserve"> nájemní smlouvy</w:t>
      </w:r>
      <w:r w:rsidR="001A3426" w:rsidRPr="006B1B30">
        <w:rPr>
          <w:color w:val="auto"/>
        </w:rPr>
        <w:t xml:space="preserve"> či smlouvy o poskytování služeb</w:t>
      </w:r>
      <w:r w:rsidRPr="006B1B30">
        <w:rPr>
          <w:color w:val="auto"/>
        </w:rPr>
        <w:t xml:space="preserve">), nahrazující mj. Původní smlouvu, a to plně v souladu se závaznými podmínkami uvedenými v příloze č. 9 Akcionářské dohody. </w:t>
      </w:r>
      <w:r w:rsidR="006D33EF" w:rsidRPr="006B1B30">
        <w:rPr>
          <w:color w:val="auto"/>
        </w:rPr>
        <w:t>Poskytovatel</w:t>
      </w:r>
      <w:r w:rsidRPr="006B1B30">
        <w:rPr>
          <w:color w:val="auto"/>
        </w:rPr>
        <w:t xml:space="preserve"> obdržel od SMP, jakožto svého jediného akcionáře, na</w:t>
      </w:r>
      <w:r w:rsidR="006D33EF" w:rsidRPr="006B1B30">
        <w:rPr>
          <w:color w:val="auto"/>
        </w:rPr>
        <w:t> </w:t>
      </w:r>
      <w:r w:rsidRPr="006B1B30">
        <w:rPr>
          <w:color w:val="auto"/>
        </w:rPr>
        <w:t xml:space="preserve">základě usnesení Rady města Pardubic ze dne 15.6.2020, č. R/3757/2020, tzv. „pokyn k obchodnímu vedení“, na jehož základě má </w:t>
      </w:r>
      <w:r w:rsidR="006D33EF" w:rsidRPr="006B1B30">
        <w:rPr>
          <w:color w:val="auto"/>
        </w:rPr>
        <w:t xml:space="preserve">Poskytovatel </w:t>
      </w:r>
      <w:r w:rsidRPr="006B1B30">
        <w:rPr>
          <w:color w:val="auto"/>
        </w:rPr>
        <w:t>v součinnosti s </w:t>
      </w:r>
      <w:r w:rsidR="006D33EF" w:rsidRPr="006B1B30">
        <w:rPr>
          <w:color w:val="auto"/>
        </w:rPr>
        <w:t>Objednatelem</w:t>
      </w:r>
      <w:r w:rsidRPr="006B1B30">
        <w:rPr>
          <w:color w:val="auto"/>
        </w:rPr>
        <w:t xml:space="preserve"> upravit vzájemné smluvní vztahy tak, aby byly v souladu s příslušnými ustanoveními Akcionářské dohody včetně </w:t>
      </w:r>
      <w:r w:rsidR="000A5857" w:rsidRPr="006B1B30">
        <w:rPr>
          <w:color w:val="auto"/>
        </w:rPr>
        <w:t xml:space="preserve">jejích </w:t>
      </w:r>
      <w:r w:rsidRPr="006B1B30">
        <w:rPr>
          <w:color w:val="auto"/>
        </w:rPr>
        <w:t>příloh, zejména přílohy č. 9 Akcionářské dohody. SMP předmětný závazek uzavřením této Smlouvy plní;</w:t>
      </w:r>
    </w:p>
    <w:p w14:paraId="7D20AF59" w14:textId="77777777" w:rsidR="00F37D07" w:rsidRPr="006B1B30" w:rsidRDefault="00F37D07" w:rsidP="00A7650B">
      <w:pPr>
        <w:pStyle w:val="Preambule"/>
        <w:spacing w:before="240" w:after="60"/>
        <w:rPr>
          <w:color w:val="auto"/>
        </w:rPr>
      </w:pPr>
      <w:r w:rsidRPr="006B1B30">
        <w:rPr>
          <w:color w:val="auto"/>
        </w:rPr>
        <w:lastRenderedPageBreak/>
        <w:t>Poskytovatel je vlastníkem souboru nemovitých věcí označovaného jako tzv. „</w:t>
      </w:r>
      <w:r w:rsidRPr="006B1B30">
        <w:rPr>
          <w:i/>
          <w:iCs/>
          <w:color w:val="auto"/>
        </w:rPr>
        <w:t>Multifunkční aréna</w:t>
      </w:r>
      <w:r w:rsidRPr="006B1B30">
        <w:rPr>
          <w:color w:val="auto"/>
        </w:rPr>
        <w:t>“, sestávajícího z budov na adrese Sukova třída 1735, Zelené Předměstí, 530 02 Pardubice, kter</w:t>
      </w:r>
      <w:r w:rsidRPr="006B1B30">
        <w:rPr>
          <w:rFonts w:cs="Cambria"/>
          <w:color w:val="auto"/>
        </w:rPr>
        <w:t>é</w:t>
      </w:r>
      <w:r w:rsidRPr="006B1B30">
        <w:rPr>
          <w:color w:val="auto"/>
        </w:rPr>
        <w:t xml:space="preserve"> jsou zaps</w:t>
      </w:r>
      <w:r w:rsidRPr="006B1B30">
        <w:rPr>
          <w:rFonts w:cs="Cambria"/>
          <w:color w:val="auto"/>
        </w:rPr>
        <w:t>á</w:t>
      </w:r>
      <w:r w:rsidRPr="006B1B30">
        <w:rPr>
          <w:color w:val="auto"/>
        </w:rPr>
        <w:t xml:space="preserve">ny v katastru nemovitostí jako (i) budova č.p. 1735, objekt občanské vybavenosti, která je součástí pozemku </w:t>
      </w:r>
      <w:proofErr w:type="spellStart"/>
      <w:r w:rsidRPr="006B1B30">
        <w:rPr>
          <w:color w:val="auto"/>
        </w:rPr>
        <w:t>parc</w:t>
      </w:r>
      <w:proofErr w:type="spellEnd"/>
      <w:r w:rsidRPr="006B1B30">
        <w:rPr>
          <w:color w:val="auto"/>
        </w:rPr>
        <w:t>. č. st. 5623/1, zastavěná plocha a nádvoří, zapsaného na listu vlastnictví č. 12883 pro </w:t>
      </w:r>
      <w:proofErr w:type="spellStart"/>
      <w:r w:rsidRPr="006B1B30">
        <w:rPr>
          <w:color w:val="auto"/>
        </w:rPr>
        <w:t>k.ú</w:t>
      </w:r>
      <w:proofErr w:type="spellEnd"/>
      <w:r w:rsidRPr="006B1B30">
        <w:rPr>
          <w:color w:val="auto"/>
        </w:rPr>
        <w:t>. Pardubice, vedeném Katastrálním úřadem pro Pardubický kraj, katastrální pracoviště Pardubice (dále jen „</w:t>
      </w:r>
      <w:r w:rsidRPr="006B1B30">
        <w:rPr>
          <w:b/>
          <w:bCs/>
          <w:color w:val="auto"/>
        </w:rPr>
        <w:t>Aréna</w:t>
      </w:r>
      <w:r w:rsidRPr="006B1B30">
        <w:rPr>
          <w:color w:val="auto"/>
        </w:rPr>
        <w:t>“), a (</w:t>
      </w:r>
      <w:proofErr w:type="spellStart"/>
      <w:r w:rsidRPr="006B1B30">
        <w:rPr>
          <w:color w:val="auto"/>
        </w:rPr>
        <w:t>ii</w:t>
      </w:r>
      <w:proofErr w:type="spellEnd"/>
      <w:r w:rsidRPr="006B1B30">
        <w:rPr>
          <w:color w:val="auto"/>
        </w:rPr>
        <w:t>) budova bez č.p./</w:t>
      </w:r>
      <w:proofErr w:type="spellStart"/>
      <w:r w:rsidRPr="006B1B30">
        <w:rPr>
          <w:color w:val="auto"/>
        </w:rPr>
        <w:t>č.o</w:t>
      </w:r>
      <w:proofErr w:type="spellEnd"/>
      <w:r w:rsidRPr="006B1B30">
        <w:rPr>
          <w:color w:val="auto"/>
        </w:rPr>
        <w:t xml:space="preserve">., stavba občanského vybavení, která je součástí pozemku </w:t>
      </w:r>
      <w:proofErr w:type="spellStart"/>
      <w:r w:rsidRPr="006B1B30">
        <w:rPr>
          <w:color w:val="auto"/>
        </w:rPr>
        <w:t>parc</w:t>
      </w:r>
      <w:proofErr w:type="spellEnd"/>
      <w:r w:rsidRPr="006B1B30">
        <w:rPr>
          <w:color w:val="auto"/>
        </w:rPr>
        <w:t>. č. st. 5623/2, zastavěná plocha a nádvoří, zapsaného na listu vlastnictví č. 12883 pro </w:t>
      </w:r>
      <w:proofErr w:type="spellStart"/>
      <w:r w:rsidRPr="006B1B30">
        <w:rPr>
          <w:color w:val="auto"/>
        </w:rPr>
        <w:t>k.ú</w:t>
      </w:r>
      <w:proofErr w:type="spellEnd"/>
      <w:r w:rsidRPr="006B1B30">
        <w:rPr>
          <w:color w:val="auto"/>
        </w:rPr>
        <w:t>. Pardubice, vedeném Katastrálním úřadem pro Pardubický kraj, katastrální pracoviště Pardubice (dále jen „</w:t>
      </w:r>
      <w:r w:rsidRPr="006B1B30">
        <w:rPr>
          <w:b/>
          <w:bCs/>
          <w:color w:val="auto"/>
        </w:rPr>
        <w:t>Malá hala</w:t>
      </w:r>
      <w:r w:rsidRPr="006B1B30">
        <w:rPr>
          <w:color w:val="auto"/>
        </w:rPr>
        <w:t>“; Aréna a Malá hala společně dále jen „</w:t>
      </w:r>
      <w:r w:rsidRPr="006B1B30">
        <w:rPr>
          <w:b/>
          <w:bCs/>
          <w:color w:val="auto"/>
        </w:rPr>
        <w:t>Multifunkční aréna</w:t>
      </w:r>
      <w:r w:rsidRPr="006B1B30">
        <w:rPr>
          <w:color w:val="auto"/>
        </w:rPr>
        <w:t>“);</w:t>
      </w:r>
    </w:p>
    <w:p w14:paraId="69F3F3A6" w14:textId="58389C4F" w:rsidR="00F37D07" w:rsidRPr="006B1B30" w:rsidRDefault="00F37D07" w:rsidP="00A7650B">
      <w:pPr>
        <w:pStyle w:val="Preambule"/>
        <w:spacing w:before="240" w:after="60"/>
        <w:rPr>
          <w:color w:val="auto"/>
        </w:rPr>
      </w:pPr>
      <w:r w:rsidRPr="006B1B30">
        <w:rPr>
          <w:color w:val="auto"/>
        </w:rPr>
        <w:t xml:space="preserve">Objednatel je společností zajišťující chod profesionálního hokejového klubu, tj. zejména hokejového </w:t>
      </w:r>
      <w:r w:rsidR="00AD7A56" w:rsidRPr="006B1B30">
        <w:rPr>
          <w:color w:val="auto"/>
        </w:rPr>
        <w:t xml:space="preserve">mužstva A-týmu </w:t>
      </w:r>
      <w:r w:rsidRPr="006B1B30">
        <w:rPr>
          <w:color w:val="auto"/>
        </w:rPr>
        <w:t xml:space="preserve">HC Dynamo Pardubice </w:t>
      </w:r>
      <w:r w:rsidR="008F3C26" w:rsidRPr="006B1B30">
        <w:rPr>
          <w:color w:val="auto"/>
        </w:rPr>
        <w:t xml:space="preserve">pravidelně </w:t>
      </w:r>
      <w:r w:rsidRPr="006B1B30">
        <w:rPr>
          <w:color w:val="auto"/>
        </w:rPr>
        <w:t xml:space="preserve">hrajícího </w:t>
      </w:r>
      <w:r w:rsidR="008F3C26" w:rsidRPr="006B1B30">
        <w:rPr>
          <w:color w:val="auto"/>
        </w:rPr>
        <w:t xml:space="preserve">v </w:t>
      </w:r>
      <w:r w:rsidRPr="006B1B30">
        <w:rPr>
          <w:bCs/>
          <w:color w:val="auto"/>
        </w:rPr>
        <w:t>extrali</w:t>
      </w:r>
      <w:r w:rsidR="008F3C26" w:rsidRPr="006B1B30">
        <w:rPr>
          <w:bCs/>
          <w:color w:val="auto"/>
        </w:rPr>
        <w:t>ze</w:t>
      </w:r>
      <w:r w:rsidRPr="006B1B30">
        <w:rPr>
          <w:bCs/>
          <w:color w:val="auto"/>
        </w:rPr>
        <w:t xml:space="preserve"> ledního hokeje (popř. jin</w:t>
      </w:r>
      <w:r w:rsidR="008F3C26" w:rsidRPr="006B1B30">
        <w:rPr>
          <w:bCs/>
          <w:color w:val="auto"/>
        </w:rPr>
        <w:t>é</w:t>
      </w:r>
      <w:r w:rsidRPr="006B1B30">
        <w:rPr>
          <w:bCs/>
          <w:color w:val="auto"/>
        </w:rPr>
        <w:t xml:space="preserve"> česk</w:t>
      </w:r>
      <w:r w:rsidR="008F3C26" w:rsidRPr="006B1B30">
        <w:rPr>
          <w:bCs/>
          <w:color w:val="auto"/>
        </w:rPr>
        <w:t>é</w:t>
      </w:r>
      <w:r w:rsidRPr="006B1B30">
        <w:rPr>
          <w:bCs/>
          <w:color w:val="auto"/>
        </w:rPr>
        <w:t xml:space="preserve"> nejvyšší soutěž</w:t>
      </w:r>
      <w:r w:rsidR="008F3C26" w:rsidRPr="006B1B30">
        <w:rPr>
          <w:bCs/>
          <w:color w:val="auto"/>
        </w:rPr>
        <w:t>i</w:t>
      </w:r>
      <w:r w:rsidRPr="006B1B30">
        <w:rPr>
          <w:bCs/>
          <w:color w:val="auto"/>
        </w:rPr>
        <w:t xml:space="preserve"> v oblasti ledního hokeje, která by ji v budoucnu nahrad</w:t>
      </w:r>
      <w:r w:rsidR="008F3C26" w:rsidRPr="006B1B30">
        <w:rPr>
          <w:bCs/>
          <w:color w:val="auto"/>
        </w:rPr>
        <w:t>ila</w:t>
      </w:r>
      <w:r w:rsidRPr="006B1B30">
        <w:rPr>
          <w:bCs/>
          <w:color w:val="auto"/>
        </w:rPr>
        <w:t>; dále jen „</w:t>
      </w:r>
      <w:r w:rsidRPr="006B1B30">
        <w:rPr>
          <w:b/>
          <w:color w:val="auto"/>
        </w:rPr>
        <w:t>ELH</w:t>
      </w:r>
      <w:r w:rsidRPr="006B1B30">
        <w:rPr>
          <w:bCs/>
          <w:color w:val="auto"/>
        </w:rPr>
        <w:t>“)</w:t>
      </w:r>
      <w:r w:rsidR="001E431E" w:rsidRPr="006B1B30">
        <w:rPr>
          <w:bCs/>
          <w:color w:val="auto"/>
        </w:rPr>
        <w:t xml:space="preserve"> a příležitostně hrajícího v hokejové lize mistrů </w:t>
      </w:r>
      <w:r w:rsidR="00524B98" w:rsidRPr="006B1B30">
        <w:rPr>
          <w:bCs/>
          <w:color w:val="auto"/>
        </w:rPr>
        <w:t xml:space="preserve">(popř. jiné </w:t>
      </w:r>
      <w:r w:rsidR="00D67A7B" w:rsidRPr="006B1B30">
        <w:rPr>
          <w:bCs/>
          <w:color w:val="auto"/>
        </w:rPr>
        <w:t xml:space="preserve">mezinárodní </w:t>
      </w:r>
      <w:r w:rsidR="00524B98" w:rsidRPr="006B1B30">
        <w:rPr>
          <w:bCs/>
          <w:color w:val="auto"/>
        </w:rPr>
        <w:t>hokejové soutěži v oblasti ledního hokeje, která by ji v budoucnu nahradila; dále jen „</w:t>
      </w:r>
      <w:r w:rsidR="00524B98" w:rsidRPr="006B1B30">
        <w:rPr>
          <w:b/>
          <w:color w:val="auto"/>
        </w:rPr>
        <w:t>CHL</w:t>
      </w:r>
      <w:r w:rsidR="00524B98" w:rsidRPr="006B1B30">
        <w:rPr>
          <w:bCs/>
          <w:color w:val="auto"/>
        </w:rPr>
        <w:t>“)</w:t>
      </w:r>
      <w:r w:rsidR="00524B98" w:rsidRPr="006B1B30" w:rsidDel="00524B98">
        <w:rPr>
          <w:bCs/>
          <w:color w:val="auto"/>
        </w:rPr>
        <w:t xml:space="preserve"> </w:t>
      </w:r>
      <w:r w:rsidR="001E431E" w:rsidRPr="006B1B30">
        <w:rPr>
          <w:bCs/>
          <w:color w:val="auto"/>
        </w:rPr>
        <w:t>a/nebo jin</w:t>
      </w:r>
      <w:r w:rsidR="00422B4A" w:rsidRPr="006B1B30">
        <w:rPr>
          <w:bCs/>
          <w:color w:val="auto"/>
        </w:rPr>
        <w:t>ých</w:t>
      </w:r>
      <w:r w:rsidR="001E431E" w:rsidRPr="006B1B30">
        <w:rPr>
          <w:bCs/>
          <w:color w:val="auto"/>
        </w:rPr>
        <w:t xml:space="preserve"> </w:t>
      </w:r>
      <w:r w:rsidR="00422B4A" w:rsidRPr="006B1B30">
        <w:rPr>
          <w:bCs/>
          <w:color w:val="auto"/>
        </w:rPr>
        <w:t xml:space="preserve">pohárových </w:t>
      </w:r>
      <w:r w:rsidR="001E431E" w:rsidRPr="006B1B30">
        <w:rPr>
          <w:bCs/>
          <w:color w:val="auto"/>
        </w:rPr>
        <w:t>utkání</w:t>
      </w:r>
      <w:r w:rsidR="00422B4A" w:rsidRPr="006B1B30">
        <w:rPr>
          <w:bCs/>
          <w:color w:val="auto"/>
        </w:rPr>
        <w:t>ch</w:t>
      </w:r>
      <w:r w:rsidRPr="006B1B30">
        <w:rPr>
          <w:bCs/>
          <w:color w:val="auto"/>
        </w:rPr>
        <w:t>, jakož i dalších mužstev HC Dynamo Pardubice v nižších věkových kategoriích (tj.</w:t>
      </w:r>
      <w:r w:rsidR="008F3C26" w:rsidRPr="006B1B30">
        <w:rPr>
          <w:bCs/>
          <w:color w:val="auto"/>
        </w:rPr>
        <w:t> </w:t>
      </w:r>
      <w:r w:rsidRPr="006B1B30">
        <w:rPr>
          <w:bCs/>
          <w:color w:val="auto"/>
        </w:rPr>
        <w:t>zejména mužstva juniorů a dorostu</w:t>
      </w:r>
      <w:r w:rsidR="00106F8B" w:rsidRPr="006B1B30">
        <w:rPr>
          <w:bCs/>
          <w:color w:val="auto"/>
        </w:rPr>
        <w:t xml:space="preserve"> Objednatele</w:t>
      </w:r>
      <w:r w:rsidRPr="006B1B30">
        <w:rPr>
          <w:bCs/>
          <w:color w:val="auto"/>
        </w:rPr>
        <w:t>);</w:t>
      </w:r>
    </w:p>
    <w:p w14:paraId="4ED70D22" w14:textId="04A3FE0C" w:rsidR="00284D7E" w:rsidRPr="006B1B30" w:rsidRDefault="003412B5" w:rsidP="002448AF">
      <w:pPr>
        <w:pStyle w:val="Preambule"/>
        <w:spacing w:before="240" w:after="60"/>
        <w:rPr>
          <w:color w:val="auto"/>
        </w:rPr>
      </w:pPr>
      <w:r w:rsidRPr="006B1B30">
        <w:rPr>
          <w:rFonts w:ascii="Calibri" w:hAnsi="Calibri"/>
          <w:color w:val="auto"/>
        </w:rPr>
        <w:t xml:space="preserve">Objednatel má zájem využít služeb Poskytovatele </w:t>
      </w:r>
      <w:r w:rsidR="002448AF" w:rsidRPr="006B1B30">
        <w:rPr>
          <w:color w:val="auto"/>
        </w:rPr>
        <w:t xml:space="preserve">za účelem provozování své podnikatelské, sportovní a jiné činnosti, především </w:t>
      </w:r>
      <w:r w:rsidR="00830F7A" w:rsidRPr="006B1B30">
        <w:rPr>
          <w:color w:val="auto"/>
        </w:rPr>
        <w:t xml:space="preserve">činností </w:t>
      </w:r>
      <w:r w:rsidR="002448AF" w:rsidRPr="006B1B30">
        <w:rPr>
          <w:rFonts w:ascii="Calibri" w:hAnsi="Calibri"/>
          <w:color w:val="auto"/>
        </w:rPr>
        <w:t xml:space="preserve">Objednatele </w:t>
      </w:r>
      <w:r w:rsidR="002448AF" w:rsidRPr="006B1B30">
        <w:rPr>
          <w:color w:val="auto"/>
        </w:rPr>
        <w:t xml:space="preserve">v oblasti sportu, marketingu, reklamy, propagace, výchovy a vzdělávání mládeže, informačních technologií, zprostředkování obchodu a služeb či jiné interakce s fanoušky a/nebo partnery klubu, jakož i všech dalších činností jakkoli souvisejících s chodem profesionálního sportovního klubu. Objednatel </w:t>
      </w:r>
      <w:r w:rsidR="002448AF" w:rsidRPr="006B1B30">
        <w:rPr>
          <w:rFonts w:ascii="Calibri" w:hAnsi="Calibri"/>
          <w:color w:val="auto"/>
        </w:rPr>
        <w:t xml:space="preserve">má zájem využít služeb Poskytovatele </w:t>
      </w:r>
      <w:r w:rsidR="002448AF" w:rsidRPr="006B1B30">
        <w:rPr>
          <w:color w:val="auto"/>
        </w:rPr>
        <w:t xml:space="preserve">zejména </w:t>
      </w:r>
      <w:r w:rsidRPr="006B1B30">
        <w:rPr>
          <w:rFonts w:ascii="Calibri" w:hAnsi="Calibri"/>
          <w:color w:val="auto"/>
        </w:rPr>
        <w:t xml:space="preserve">v oblasti zajišťování služeb </w:t>
      </w:r>
      <w:r w:rsidRPr="006B1B30">
        <w:rPr>
          <w:color w:val="auto"/>
        </w:rPr>
        <w:t>spojených s utkáními hokejových mužstev a</w:t>
      </w:r>
      <w:r w:rsidR="002448AF" w:rsidRPr="006B1B30">
        <w:rPr>
          <w:color w:val="auto"/>
        </w:rPr>
        <w:t> </w:t>
      </w:r>
      <w:r w:rsidRPr="006B1B30">
        <w:rPr>
          <w:color w:val="auto"/>
        </w:rPr>
        <w:t>sportovních tříd klubu Objednatele</w:t>
      </w:r>
      <w:r w:rsidR="00830F7A" w:rsidRPr="006B1B30">
        <w:rPr>
          <w:color w:val="auto"/>
        </w:rPr>
        <w:t xml:space="preserve">; </w:t>
      </w:r>
      <w:r w:rsidR="005F703E" w:rsidRPr="006B1B30">
        <w:rPr>
          <w:color w:val="auto"/>
        </w:rPr>
        <w:t>současně má</w:t>
      </w:r>
      <w:r w:rsidR="009E6186" w:rsidRPr="006B1B30">
        <w:rPr>
          <w:color w:val="auto"/>
        </w:rPr>
        <w:t xml:space="preserve"> Objednatel zájem, aby služby Poskytovatele </w:t>
      </w:r>
      <w:r w:rsidR="00D67A7B" w:rsidRPr="006B1B30">
        <w:rPr>
          <w:color w:val="auto"/>
        </w:rPr>
        <w:t xml:space="preserve">v jejich rozsahu a kvalitě </w:t>
      </w:r>
      <w:r w:rsidR="009E6186" w:rsidRPr="006B1B30">
        <w:rPr>
          <w:color w:val="auto"/>
        </w:rPr>
        <w:t>odpovídal</w:t>
      </w:r>
      <w:r w:rsidR="005E7998">
        <w:rPr>
          <w:color w:val="auto"/>
        </w:rPr>
        <w:t>y</w:t>
      </w:r>
      <w:r w:rsidR="009E6186" w:rsidRPr="006B1B30">
        <w:rPr>
          <w:color w:val="auto"/>
        </w:rPr>
        <w:t xml:space="preserve"> </w:t>
      </w:r>
      <w:r w:rsidR="00830F7A" w:rsidRPr="006B1B30">
        <w:rPr>
          <w:color w:val="auto"/>
        </w:rPr>
        <w:t xml:space="preserve">přinejmenším </w:t>
      </w:r>
      <w:r w:rsidR="00D67A7B" w:rsidRPr="006B1B30">
        <w:rPr>
          <w:color w:val="auto"/>
        </w:rPr>
        <w:t xml:space="preserve">požadavkům na konání </w:t>
      </w:r>
      <w:r w:rsidR="002D724E" w:rsidRPr="006B1B30">
        <w:rPr>
          <w:color w:val="auto"/>
        </w:rPr>
        <w:t xml:space="preserve">domácích </w:t>
      </w:r>
      <w:r w:rsidR="008A77CB" w:rsidRPr="006B1B30">
        <w:rPr>
          <w:color w:val="auto"/>
        </w:rPr>
        <w:t>utkání</w:t>
      </w:r>
      <w:r w:rsidR="00D67A7B" w:rsidRPr="006B1B30">
        <w:rPr>
          <w:color w:val="auto"/>
        </w:rPr>
        <w:t xml:space="preserve"> </w:t>
      </w:r>
      <w:r w:rsidR="008A77CB" w:rsidRPr="006B1B30">
        <w:rPr>
          <w:color w:val="auto"/>
        </w:rPr>
        <w:t xml:space="preserve">hokejových mužstev a sportovních tříd klubu Objednatele v rámci </w:t>
      </w:r>
      <w:r w:rsidR="002D724E" w:rsidRPr="006B1B30">
        <w:rPr>
          <w:color w:val="auto"/>
        </w:rPr>
        <w:t xml:space="preserve">CHL a/nebo </w:t>
      </w:r>
      <w:r w:rsidR="00D67A7B" w:rsidRPr="006B1B30">
        <w:rPr>
          <w:color w:val="auto"/>
        </w:rPr>
        <w:t xml:space="preserve">ELH </w:t>
      </w:r>
      <w:r w:rsidR="00830F7A" w:rsidRPr="006B1B30">
        <w:rPr>
          <w:color w:val="auto"/>
        </w:rPr>
        <w:t>(tj.</w:t>
      </w:r>
      <w:r w:rsidR="008A77CB" w:rsidRPr="006B1B30">
        <w:rPr>
          <w:color w:val="auto"/>
        </w:rPr>
        <w:t> </w:t>
      </w:r>
      <w:r w:rsidR="00D67A7B" w:rsidRPr="006B1B30">
        <w:rPr>
          <w:color w:val="auto"/>
        </w:rPr>
        <w:t>dle</w:t>
      </w:r>
      <w:r w:rsidR="008A77CB" w:rsidRPr="006B1B30">
        <w:rPr>
          <w:color w:val="auto"/>
        </w:rPr>
        <w:t> </w:t>
      </w:r>
      <w:r w:rsidR="00D67A7B" w:rsidRPr="006B1B30">
        <w:rPr>
          <w:color w:val="auto"/>
        </w:rPr>
        <w:t>podmínek uvedených v licenčním řádu pro účast v ELH vydaném Českým</w:t>
      </w:r>
      <w:r w:rsidR="005F703E" w:rsidRPr="006B1B30">
        <w:rPr>
          <w:color w:val="auto"/>
        </w:rPr>
        <w:t> </w:t>
      </w:r>
      <w:r w:rsidR="00D67A7B" w:rsidRPr="006B1B30">
        <w:rPr>
          <w:color w:val="auto"/>
        </w:rPr>
        <w:t>svazem ledního hokeje nebo jiném obdobném řádu, který jej v budoucnu nahradí</w:t>
      </w:r>
      <w:r w:rsidR="00830F7A" w:rsidRPr="006B1B30">
        <w:rPr>
          <w:color w:val="auto"/>
        </w:rPr>
        <w:t xml:space="preserve">; </w:t>
      </w:r>
      <w:r w:rsidR="00D67A7B" w:rsidRPr="006B1B30">
        <w:rPr>
          <w:color w:val="auto"/>
        </w:rPr>
        <w:t>a</w:t>
      </w:r>
      <w:r w:rsidR="005F703E" w:rsidRPr="006B1B30">
        <w:rPr>
          <w:color w:val="auto"/>
        </w:rPr>
        <w:t> </w:t>
      </w:r>
      <w:r w:rsidR="00D67A7B" w:rsidRPr="006B1B30">
        <w:rPr>
          <w:color w:val="auto"/>
        </w:rPr>
        <w:t>to</w:t>
      </w:r>
      <w:r w:rsidR="005F703E" w:rsidRPr="006B1B30">
        <w:rPr>
          <w:color w:val="auto"/>
        </w:rPr>
        <w:t> </w:t>
      </w:r>
      <w:r w:rsidR="00D67A7B" w:rsidRPr="006B1B30">
        <w:rPr>
          <w:color w:val="auto"/>
        </w:rPr>
        <w:t xml:space="preserve">bez ohledu na případné změny požadavků na konání těchto </w:t>
      </w:r>
      <w:r w:rsidR="008A77CB" w:rsidRPr="006B1B30">
        <w:rPr>
          <w:color w:val="auto"/>
        </w:rPr>
        <w:t>utkání</w:t>
      </w:r>
      <w:r w:rsidR="00D67A7B" w:rsidRPr="006B1B30">
        <w:rPr>
          <w:color w:val="auto"/>
        </w:rPr>
        <w:t>, např. na základě změny licenčního řádu pro účast v</w:t>
      </w:r>
      <w:r w:rsidR="008A77CB" w:rsidRPr="006B1B30">
        <w:rPr>
          <w:color w:val="auto"/>
        </w:rPr>
        <w:t> </w:t>
      </w:r>
      <w:r w:rsidR="00D67A7B" w:rsidRPr="006B1B30">
        <w:rPr>
          <w:color w:val="auto"/>
        </w:rPr>
        <w:t>ELH, nebo změny jakýchkoli jiných podmínek, kterými se řídí pravidla pro účast v české nejvyšší hokejové soutěži; dále jen „</w:t>
      </w:r>
      <w:r w:rsidR="00D67A7B" w:rsidRPr="00967613">
        <w:rPr>
          <w:b/>
          <w:bCs/>
          <w:color w:val="auto"/>
        </w:rPr>
        <w:t>Licenční řád</w:t>
      </w:r>
      <w:r w:rsidR="00D67A7B" w:rsidRPr="006B1B30">
        <w:rPr>
          <w:color w:val="auto"/>
        </w:rPr>
        <w:t>“)</w:t>
      </w:r>
      <w:r w:rsidR="002D724E" w:rsidRPr="006B1B30">
        <w:rPr>
          <w:color w:val="auto"/>
        </w:rPr>
        <w:t xml:space="preserve"> a/nebo tým</w:t>
      </w:r>
      <w:r w:rsidR="00F91F23">
        <w:rPr>
          <w:color w:val="auto"/>
        </w:rPr>
        <w:t>ů</w:t>
      </w:r>
      <w:r w:rsidR="002D724E" w:rsidRPr="006B1B30">
        <w:rPr>
          <w:color w:val="auto"/>
        </w:rPr>
        <w:t xml:space="preserve"> české hokejové reprezentace</w:t>
      </w:r>
      <w:r w:rsidRPr="006B1B30">
        <w:rPr>
          <w:rFonts w:ascii="Calibri" w:hAnsi="Calibri"/>
          <w:color w:val="auto"/>
        </w:rPr>
        <w:t>;</w:t>
      </w:r>
    </w:p>
    <w:p w14:paraId="2B1FA56C" w14:textId="77777777" w:rsidR="00284D7E" w:rsidRPr="006B1B30" w:rsidRDefault="003412B5" w:rsidP="00A7650B">
      <w:pPr>
        <w:pStyle w:val="Preambule"/>
        <w:spacing w:before="240" w:after="60"/>
        <w:rPr>
          <w:color w:val="auto"/>
        </w:rPr>
      </w:pPr>
      <w:r w:rsidRPr="006B1B30">
        <w:rPr>
          <w:rFonts w:ascii="Calibri" w:hAnsi="Calibri"/>
          <w:color w:val="auto"/>
        </w:rPr>
        <w:t xml:space="preserve">Poskytovatel </w:t>
      </w:r>
      <w:r w:rsidR="002448AF" w:rsidRPr="006B1B30">
        <w:rPr>
          <w:color w:val="auto"/>
        </w:rPr>
        <w:t>tímto bere na vědomí</w:t>
      </w:r>
      <w:r w:rsidR="00880E93" w:rsidRPr="006B1B30">
        <w:rPr>
          <w:color w:val="auto"/>
        </w:rPr>
        <w:t xml:space="preserve"> účel poskytovaných služeb a</w:t>
      </w:r>
      <w:r w:rsidR="002448AF" w:rsidRPr="006B1B30">
        <w:rPr>
          <w:rFonts w:ascii="Calibri" w:hAnsi="Calibri"/>
          <w:color w:val="auto"/>
        </w:rPr>
        <w:t xml:space="preserve"> </w:t>
      </w:r>
      <w:r w:rsidRPr="006B1B30">
        <w:rPr>
          <w:rFonts w:ascii="Calibri" w:hAnsi="Calibri"/>
          <w:color w:val="auto"/>
        </w:rPr>
        <w:t>je ochoten za podmínek dle této Smlouvy své služby Objednateli poskytnout;</w:t>
      </w:r>
    </w:p>
    <w:p w14:paraId="7819F26D" w14:textId="60F52595" w:rsidR="00A7650B" w:rsidRPr="006B1B30" w:rsidRDefault="003412B5" w:rsidP="003412B5">
      <w:pPr>
        <w:pStyle w:val="Preambule"/>
        <w:spacing w:before="240" w:after="60"/>
        <w:rPr>
          <w:color w:val="auto"/>
        </w:rPr>
      </w:pPr>
      <w:r w:rsidRPr="006B1B30">
        <w:rPr>
          <w:rFonts w:ascii="Calibri" w:hAnsi="Calibri"/>
          <w:color w:val="auto"/>
        </w:rPr>
        <w:t xml:space="preserve">Smluvní strany si přejí touto </w:t>
      </w:r>
      <w:r w:rsidR="009E7625" w:rsidRPr="006B1B30">
        <w:rPr>
          <w:rFonts w:ascii="Calibri" w:hAnsi="Calibri"/>
          <w:color w:val="auto"/>
        </w:rPr>
        <w:t xml:space="preserve">Smlouvou </w:t>
      </w:r>
      <w:r w:rsidRPr="006B1B30">
        <w:rPr>
          <w:rFonts w:ascii="Calibri" w:hAnsi="Calibri"/>
          <w:color w:val="auto"/>
        </w:rPr>
        <w:t>upravit svá vzájemná práva a povinnosti vznikající v souvislosti s poskytováním dále specifikovaných služeb</w:t>
      </w:r>
      <w:r w:rsidR="00A7650B" w:rsidRPr="006B1B30">
        <w:rPr>
          <w:color w:val="auto"/>
        </w:rPr>
        <w:t>,</w:t>
      </w:r>
    </w:p>
    <w:p w14:paraId="167649C5" w14:textId="77777777" w:rsidR="00A7650B" w:rsidRPr="006B1B30" w:rsidRDefault="00A7650B" w:rsidP="003412B5">
      <w:pPr>
        <w:spacing w:before="240" w:after="60"/>
        <w:ind w:left="0" w:right="0"/>
        <w:jc w:val="both"/>
        <w:rPr>
          <w:rFonts w:asciiTheme="minorHAnsi" w:hAnsiTheme="minorHAnsi" w:cstheme="minorHAnsi"/>
          <w:b/>
        </w:rPr>
      </w:pPr>
      <w:r w:rsidRPr="006B1B30">
        <w:rPr>
          <w:rFonts w:asciiTheme="minorHAnsi" w:hAnsiTheme="minorHAnsi" w:cstheme="minorHAnsi"/>
          <w:b/>
        </w:rPr>
        <w:t>SE SMLUVNÍ STRANY DOHODLY TAKTO:</w:t>
      </w:r>
    </w:p>
    <w:p w14:paraId="52F8BBF1" w14:textId="067A68BA" w:rsidR="00A7650B" w:rsidRPr="006B1B30" w:rsidRDefault="00A264CA">
      <w:pPr>
        <w:pStyle w:val="Nadpisy"/>
      </w:pPr>
      <w:bookmarkStart w:id="1" w:name="_Ref47357591"/>
      <w:bookmarkStart w:id="2" w:name="_Toc55934494"/>
      <w:r w:rsidRPr="006B1B30">
        <w:t xml:space="preserve">Účel a předmět </w:t>
      </w:r>
      <w:r w:rsidR="00E312A9">
        <w:t>S</w:t>
      </w:r>
      <w:r w:rsidR="00A7650B" w:rsidRPr="006B1B30">
        <w:t>mlouvy</w:t>
      </w:r>
      <w:bookmarkEnd w:id="1"/>
      <w:bookmarkEnd w:id="2"/>
    </w:p>
    <w:p w14:paraId="2B4F014A" w14:textId="77777777" w:rsidR="00A264CA" w:rsidRPr="006B1B30" w:rsidRDefault="004C377A" w:rsidP="00C32DFE">
      <w:pPr>
        <w:numPr>
          <w:ilvl w:val="1"/>
          <w:numId w:val="1"/>
        </w:numPr>
        <w:spacing w:before="240" w:after="60"/>
        <w:ind w:left="567" w:right="0" w:hanging="567"/>
        <w:jc w:val="both"/>
        <w:rPr>
          <w:rFonts w:eastAsia="Times New Roman" w:cs="Arial"/>
          <w:bCs/>
          <w:kern w:val="28"/>
          <w:lang w:eastAsia="cs-CZ"/>
        </w:rPr>
      </w:pPr>
      <w:r w:rsidRPr="006B1B30">
        <w:rPr>
          <w:rFonts w:eastAsia="Times New Roman" w:cs="Arial"/>
          <w:bCs/>
          <w:kern w:val="28"/>
          <w:lang w:eastAsia="cs-CZ"/>
        </w:rPr>
        <w:t>Ú</w:t>
      </w:r>
      <w:r w:rsidR="00A264CA" w:rsidRPr="006B1B30">
        <w:rPr>
          <w:rFonts w:eastAsia="Times New Roman" w:cs="Arial"/>
          <w:bCs/>
          <w:kern w:val="28"/>
          <w:lang w:eastAsia="cs-CZ"/>
        </w:rPr>
        <w:t>čelem této Smlo</w:t>
      </w:r>
      <w:r w:rsidRPr="006B1B30">
        <w:rPr>
          <w:rFonts w:eastAsia="Times New Roman" w:cs="Arial"/>
          <w:bCs/>
          <w:kern w:val="28"/>
          <w:lang w:eastAsia="cs-CZ"/>
        </w:rPr>
        <w:t>u</w:t>
      </w:r>
      <w:r w:rsidR="00A264CA" w:rsidRPr="006B1B30">
        <w:rPr>
          <w:rFonts w:eastAsia="Times New Roman" w:cs="Arial"/>
          <w:bCs/>
          <w:kern w:val="28"/>
          <w:lang w:eastAsia="cs-CZ"/>
        </w:rPr>
        <w:t>v</w:t>
      </w:r>
      <w:r w:rsidRPr="006B1B30">
        <w:rPr>
          <w:rFonts w:eastAsia="Times New Roman" w:cs="Arial"/>
          <w:bCs/>
          <w:kern w:val="28"/>
          <w:lang w:eastAsia="cs-CZ"/>
        </w:rPr>
        <w:t>y</w:t>
      </w:r>
      <w:r w:rsidR="00A264CA" w:rsidRPr="006B1B30">
        <w:rPr>
          <w:rFonts w:eastAsia="Times New Roman" w:cs="Arial"/>
          <w:bCs/>
          <w:kern w:val="28"/>
          <w:lang w:eastAsia="cs-CZ"/>
        </w:rPr>
        <w:t xml:space="preserve"> je </w:t>
      </w:r>
      <w:r w:rsidRPr="006B1B30">
        <w:rPr>
          <w:rFonts w:eastAsia="Times New Roman" w:cs="Arial"/>
          <w:bCs/>
          <w:kern w:val="28"/>
          <w:lang w:eastAsia="cs-CZ"/>
        </w:rPr>
        <w:t xml:space="preserve">zajištění </w:t>
      </w:r>
      <w:r w:rsidR="0079704A" w:rsidRPr="006B1B30">
        <w:rPr>
          <w:rFonts w:eastAsia="Times New Roman" w:cs="Arial"/>
          <w:bCs/>
          <w:kern w:val="28"/>
          <w:lang w:eastAsia="cs-CZ"/>
        </w:rPr>
        <w:t xml:space="preserve">poskytování </w:t>
      </w:r>
      <w:r w:rsidR="002968E7" w:rsidRPr="006B1B30">
        <w:rPr>
          <w:rFonts w:eastAsia="Times New Roman" w:cs="Arial"/>
          <w:bCs/>
          <w:kern w:val="28"/>
          <w:lang w:eastAsia="cs-CZ"/>
        </w:rPr>
        <w:t>veškerých</w:t>
      </w:r>
      <w:r w:rsidR="0079704A" w:rsidRPr="006B1B30">
        <w:rPr>
          <w:rFonts w:eastAsia="Times New Roman" w:cs="Arial"/>
          <w:bCs/>
          <w:kern w:val="28"/>
          <w:lang w:eastAsia="cs-CZ"/>
        </w:rPr>
        <w:t xml:space="preserve"> </w:t>
      </w:r>
      <w:r w:rsidRPr="006B1B30">
        <w:rPr>
          <w:rFonts w:eastAsia="Times New Roman" w:cs="Arial"/>
          <w:bCs/>
          <w:kern w:val="28"/>
          <w:lang w:eastAsia="cs-CZ"/>
        </w:rPr>
        <w:t xml:space="preserve">služeb </w:t>
      </w:r>
      <w:r w:rsidRPr="006B1B30">
        <w:t>spojených s utkáními hokejových mužstev a sportovních tříd klubu Objednatele</w:t>
      </w:r>
      <w:r w:rsidR="0079704A" w:rsidRPr="006B1B30">
        <w:t xml:space="preserve"> ze strany Poskytovatele</w:t>
      </w:r>
      <w:r w:rsidR="00A264CA" w:rsidRPr="006B1B30">
        <w:rPr>
          <w:rFonts w:eastAsia="Times New Roman" w:cs="Arial"/>
          <w:bCs/>
          <w:kern w:val="28"/>
          <w:lang w:eastAsia="cs-CZ"/>
        </w:rPr>
        <w:t xml:space="preserve">, </w:t>
      </w:r>
      <w:r w:rsidRPr="006B1B30">
        <w:rPr>
          <w:rFonts w:eastAsia="Times New Roman" w:cs="Arial"/>
          <w:bCs/>
          <w:kern w:val="28"/>
          <w:lang w:eastAsia="cs-CZ"/>
        </w:rPr>
        <w:t>a to</w:t>
      </w:r>
      <w:r w:rsidR="00A264CA" w:rsidRPr="006B1B30">
        <w:rPr>
          <w:rFonts w:eastAsia="Times New Roman" w:cs="Arial"/>
          <w:bCs/>
          <w:kern w:val="28"/>
          <w:lang w:eastAsia="cs-CZ"/>
        </w:rPr>
        <w:t xml:space="preserve"> </w:t>
      </w:r>
      <w:r w:rsidR="0079704A" w:rsidRPr="006B1B30">
        <w:rPr>
          <w:rFonts w:eastAsia="Times New Roman" w:cs="Arial"/>
          <w:bCs/>
          <w:kern w:val="28"/>
          <w:lang w:eastAsia="cs-CZ"/>
        </w:rPr>
        <w:t>v kvalitě a</w:t>
      </w:r>
      <w:r w:rsidR="004532F1" w:rsidRPr="006B1B30">
        <w:rPr>
          <w:rFonts w:eastAsia="Times New Roman" w:cs="Arial"/>
          <w:bCs/>
          <w:kern w:val="28"/>
          <w:lang w:eastAsia="cs-CZ"/>
        </w:rPr>
        <w:t> </w:t>
      </w:r>
      <w:r w:rsidRPr="006B1B30">
        <w:rPr>
          <w:rFonts w:eastAsia="Times New Roman" w:cs="Arial"/>
          <w:bCs/>
          <w:kern w:val="28"/>
          <w:lang w:eastAsia="cs-CZ"/>
        </w:rPr>
        <w:t>za</w:t>
      </w:r>
      <w:r w:rsidR="004532F1" w:rsidRPr="006B1B30">
        <w:rPr>
          <w:rFonts w:eastAsia="Times New Roman" w:cs="Arial"/>
          <w:bCs/>
          <w:kern w:val="28"/>
          <w:lang w:eastAsia="cs-CZ"/>
        </w:rPr>
        <w:t> </w:t>
      </w:r>
      <w:r w:rsidRPr="006B1B30">
        <w:rPr>
          <w:rFonts w:eastAsia="Times New Roman" w:cs="Arial"/>
          <w:bCs/>
          <w:kern w:val="28"/>
          <w:lang w:eastAsia="cs-CZ"/>
        </w:rPr>
        <w:t>podmínek dále v této Smlouvě stanovených.</w:t>
      </w:r>
    </w:p>
    <w:p w14:paraId="10F14D93" w14:textId="1CC32CD5" w:rsidR="00A7650B" w:rsidRPr="006B1B30" w:rsidRDefault="00A7650B" w:rsidP="00C32DFE">
      <w:pPr>
        <w:numPr>
          <w:ilvl w:val="1"/>
          <w:numId w:val="1"/>
        </w:numPr>
        <w:spacing w:before="240" w:after="60"/>
        <w:ind w:left="567" w:right="0" w:hanging="567"/>
        <w:jc w:val="both"/>
        <w:rPr>
          <w:rFonts w:eastAsia="Times New Roman" w:cs="Arial"/>
          <w:bCs/>
          <w:kern w:val="28"/>
          <w:lang w:eastAsia="cs-CZ"/>
        </w:rPr>
      </w:pPr>
      <w:bookmarkStart w:id="3" w:name="_Ref47970571"/>
      <w:r w:rsidRPr="006B1B30">
        <w:rPr>
          <w:rFonts w:eastAsia="Times New Roman" w:cs="Arial"/>
          <w:bCs/>
          <w:kern w:val="28"/>
          <w:lang w:eastAsia="cs-CZ"/>
        </w:rPr>
        <w:t>Předmětem této Smlouvy je závazek Poskytovatele poskytovat Objednateli za podmínek dle</w:t>
      </w:r>
      <w:r w:rsidR="008D1082" w:rsidRPr="006B1B30">
        <w:rPr>
          <w:rFonts w:eastAsia="Times New Roman" w:cs="Arial"/>
          <w:bCs/>
          <w:kern w:val="28"/>
          <w:lang w:eastAsia="cs-CZ"/>
        </w:rPr>
        <w:t> </w:t>
      </w:r>
      <w:r w:rsidRPr="006B1B30">
        <w:rPr>
          <w:rFonts w:eastAsia="Times New Roman" w:cs="Arial"/>
          <w:bCs/>
          <w:kern w:val="28"/>
          <w:lang w:eastAsia="cs-CZ"/>
        </w:rPr>
        <w:t xml:space="preserve">této Smlouvy služby spočívající v komplexním </w:t>
      </w:r>
      <w:r w:rsidR="004A5879" w:rsidRPr="006B1B30">
        <w:t>zajišťování služeb spojených s utkáními hokejových mužstev Objednatele</w:t>
      </w:r>
      <w:r w:rsidR="004A5879" w:rsidRPr="006B1B30">
        <w:rPr>
          <w:rFonts w:eastAsia="Times New Roman" w:cs="Arial"/>
          <w:bCs/>
          <w:kern w:val="28"/>
          <w:lang w:eastAsia="cs-CZ"/>
        </w:rPr>
        <w:t xml:space="preserve"> </w:t>
      </w:r>
      <w:r w:rsidR="00CA785A" w:rsidRPr="006B1B30">
        <w:rPr>
          <w:rFonts w:eastAsia="Times New Roman" w:cs="Arial"/>
          <w:bCs/>
          <w:kern w:val="28"/>
          <w:lang w:eastAsia="cs-CZ"/>
        </w:rPr>
        <w:t xml:space="preserve">a/nebo </w:t>
      </w:r>
      <w:bookmarkStart w:id="4" w:name="_Hlk47358092"/>
      <w:r w:rsidR="00DB498E" w:rsidRPr="006B1B30">
        <w:t>tým</w:t>
      </w:r>
      <w:r w:rsidR="00F91F23">
        <w:t>ů</w:t>
      </w:r>
      <w:r w:rsidR="00DB498E" w:rsidRPr="006B1B30">
        <w:t xml:space="preserve"> české hokejové reprezentace</w:t>
      </w:r>
      <w:bookmarkEnd w:id="4"/>
      <w:r w:rsidR="00AD0C97">
        <w:t xml:space="preserve"> </w:t>
      </w:r>
      <w:r w:rsidR="00AD0C97" w:rsidRPr="006B1B30">
        <w:rPr>
          <w:rFonts w:eastAsia="Times New Roman" w:cs="Arial"/>
          <w:bCs/>
          <w:kern w:val="28"/>
          <w:lang w:eastAsia="cs-CZ"/>
        </w:rPr>
        <w:t>(společně</w:t>
      </w:r>
      <w:r w:rsidR="00932473" w:rsidRPr="00932473">
        <w:rPr>
          <w:rFonts w:eastAsia="Times New Roman" w:cs="Arial"/>
          <w:bCs/>
          <w:kern w:val="28"/>
          <w:lang w:eastAsia="cs-CZ"/>
        </w:rPr>
        <w:t xml:space="preserve"> </w:t>
      </w:r>
      <w:r w:rsidR="00932473" w:rsidRPr="006B1B30">
        <w:rPr>
          <w:rFonts w:eastAsia="Times New Roman" w:cs="Arial"/>
          <w:bCs/>
          <w:kern w:val="28"/>
          <w:lang w:eastAsia="cs-CZ"/>
        </w:rPr>
        <w:t>dále</w:t>
      </w:r>
      <w:r w:rsidR="00AD0C97" w:rsidRPr="006B1B30">
        <w:rPr>
          <w:rFonts w:eastAsia="Times New Roman" w:cs="Arial"/>
          <w:bCs/>
          <w:kern w:val="28"/>
          <w:lang w:eastAsia="cs-CZ"/>
        </w:rPr>
        <w:t xml:space="preserve"> jen „</w:t>
      </w:r>
      <w:r w:rsidR="00AD0C97" w:rsidRPr="006B1B30">
        <w:rPr>
          <w:rFonts w:eastAsia="Times New Roman" w:cs="Arial"/>
          <w:b/>
          <w:bCs/>
          <w:kern w:val="28"/>
          <w:lang w:eastAsia="cs-CZ"/>
        </w:rPr>
        <w:t>Služby</w:t>
      </w:r>
      <w:r w:rsidR="00AD0C97" w:rsidRPr="006B1B30">
        <w:rPr>
          <w:rFonts w:eastAsia="Times New Roman" w:cs="Arial"/>
          <w:bCs/>
          <w:kern w:val="28"/>
          <w:lang w:eastAsia="cs-CZ"/>
        </w:rPr>
        <w:t>“)</w:t>
      </w:r>
      <w:r w:rsidRPr="006B1B30">
        <w:rPr>
          <w:rFonts w:eastAsia="Times New Roman" w:cs="Arial"/>
          <w:bCs/>
          <w:kern w:val="28"/>
          <w:lang w:eastAsia="cs-CZ"/>
        </w:rPr>
        <w:t xml:space="preserve">, </w:t>
      </w:r>
      <w:r w:rsidRPr="006B1B30">
        <w:rPr>
          <w:rFonts w:eastAsia="Times New Roman" w:cs="Arial"/>
          <w:bCs/>
          <w:kern w:val="28"/>
          <w:lang w:eastAsia="cs-CZ"/>
        </w:rPr>
        <w:lastRenderedPageBreak/>
        <w:t>a</w:t>
      </w:r>
      <w:r w:rsidR="00C32DFE" w:rsidRPr="006B1B30">
        <w:rPr>
          <w:rFonts w:eastAsia="Times New Roman" w:cs="Arial"/>
          <w:bCs/>
          <w:kern w:val="28"/>
          <w:lang w:eastAsia="cs-CZ"/>
        </w:rPr>
        <w:t> </w:t>
      </w:r>
      <w:r w:rsidRPr="006B1B30">
        <w:rPr>
          <w:rFonts w:eastAsia="Times New Roman" w:cs="Arial"/>
          <w:bCs/>
          <w:kern w:val="28"/>
          <w:lang w:eastAsia="cs-CZ"/>
        </w:rPr>
        <w:t>závazek Objednatele za řádně a včas poskytnuté Služby uhradit Poskytovateli sjednanou odměnu. Smluvní strany se dohodly, že Služby budou zahrnovat zejména</w:t>
      </w:r>
      <w:r w:rsidR="00756038" w:rsidRPr="006B1B30">
        <w:rPr>
          <w:rFonts w:eastAsia="Times New Roman" w:cs="Arial"/>
          <w:bCs/>
          <w:kern w:val="28"/>
          <w:lang w:eastAsia="cs-CZ"/>
        </w:rPr>
        <w:t xml:space="preserve"> </w:t>
      </w:r>
      <w:r w:rsidRPr="006B1B30">
        <w:rPr>
          <w:rFonts w:eastAsia="Times New Roman" w:cs="Arial"/>
          <w:bCs/>
          <w:kern w:val="28"/>
          <w:lang w:eastAsia="cs-CZ"/>
        </w:rPr>
        <w:t xml:space="preserve">následující </w:t>
      </w:r>
      <w:r w:rsidR="00703536" w:rsidRPr="006B1B30">
        <w:rPr>
          <w:rFonts w:eastAsia="Times New Roman" w:cs="Arial"/>
          <w:bCs/>
          <w:kern w:val="28"/>
          <w:lang w:eastAsia="cs-CZ"/>
        </w:rPr>
        <w:t>činnosti</w:t>
      </w:r>
      <w:r w:rsidRPr="006B1B30">
        <w:rPr>
          <w:rFonts w:eastAsia="Times New Roman" w:cs="Arial"/>
          <w:bCs/>
          <w:kern w:val="28"/>
          <w:lang w:eastAsia="cs-CZ"/>
        </w:rPr>
        <w:t>:</w:t>
      </w:r>
      <w:bookmarkEnd w:id="3"/>
    </w:p>
    <w:p w14:paraId="1439C424" w14:textId="2F89546D" w:rsidR="008A5F0B" w:rsidRPr="006B1B30" w:rsidRDefault="00705C27" w:rsidP="008A5F0B">
      <w:pPr>
        <w:numPr>
          <w:ilvl w:val="2"/>
          <w:numId w:val="1"/>
        </w:numPr>
        <w:spacing w:before="240" w:after="60"/>
        <w:ind w:left="1276" w:right="0" w:hanging="709"/>
        <w:jc w:val="both"/>
        <w:rPr>
          <w:rFonts w:eastAsia="Times New Roman" w:cs="Arial"/>
          <w:bCs/>
          <w:kern w:val="28"/>
          <w:lang w:eastAsia="cs-CZ"/>
        </w:rPr>
      </w:pPr>
      <w:bookmarkStart w:id="5" w:name="_Hlk47970859"/>
      <w:r w:rsidRPr="006B1B30">
        <w:rPr>
          <w:rFonts w:cs="Arial"/>
          <w:bCs/>
          <w:kern w:val="28"/>
        </w:rPr>
        <w:t>zajištění</w:t>
      </w:r>
      <w:r w:rsidR="008A5F0B" w:rsidRPr="006B1B30">
        <w:rPr>
          <w:rFonts w:cs="Arial"/>
          <w:bCs/>
          <w:kern w:val="28"/>
        </w:rPr>
        <w:t xml:space="preserve"> pořadatelské služby uvnitř Multifunkční arény</w:t>
      </w:r>
      <w:r w:rsidR="004D4357" w:rsidRPr="006B1B30">
        <w:rPr>
          <w:rFonts w:cs="Arial"/>
          <w:bCs/>
          <w:kern w:val="28"/>
        </w:rPr>
        <w:t xml:space="preserve"> </w:t>
      </w:r>
      <w:r w:rsidR="00665CAD" w:rsidRPr="006B1B30">
        <w:t>v počtu alespoň třiceti osmi (38) pořadatelů</w:t>
      </w:r>
      <w:r w:rsidR="008A5F0B" w:rsidRPr="006B1B30">
        <w:rPr>
          <w:rFonts w:cs="Arial"/>
          <w:bCs/>
          <w:kern w:val="28"/>
        </w:rPr>
        <w:t>;</w:t>
      </w:r>
    </w:p>
    <w:p w14:paraId="0726545A" w14:textId="77777777" w:rsidR="008A5F0B" w:rsidRPr="006B1B30" w:rsidRDefault="008A5F0B" w:rsidP="008A5F0B">
      <w:pPr>
        <w:numPr>
          <w:ilvl w:val="2"/>
          <w:numId w:val="1"/>
        </w:numPr>
        <w:spacing w:before="240" w:after="60"/>
        <w:ind w:left="1276" w:right="0" w:hanging="709"/>
        <w:jc w:val="both"/>
        <w:rPr>
          <w:rFonts w:eastAsia="Times New Roman" w:cs="Arial"/>
          <w:bCs/>
          <w:kern w:val="28"/>
          <w:lang w:eastAsia="cs-CZ"/>
        </w:rPr>
      </w:pPr>
      <w:bookmarkStart w:id="6" w:name="_Ref47971149"/>
      <w:r w:rsidRPr="006B1B30">
        <w:rPr>
          <w:rFonts w:cs="Arial"/>
          <w:bCs/>
          <w:kern w:val="28"/>
        </w:rPr>
        <w:t>prodej vstupenek do Multifunkční arény v pokladních hodinách, tj. zejména:</w:t>
      </w:r>
      <w:bookmarkEnd w:id="6"/>
    </w:p>
    <w:p w14:paraId="647EA7CE" w14:textId="79AC140D" w:rsidR="00726439" w:rsidRPr="006B1B30" w:rsidRDefault="00081CBF">
      <w:pPr>
        <w:pStyle w:val="112X"/>
        <w:rPr>
          <w:color w:val="auto"/>
        </w:rPr>
      </w:pPr>
      <w:bookmarkStart w:id="7" w:name="_Hlk43983711"/>
      <w:r w:rsidRPr="006B1B30">
        <w:rPr>
          <w:color w:val="auto"/>
        </w:rPr>
        <w:t xml:space="preserve">v kalendářních měsících září až prosinec a leden až březen každého kalendářního roku musí být vždy alespoň </w:t>
      </w:r>
      <w:r w:rsidR="005760F0">
        <w:rPr>
          <w:color w:val="auto"/>
        </w:rPr>
        <w:t>jeden</w:t>
      </w:r>
      <w:r w:rsidR="005760F0" w:rsidRPr="006B1B30">
        <w:rPr>
          <w:color w:val="auto"/>
        </w:rPr>
        <w:t xml:space="preserve"> </w:t>
      </w:r>
      <w:r w:rsidRPr="006B1B30">
        <w:rPr>
          <w:color w:val="auto"/>
        </w:rPr>
        <w:t>(</w:t>
      </w:r>
      <w:r w:rsidR="005760F0">
        <w:rPr>
          <w:color w:val="auto"/>
        </w:rPr>
        <w:t>1</w:t>
      </w:r>
      <w:r w:rsidRPr="006B1B30">
        <w:rPr>
          <w:color w:val="auto"/>
        </w:rPr>
        <w:t>) d</w:t>
      </w:r>
      <w:r w:rsidR="005760F0">
        <w:rPr>
          <w:color w:val="auto"/>
        </w:rPr>
        <w:t>e</w:t>
      </w:r>
      <w:r w:rsidRPr="006B1B30">
        <w:rPr>
          <w:color w:val="auto"/>
        </w:rPr>
        <w:t>n před každým hokejovým utkáním hokejov</w:t>
      </w:r>
      <w:r w:rsidR="005760F0">
        <w:rPr>
          <w:color w:val="auto"/>
        </w:rPr>
        <w:t>é</w:t>
      </w:r>
      <w:r w:rsidRPr="006B1B30">
        <w:rPr>
          <w:color w:val="auto"/>
        </w:rPr>
        <w:t>h</w:t>
      </w:r>
      <w:r w:rsidR="005760F0">
        <w:rPr>
          <w:color w:val="auto"/>
        </w:rPr>
        <w:t>o</w:t>
      </w:r>
      <w:r w:rsidRPr="006B1B30">
        <w:rPr>
          <w:color w:val="auto"/>
        </w:rPr>
        <w:t xml:space="preserve"> mužstv</w:t>
      </w:r>
      <w:r w:rsidR="005760F0">
        <w:rPr>
          <w:color w:val="auto"/>
        </w:rPr>
        <w:t>a A-týmu</w:t>
      </w:r>
      <w:r w:rsidRPr="006B1B30">
        <w:rPr>
          <w:color w:val="auto"/>
        </w:rPr>
        <w:t xml:space="preserve"> Objednatele v provozu v časovém rozmezí od 9:00 do 12:00 hod. a od 13:00 do 17:00 hod. alespoň jedna (1) pokladna;</w:t>
      </w:r>
    </w:p>
    <w:p w14:paraId="69F882FE" w14:textId="5A637B99" w:rsidR="00081CBF" w:rsidRPr="006B1B30" w:rsidRDefault="00081CBF">
      <w:pPr>
        <w:pStyle w:val="112X"/>
        <w:rPr>
          <w:color w:val="auto"/>
        </w:rPr>
      </w:pPr>
      <w:r w:rsidRPr="006B1B30">
        <w:rPr>
          <w:color w:val="auto"/>
        </w:rPr>
        <w:t>v kalendářních měsících září až prosinec a leden až březen každého kalendářního roku musí být vždy v každý den hokejového utkání hokejov</w:t>
      </w:r>
      <w:r w:rsidR="005760F0">
        <w:rPr>
          <w:color w:val="auto"/>
        </w:rPr>
        <w:t>é</w:t>
      </w:r>
      <w:r w:rsidRPr="006B1B30">
        <w:rPr>
          <w:color w:val="auto"/>
        </w:rPr>
        <w:t>h</w:t>
      </w:r>
      <w:r w:rsidR="005760F0">
        <w:rPr>
          <w:color w:val="auto"/>
        </w:rPr>
        <w:t>o</w:t>
      </w:r>
      <w:r w:rsidRPr="006B1B30">
        <w:rPr>
          <w:color w:val="auto"/>
        </w:rPr>
        <w:t xml:space="preserve"> mužstv</w:t>
      </w:r>
      <w:r w:rsidR="005760F0">
        <w:rPr>
          <w:color w:val="auto"/>
        </w:rPr>
        <w:t>a A-týmu</w:t>
      </w:r>
      <w:r w:rsidRPr="006B1B30">
        <w:rPr>
          <w:color w:val="auto"/>
        </w:rPr>
        <w:t xml:space="preserve"> Objednatele v provozu v časovém rozmezí od 9:00 do 12:00 hod. alespoň jedna (1) pokladna a v časovém rozmezí od 13:00</w:t>
      </w:r>
      <w:r w:rsidR="008F6738">
        <w:rPr>
          <w:color w:val="auto"/>
        </w:rPr>
        <w:t xml:space="preserve"> hod.</w:t>
      </w:r>
      <w:r w:rsidRPr="006B1B30">
        <w:rPr>
          <w:color w:val="auto"/>
        </w:rPr>
        <w:t xml:space="preserve"> do</w:t>
      </w:r>
      <w:r w:rsidR="00277BAE">
        <w:rPr>
          <w:color w:val="auto"/>
        </w:rPr>
        <w:t> </w:t>
      </w:r>
      <w:r w:rsidRPr="006B1B30">
        <w:rPr>
          <w:color w:val="auto"/>
        </w:rPr>
        <w:t>okamžiku začátku druhé třetiny daného hokejového utkání alespoň tři (3) pokladny;</w:t>
      </w:r>
    </w:p>
    <w:p w14:paraId="7DC63F75" w14:textId="77777777" w:rsidR="00081CBF" w:rsidRPr="006B1B30" w:rsidRDefault="00081CBF">
      <w:pPr>
        <w:pStyle w:val="112X"/>
        <w:rPr>
          <w:color w:val="auto"/>
        </w:rPr>
      </w:pPr>
      <w:r w:rsidRPr="006B1B30">
        <w:rPr>
          <w:color w:val="auto"/>
        </w:rPr>
        <w:t>v kalendářních měsících duben, květen, červenec a srpen každého kalendářního roku musí být vždy každé pondělí v provozu v časovém rozmezí od 9:00 do 12:00 hod. alespoň jedna (1) pokladna a každé úterý a středu v provozu v časovém rozmezí od 12:00 do 17:00 hod. alespoň jedna (1) pokladna;</w:t>
      </w:r>
      <w:r w:rsidR="00104D6D" w:rsidRPr="006B1B30">
        <w:rPr>
          <w:color w:val="auto"/>
        </w:rPr>
        <w:t xml:space="preserve"> a</w:t>
      </w:r>
    </w:p>
    <w:p w14:paraId="397D6F01" w14:textId="77777777" w:rsidR="00081CBF" w:rsidRPr="006B1B30" w:rsidRDefault="00081CBF">
      <w:pPr>
        <w:pStyle w:val="112X"/>
        <w:rPr>
          <w:color w:val="auto"/>
        </w:rPr>
      </w:pPr>
      <w:r w:rsidRPr="006B1B30">
        <w:rPr>
          <w:color w:val="auto"/>
        </w:rPr>
        <w:t>v kalendářním měsíci červnu každého kalendářního roku musí být vždy každé pondělí</w:t>
      </w:r>
      <w:r w:rsidR="001E76A0" w:rsidRPr="006B1B30">
        <w:rPr>
          <w:color w:val="auto"/>
        </w:rPr>
        <w:t xml:space="preserve"> a pátek</w:t>
      </w:r>
      <w:r w:rsidRPr="006B1B30">
        <w:rPr>
          <w:color w:val="auto"/>
        </w:rPr>
        <w:t xml:space="preserve"> v provozu v časovém rozmezí od 9:00 do 12:00 hod. alespoň jedna (1) pokladna a každé úterý a</w:t>
      </w:r>
      <w:r w:rsidR="002911DA" w:rsidRPr="006B1B30">
        <w:rPr>
          <w:color w:val="auto"/>
        </w:rPr>
        <w:t>ž</w:t>
      </w:r>
      <w:r w:rsidRPr="006B1B30">
        <w:rPr>
          <w:color w:val="auto"/>
        </w:rPr>
        <w:t xml:space="preserve"> </w:t>
      </w:r>
      <w:r w:rsidR="001E76A0" w:rsidRPr="006B1B30">
        <w:rPr>
          <w:color w:val="auto"/>
        </w:rPr>
        <w:t>čtvrtek</w:t>
      </w:r>
      <w:r w:rsidRPr="006B1B30">
        <w:rPr>
          <w:color w:val="auto"/>
        </w:rPr>
        <w:t xml:space="preserve"> v provozu v časovém rozmezí od 12:00 do 17:00 hod. alespoň jedna (1) pokladna</w:t>
      </w:r>
      <w:r w:rsidR="00AE0196" w:rsidRPr="006B1B30">
        <w:rPr>
          <w:color w:val="auto"/>
        </w:rPr>
        <w:t>;</w:t>
      </w:r>
    </w:p>
    <w:p w14:paraId="1C184AD0" w14:textId="77777777" w:rsidR="00AE0196" w:rsidRPr="006B1B30" w:rsidRDefault="00AE0196" w:rsidP="0025723F">
      <w:pPr>
        <w:spacing w:before="240" w:after="60"/>
        <w:ind w:left="1276" w:right="0"/>
        <w:jc w:val="both"/>
        <w:rPr>
          <w:rFonts w:eastAsia="Times New Roman"/>
          <w:lang w:eastAsia="cs-CZ"/>
        </w:rPr>
      </w:pPr>
      <w:r w:rsidRPr="006B1B30">
        <w:t xml:space="preserve">přičemž Smluvní strany se mohou kdykoli dohodnout na změně času provozu pokladen za účelem </w:t>
      </w:r>
      <w:r w:rsidRPr="006B1B30">
        <w:rPr>
          <w:rFonts w:eastAsia="Times New Roman"/>
          <w:lang w:eastAsia="cs-CZ"/>
        </w:rPr>
        <w:t xml:space="preserve">prodeje vstupenek </w:t>
      </w:r>
      <w:r w:rsidRPr="006B1B30">
        <w:t>do Multifunkční arény</w:t>
      </w:r>
      <w:r w:rsidR="008348FB" w:rsidRPr="006B1B30">
        <w:rPr>
          <w:rFonts w:eastAsia="Times New Roman"/>
          <w:lang w:eastAsia="cs-CZ"/>
        </w:rPr>
        <w:t>;</w:t>
      </w:r>
    </w:p>
    <w:p w14:paraId="6AFAD20B" w14:textId="5577CD5F" w:rsidR="000358F6" w:rsidRPr="006B1B30" w:rsidRDefault="00CD4C34" w:rsidP="000358F6">
      <w:pPr>
        <w:numPr>
          <w:ilvl w:val="2"/>
          <w:numId w:val="1"/>
        </w:numPr>
        <w:spacing w:before="240" w:after="60"/>
        <w:ind w:left="1276" w:right="0" w:hanging="709"/>
        <w:jc w:val="both"/>
        <w:rPr>
          <w:rFonts w:eastAsia="Times New Roman" w:cs="Arial"/>
          <w:bCs/>
          <w:kern w:val="28"/>
          <w:lang w:eastAsia="cs-CZ"/>
        </w:rPr>
      </w:pPr>
      <w:bookmarkStart w:id="8" w:name="_Ref54724673"/>
      <w:r w:rsidRPr="006B1B30">
        <w:rPr>
          <w:rFonts w:eastAsia="Times New Roman" w:cs="Arial"/>
          <w:bCs/>
          <w:kern w:val="28"/>
          <w:lang w:eastAsia="cs-CZ"/>
        </w:rPr>
        <w:t>umožnění užívání</w:t>
      </w:r>
      <w:r w:rsidR="000358F6" w:rsidRPr="006B1B30">
        <w:rPr>
          <w:rFonts w:eastAsia="Times New Roman" w:cs="Arial"/>
          <w:bCs/>
          <w:kern w:val="28"/>
          <w:lang w:eastAsia="cs-CZ"/>
        </w:rPr>
        <w:t xml:space="preserve"> </w:t>
      </w:r>
      <w:r w:rsidR="000358F6" w:rsidRPr="006B1B30">
        <w:rPr>
          <w:rFonts w:cs="Arial"/>
          <w:bCs/>
          <w:kern w:val="28"/>
        </w:rPr>
        <w:t xml:space="preserve">společných prostor uvnitř Multifunkční arény </w:t>
      </w:r>
      <w:bookmarkStart w:id="9" w:name="_Hlk47356691"/>
      <w:r w:rsidRPr="006B1B30">
        <w:rPr>
          <w:rFonts w:cs="Arial"/>
          <w:bCs/>
          <w:kern w:val="28"/>
        </w:rPr>
        <w:t>(prostor, které si</w:t>
      </w:r>
      <w:r w:rsidR="00C24AF5" w:rsidRPr="006B1B30">
        <w:rPr>
          <w:rFonts w:cs="Arial"/>
          <w:bCs/>
          <w:kern w:val="28"/>
        </w:rPr>
        <w:t> </w:t>
      </w:r>
      <w:r w:rsidRPr="006B1B30">
        <w:rPr>
          <w:rFonts w:cs="Arial"/>
          <w:bCs/>
          <w:kern w:val="28"/>
        </w:rPr>
        <w:t>Objednatel nepronajímá na základě jiných smluv uzavřených s Poskytovatelem), např.</w:t>
      </w:r>
      <w:r w:rsidR="00C24AF5" w:rsidRPr="006B1B30">
        <w:rPr>
          <w:rFonts w:cs="Arial"/>
          <w:bCs/>
          <w:kern w:val="28"/>
        </w:rPr>
        <w:t> </w:t>
      </w:r>
      <w:r w:rsidR="000358F6" w:rsidRPr="006B1B30">
        <w:rPr>
          <w:rFonts w:cs="Arial"/>
          <w:bCs/>
          <w:kern w:val="28"/>
        </w:rPr>
        <w:t>ledových ploch, hlediště, chodeb,</w:t>
      </w:r>
      <w:r w:rsidR="001451D6">
        <w:rPr>
          <w:rFonts w:cs="Arial"/>
          <w:bCs/>
          <w:kern w:val="28"/>
        </w:rPr>
        <w:t xml:space="preserve"> čtyř (4)</w:t>
      </w:r>
      <w:r w:rsidR="000358F6" w:rsidRPr="006B1B30">
        <w:rPr>
          <w:rFonts w:cs="Arial"/>
          <w:bCs/>
          <w:kern w:val="28"/>
        </w:rPr>
        <w:t xml:space="preserve"> šaten</w:t>
      </w:r>
      <w:r w:rsidR="001451D6">
        <w:rPr>
          <w:rFonts w:cs="Arial"/>
          <w:bCs/>
          <w:kern w:val="28"/>
        </w:rPr>
        <w:t xml:space="preserve"> nebo dvou (2) </w:t>
      </w:r>
      <w:proofErr w:type="spellStart"/>
      <w:r w:rsidR="001451D6">
        <w:rPr>
          <w:rFonts w:cs="Arial"/>
          <w:bCs/>
          <w:kern w:val="28"/>
        </w:rPr>
        <w:t>dvoušaten</w:t>
      </w:r>
      <w:proofErr w:type="spellEnd"/>
      <w:r w:rsidR="000358F6" w:rsidRPr="006B1B30">
        <w:rPr>
          <w:rFonts w:cs="Arial"/>
          <w:bCs/>
          <w:kern w:val="28"/>
        </w:rPr>
        <w:t xml:space="preserve">, </w:t>
      </w:r>
      <w:proofErr w:type="spellStart"/>
      <w:r w:rsidR="000358F6" w:rsidRPr="006B1B30">
        <w:rPr>
          <w:rFonts w:cs="Arial"/>
          <w:bCs/>
          <w:kern w:val="28"/>
        </w:rPr>
        <w:t>rozcvičoven</w:t>
      </w:r>
      <w:proofErr w:type="spellEnd"/>
      <w:r w:rsidR="001451D6">
        <w:rPr>
          <w:rFonts w:cs="Arial"/>
          <w:bCs/>
          <w:kern w:val="28"/>
        </w:rPr>
        <w:t xml:space="preserve"> a</w:t>
      </w:r>
      <w:r w:rsidR="000358F6" w:rsidRPr="006B1B30">
        <w:rPr>
          <w:rFonts w:cs="Arial"/>
          <w:bCs/>
          <w:kern w:val="28"/>
        </w:rPr>
        <w:t xml:space="preserve"> posiloven</w:t>
      </w:r>
      <w:r w:rsidR="001451D6">
        <w:rPr>
          <w:rFonts w:cs="Arial"/>
          <w:bCs/>
          <w:kern w:val="28"/>
        </w:rPr>
        <w:t xml:space="preserve"> (pakliže jsou k dispozici)</w:t>
      </w:r>
      <w:r w:rsidR="000358F6" w:rsidRPr="006B1B30">
        <w:rPr>
          <w:rFonts w:cs="Arial"/>
          <w:bCs/>
          <w:kern w:val="28"/>
        </w:rPr>
        <w:t>, místností pro</w:t>
      </w:r>
      <w:r w:rsidR="000B0A61" w:rsidRPr="006B1B30">
        <w:rPr>
          <w:rFonts w:cs="Arial"/>
          <w:bCs/>
          <w:kern w:val="28"/>
        </w:rPr>
        <w:t> </w:t>
      </w:r>
      <w:r w:rsidR="000358F6" w:rsidRPr="006B1B30">
        <w:rPr>
          <w:rFonts w:cs="Arial"/>
          <w:bCs/>
          <w:kern w:val="28"/>
        </w:rPr>
        <w:t>pořádání tiskových konferencí a jiných místností určených pro styk s veřejností a</w:t>
      </w:r>
      <w:r w:rsidR="000B0A61" w:rsidRPr="006B1B30">
        <w:rPr>
          <w:rFonts w:cs="Arial"/>
          <w:bCs/>
          <w:kern w:val="28"/>
        </w:rPr>
        <w:t> </w:t>
      </w:r>
      <w:r w:rsidR="000358F6" w:rsidRPr="006B1B30">
        <w:rPr>
          <w:rFonts w:cs="Arial"/>
          <w:bCs/>
          <w:kern w:val="28"/>
        </w:rPr>
        <w:t>žurnalisty, sociálního zařízení atp.;</w:t>
      </w:r>
      <w:bookmarkEnd w:id="8"/>
      <w:bookmarkEnd w:id="9"/>
    </w:p>
    <w:p w14:paraId="3358F0F3" w14:textId="185241D0" w:rsidR="008D3845" w:rsidRPr="006B1B30" w:rsidRDefault="008D3845" w:rsidP="008D3845">
      <w:pPr>
        <w:numPr>
          <w:ilvl w:val="2"/>
          <w:numId w:val="1"/>
        </w:numPr>
        <w:spacing w:before="240" w:after="60"/>
        <w:ind w:left="1276" w:right="0" w:hanging="709"/>
        <w:jc w:val="both"/>
        <w:rPr>
          <w:rFonts w:eastAsia="Times New Roman" w:cs="Arial"/>
          <w:bCs/>
          <w:kern w:val="28"/>
          <w:lang w:eastAsia="cs-CZ"/>
        </w:rPr>
      </w:pPr>
      <w:bookmarkStart w:id="10" w:name="_Ref47972962"/>
      <w:r w:rsidRPr="006B1B30">
        <w:rPr>
          <w:rFonts w:cs="Arial"/>
          <w:bCs/>
          <w:kern w:val="28"/>
        </w:rPr>
        <w:t xml:space="preserve">úklid </w:t>
      </w:r>
      <w:r w:rsidR="00B32481" w:rsidRPr="006B1B30">
        <w:rPr>
          <w:rFonts w:cs="Arial"/>
          <w:bCs/>
          <w:kern w:val="28"/>
        </w:rPr>
        <w:t>společných</w:t>
      </w:r>
      <w:r w:rsidR="003212F5" w:rsidRPr="006B1B30">
        <w:rPr>
          <w:rFonts w:cs="Arial"/>
          <w:bCs/>
          <w:kern w:val="28"/>
        </w:rPr>
        <w:t xml:space="preserve"> </w:t>
      </w:r>
      <w:r w:rsidRPr="006B1B30">
        <w:rPr>
          <w:rFonts w:cs="Arial"/>
          <w:bCs/>
          <w:kern w:val="28"/>
        </w:rPr>
        <w:t>prostor uvnitř Multifunkční arény</w:t>
      </w:r>
      <w:r w:rsidR="00B32481" w:rsidRPr="006B1B30">
        <w:rPr>
          <w:rFonts w:cs="Arial"/>
          <w:bCs/>
          <w:kern w:val="28"/>
        </w:rPr>
        <w:t xml:space="preserve"> </w:t>
      </w:r>
      <w:r w:rsidR="00CD4C34" w:rsidRPr="006B1B30">
        <w:rPr>
          <w:rFonts w:cs="Arial"/>
          <w:bCs/>
          <w:kern w:val="28"/>
        </w:rPr>
        <w:t xml:space="preserve">(prostor, které si Objednatel nepronajímá na základě jiných smluv uzavřených s Poskytovatelem), např. ledových ploch, hlediště, chodeb, šaten, </w:t>
      </w:r>
      <w:proofErr w:type="spellStart"/>
      <w:r w:rsidR="00CD4C34" w:rsidRPr="006B1B30">
        <w:rPr>
          <w:rFonts w:cs="Arial"/>
          <w:bCs/>
          <w:kern w:val="28"/>
        </w:rPr>
        <w:t>rozcvičoven</w:t>
      </w:r>
      <w:proofErr w:type="spellEnd"/>
      <w:r w:rsidR="00CD4C34" w:rsidRPr="006B1B30">
        <w:rPr>
          <w:rFonts w:cs="Arial"/>
          <w:bCs/>
          <w:kern w:val="28"/>
        </w:rPr>
        <w:t>, posiloven, místností pro pořádání tiskových konferencí a jiných místností určených pro styk s veřejností a žurnalisty, sociálního zařízení atp.;</w:t>
      </w:r>
      <w:bookmarkEnd w:id="10"/>
    </w:p>
    <w:p w14:paraId="762064FA" w14:textId="25B3B3FF" w:rsidR="008D3845" w:rsidRPr="006B1B30" w:rsidRDefault="006E2AEB" w:rsidP="008D3845">
      <w:pPr>
        <w:numPr>
          <w:ilvl w:val="2"/>
          <w:numId w:val="1"/>
        </w:numPr>
        <w:spacing w:before="240" w:after="60"/>
        <w:ind w:left="1276" w:right="0" w:hanging="709"/>
        <w:jc w:val="both"/>
        <w:rPr>
          <w:rFonts w:eastAsia="Times New Roman" w:cs="Arial"/>
          <w:bCs/>
          <w:strike/>
          <w:kern w:val="28"/>
          <w:lang w:eastAsia="cs-CZ"/>
        </w:rPr>
      </w:pPr>
      <w:bookmarkStart w:id="11" w:name="_Ref47973545"/>
      <w:r w:rsidRPr="006B1B30">
        <w:rPr>
          <w:rFonts w:cs="Arial"/>
          <w:bCs/>
          <w:kern w:val="28"/>
        </w:rPr>
        <w:t xml:space="preserve">řádné </w:t>
      </w:r>
      <w:r w:rsidR="008D3845" w:rsidRPr="006B1B30">
        <w:rPr>
          <w:rFonts w:cs="Arial"/>
          <w:bCs/>
          <w:kern w:val="28"/>
        </w:rPr>
        <w:t>osvětlení uvnitř Multifunkční arény</w:t>
      </w:r>
      <w:r w:rsidRPr="006B1B30">
        <w:rPr>
          <w:rFonts w:cs="Arial"/>
          <w:bCs/>
          <w:kern w:val="28"/>
        </w:rPr>
        <w:t>;</w:t>
      </w:r>
      <w:bookmarkEnd w:id="11"/>
    </w:p>
    <w:p w14:paraId="53CECEB1" w14:textId="77777777" w:rsidR="008D3845" w:rsidRPr="006B1B30" w:rsidRDefault="00F3432B"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t xml:space="preserve">oboustranné </w:t>
      </w:r>
      <w:r w:rsidR="008D3845" w:rsidRPr="006B1B30">
        <w:rPr>
          <w:rFonts w:cs="Arial"/>
          <w:bCs/>
          <w:kern w:val="28"/>
        </w:rPr>
        <w:t>mytí plexiskel v Multifunkční aréně;</w:t>
      </w:r>
    </w:p>
    <w:p w14:paraId="3FDC5084" w14:textId="63F28359" w:rsidR="008D3845" w:rsidRPr="006B1B30" w:rsidRDefault="006E2AEB"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lastRenderedPageBreak/>
        <w:t xml:space="preserve">poskytnutí veškerých technologií nezbytných pro zajištění řádného </w:t>
      </w:r>
      <w:r w:rsidR="008D3845" w:rsidRPr="006B1B30">
        <w:rPr>
          <w:rFonts w:cs="Arial"/>
          <w:bCs/>
          <w:kern w:val="28"/>
        </w:rPr>
        <w:t>scénické</w:t>
      </w:r>
      <w:r w:rsidRPr="006B1B30">
        <w:rPr>
          <w:rFonts w:cs="Arial"/>
          <w:bCs/>
          <w:kern w:val="28"/>
        </w:rPr>
        <w:t>ho</w:t>
      </w:r>
      <w:r w:rsidR="008D3845" w:rsidRPr="006B1B30">
        <w:rPr>
          <w:rFonts w:cs="Arial"/>
          <w:bCs/>
          <w:kern w:val="28"/>
        </w:rPr>
        <w:t xml:space="preserve"> </w:t>
      </w:r>
      <w:r w:rsidRPr="006B1B30">
        <w:rPr>
          <w:rFonts w:cs="Arial"/>
          <w:bCs/>
          <w:kern w:val="28"/>
        </w:rPr>
        <w:t>a </w:t>
      </w:r>
      <w:r w:rsidR="008D3845" w:rsidRPr="006B1B30">
        <w:rPr>
          <w:rFonts w:cs="Arial"/>
          <w:bCs/>
          <w:kern w:val="28"/>
        </w:rPr>
        <w:t>efektové</w:t>
      </w:r>
      <w:r w:rsidRPr="006B1B30">
        <w:rPr>
          <w:rFonts w:cs="Arial"/>
          <w:bCs/>
          <w:kern w:val="28"/>
        </w:rPr>
        <w:t>ho</w:t>
      </w:r>
      <w:r w:rsidR="008D3845" w:rsidRPr="006B1B30">
        <w:rPr>
          <w:rFonts w:cs="Arial"/>
          <w:bCs/>
          <w:kern w:val="28"/>
        </w:rPr>
        <w:t xml:space="preserve"> osvětlení uvnitř a vně Multifunkční arény</w:t>
      </w:r>
      <w:r w:rsidR="00F75481">
        <w:rPr>
          <w:rFonts w:cs="Arial"/>
          <w:bCs/>
          <w:kern w:val="28"/>
        </w:rPr>
        <w:t xml:space="preserve">, avšak bez </w:t>
      </w:r>
      <w:r w:rsidR="00104B15">
        <w:rPr>
          <w:rFonts w:cs="Arial"/>
          <w:bCs/>
          <w:kern w:val="28"/>
        </w:rPr>
        <w:t>zajištění</w:t>
      </w:r>
      <w:r w:rsidR="00F75481">
        <w:rPr>
          <w:rFonts w:cs="Arial"/>
          <w:bCs/>
          <w:kern w:val="28"/>
        </w:rPr>
        <w:t xml:space="preserve"> obsluhy</w:t>
      </w:r>
      <w:r w:rsidR="00104B15">
        <w:rPr>
          <w:rFonts w:cs="Arial"/>
          <w:bCs/>
          <w:kern w:val="28"/>
        </w:rPr>
        <w:t xml:space="preserve"> jejich provozu</w:t>
      </w:r>
      <w:r w:rsidR="008D3845" w:rsidRPr="006B1B30">
        <w:rPr>
          <w:rFonts w:cs="Arial"/>
          <w:bCs/>
          <w:kern w:val="28"/>
        </w:rPr>
        <w:t>;</w:t>
      </w:r>
    </w:p>
    <w:p w14:paraId="0209A73B" w14:textId="7A0D075D" w:rsidR="008D3845" w:rsidRPr="006B1B30" w:rsidRDefault="008D3845"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t>provoz turniketového a odbavovacího systému uvnitř Multifunkční arény;</w:t>
      </w:r>
    </w:p>
    <w:p w14:paraId="47613CA7" w14:textId="56AF6F68" w:rsidR="008D3845" w:rsidRPr="006B1B30" w:rsidRDefault="00805A6B" w:rsidP="008D3845">
      <w:pPr>
        <w:numPr>
          <w:ilvl w:val="2"/>
          <w:numId w:val="1"/>
        </w:numPr>
        <w:spacing w:before="240" w:after="60"/>
        <w:ind w:left="1276" w:right="0" w:hanging="709"/>
        <w:jc w:val="both"/>
        <w:rPr>
          <w:rFonts w:eastAsia="Times New Roman" w:cs="Arial"/>
          <w:bCs/>
          <w:kern w:val="28"/>
          <w:lang w:eastAsia="cs-CZ"/>
        </w:rPr>
      </w:pPr>
      <w:r>
        <w:rPr>
          <w:rFonts w:cs="Arial"/>
          <w:bCs/>
          <w:kern w:val="28"/>
        </w:rPr>
        <w:t xml:space="preserve">bezobslužný </w:t>
      </w:r>
      <w:r w:rsidR="008D3845" w:rsidRPr="006B1B30">
        <w:rPr>
          <w:rFonts w:cs="Arial"/>
          <w:bCs/>
          <w:kern w:val="28"/>
        </w:rPr>
        <w:t>provoz interního TV okruhu v Multifunkční aréně</w:t>
      </w:r>
      <w:r w:rsidR="00004556">
        <w:rPr>
          <w:rFonts w:cs="Arial"/>
          <w:bCs/>
          <w:kern w:val="28"/>
        </w:rPr>
        <w:t xml:space="preserve"> (</w:t>
      </w:r>
      <w:r w:rsidR="006E2AEB" w:rsidRPr="006B1B30">
        <w:rPr>
          <w:rFonts w:cs="Arial"/>
          <w:bCs/>
          <w:kern w:val="28"/>
        </w:rPr>
        <w:t>včetně</w:t>
      </w:r>
      <w:r w:rsidR="00004556">
        <w:rPr>
          <w:rFonts w:cs="Arial"/>
          <w:bCs/>
          <w:kern w:val="28"/>
        </w:rPr>
        <w:t xml:space="preserve"> TV okruhu</w:t>
      </w:r>
      <w:r w:rsidR="00A00615">
        <w:rPr>
          <w:rFonts w:cs="Arial"/>
          <w:bCs/>
          <w:kern w:val="28"/>
        </w:rPr>
        <w:t xml:space="preserve"> (STA)</w:t>
      </w:r>
      <w:r w:rsidR="00004556">
        <w:rPr>
          <w:rFonts w:cs="Arial"/>
          <w:bCs/>
          <w:kern w:val="28"/>
        </w:rPr>
        <w:t xml:space="preserve"> ve</w:t>
      </w:r>
      <w:r>
        <w:rPr>
          <w:rFonts w:cs="Arial"/>
          <w:bCs/>
          <w:kern w:val="28"/>
        </w:rPr>
        <w:t> </w:t>
      </w:r>
      <w:r w:rsidR="008C1159" w:rsidRPr="006B1B30">
        <w:rPr>
          <w:rFonts w:cs="Arial"/>
          <w:bCs/>
          <w:kern w:val="28"/>
        </w:rPr>
        <w:t>veškerých</w:t>
      </w:r>
      <w:r w:rsidR="006E2AEB" w:rsidRPr="006B1B30">
        <w:rPr>
          <w:rFonts w:cs="Arial"/>
          <w:bCs/>
          <w:kern w:val="28"/>
        </w:rPr>
        <w:t xml:space="preserve"> </w:t>
      </w:r>
      <w:proofErr w:type="spellStart"/>
      <w:r w:rsidR="00004556" w:rsidRPr="006B1B30">
        <w:t>skybox</w:t>
      </w:r>
      <w:r w:rsidR="00004556">
        <w:t>ech</w:t>
      </w:r>
      <w:proofErr w:type="spellEnd"/>
      <w:r>
        <w:t>)</w:t>
      </w:r>
      <w:r w:rsidR="008D3845" w:rsidRPr="006B1B30">
        <w:rPr>
          <w:rFonts w:cs="Arial"/>
          <w:bCs/>
          <w:kern w:val="28"/>
        </w:rPr>
        <w:t>;</w:t>
      </w:r>
    </w:p>
    <w:p w14:paraId="7860B1AD" w14:textId="77777777" w:rsidR="008D3845" w:rsidRPr="006B1B30" w:rsidRDefault="008D3845"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t>ozvučení Multifunkční arény;</w:t>
      </w:r>
    </w:p>
    <w:p w14:paraId="308D36FB" w14:textId="47915348" w:rsidR="008D3845" w:rsidRPr="006B1B30" w:rsidRDefault="008D3845"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t>provoz a využití multifunkční kostky v Multifunkční aréně;</w:t>
      </w:r>
    </w:p>
    <w:p w14:paraId="3482FBD9" w14:textId="02E818DC" w:rsidR="008D3845" w:rsidRPr="006B1B30" w:rsidRDefault="008D3845"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t>zajištění hygienických prostředků uvnitř Multifunkční arény;</w:t>
      </w:r>
    </w:p>
    <w:p w14:paraId="2004844F" w14:textId="77777777" w:rsidR="008D3845" w:rsidRPr="006B1B30" w:rsidRDefault="008D3845"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t xml:space="preserve">provoz ochranného a projekčního systému tzv. </w:t>
      </w:r>
      <w:proofErr w:type="spellStart"/>
      <w:r w:rsidRPr="006B1B30">
        <w:rPr>
          <w:rFonts w:cs="Arial"/>
          <w:bCs/>
          <w:i/>
          <w:iCs/>
          <w:kern w:val="28"/>
        </w:rPr>
        <w:t>Space</w:t>
      </w:r>
      <w:proofErr w:type="spellEnd"/>
      <w:r w:rsidRPr="006B1B30">
        <w:rPr>
          <w:rFonts w:cs="Arial"/>
          <w:bCs/>
          <w:i/>
          <w:iCs/>
          <w:kern w:val="28"/>
        </w:rPr>
        <w:t xml:space="preserve"> </w:t>
      </w:r>
      <w:proofErr w:type="spellStart"/>
      <w:r w:rsidRPr="006B1B30">
        <w:rPr>
          <w:rFonts w:cs="Arial"/>
          <w:bCs/>
          <w:i/>
          <w:iCs/>
          <w:kern w:val="28"/>
        </w:rPr>
        <w:t>Screen</w:t>
      </w:r>
      <w:proofErr w:type="spellEnd"/>
      <w:r w:rsidRPr="006B1B30">
        <w:rPr>
          <w:rFonts w:cs="Arial"/>
          <w:bCs/>
          <w:kern w:val="28"/>
        </w:rPr>
        <w:t xml:space="preserve"> bez obsluhy, skládajícího se ze čtyř (4) projekčních systémů a řídícího systému, umístěného nad hrací plochou v Aréně; a</w:t>
      </w:r>
    </w:p>
    <w:p w14:paraId="68548152" w14:textId="22353418" w:rsidR="008D3845" w:rsidRPr="006B1B30" w:rsidRDefault="00EA6DA4" w:rsidP="008D3845">
      <w:pPr>
        <w:numPr>
          <w:ilvl w:val="2"/>
          <w:numId w:val="1"/>
        </w:numPr>
        <w:spacing w:before="240" w:after="60"/>
        <w:ind w:left="1276" w:right="0" w:hanging="709"/>
        <w:jc w:val="both"/>
        <w:rPr>
          <w:rFonts w:eastAsia="Times New Roman" w:cs="Arial"/>
          <w:bCs/>
          <w:kern w:val="28"/>
          <w:lang w:eastAsia="cs-CZ"/>
        </w:rPr>
      </w:pPr>
      <w:r w:rsidRPr="006B1B30">
        <w:rPr>
          <w:rFonts w:cs="Arial"/>
          <w:bCs/>
          <w:kern w:val="28"/>
        </w:rPr>
        <w:t xml:space="preserve">poskytnutí a </w:t>
      </w:r>
      <w:r w:rsidR="00914186" w:rsidRPr="006B1B30">
        <w:rPr>
          <w:rFonts w:cs="Arial"/>
          <w:bCs/>
          <w:kern w:val="28"/>
        </w:rPr>
        <w:t xml:space="preserve">zajištění </w:t>
      </w:r>
      <w:r w:rsidRPr="006B1B30">
        <w:rPr>
          <w:rFonts w:cs="Arial"/>
          <w:bCs/>
          <w:kern w:val="28"/>
        </w:rPr>
        <w:t>bezobslužn</w:t>
      </w:r>
      <w:r w:rsidR="00914186" w:rsidRPr="006B1B30">
        <w:rPr>
          <w:rFonts w:cs="Arial"/>
          <w:bCs/>
          <w:kern w:val="28"/>
        </w:rPr>
        <w:t>ého</w:t>
      </w:r>
      <w:r w:rsidRPr="006B1B30">
        <w:rPr>
          <w:rFonts w:cs="Arial"/>
          <w:bCs/>
          <w:kern w:val="28"/>
        </w:rPr>
        <w:t xml:space="preserve"> </w:t>
      </w:r>
      <w:r w:rsidR="008D3845" w:rsidRPr="006B1B30">
        <w:rPr>
          <w:rFonts w:cs="Arial"/>
          <w:bCs/>
          <w:kern w:val="28"/>
        </w:rPr>
        <w:t>provoz</w:t>
      </w:r>
      <w:r w:rsidR="00914186" w:rsidRPr="006B1B30">
        <w:rPr>
          <w:rFonts w:cs="Arial"/>
          <w:bCs/>
          <w:kern w:val="28"/>
        </w:rPr>
        <w:t>u</w:t>
      </w:r>
      <w:r w:rsidR="000E6F9F">
        <w:rPr>
          <w:rFonts w:cs="Arial"/>
          <w:bCs/>
          <w:kern w:val="28"/>
        </w:rPr>
        <w:t xml:space="preserve"> veškerých</w:t>
      </w:r>
      <w:r w:rsidR="008D3845" w:rsidRPr="006B1B30">
        <w:rPr>
          <w:rFonts w:cs="Arial"/>
          <w:bCs/>
          <w:kern w:val="28"/>
        </w:rPr>
        <w:t xml:space="preserve"> LED </w:t>
      </w:r>
      <w:r w:rsidRPr="006B1B30">
        <w:rPr>
          <w:rFonts w:cs="Arial"/>
          <w:bCs/>
          <w:kern w:val="28"/>
        </w:rPr>
        <w:t>technologií v Multifunkční aréně;</w:t>
      </w:r>
    </w:p>
    <w:bookmarkEnd w:id="5"/>
    <w:bookmarkEnd w:id="7"/>
    <w:p w14:paraId="20A7E0CA" w14:textId="4149921B" w:rsidR="002D572C" w:rsidRDefault="002D572C" w:rsidP="00EA5B67">
      <w:pPr>
        <w:numPr>
          <w:ilvl w:val="1"/>
          <w:numId w:val="1"/>
        </w:numPr>
        <w:spacing w:before="240" w:after="60"/>
        <w:ind w:left="567" w:right="0" w:hanging="567"/>
        <w:jc w:val="both"/>
        <w:rPr>
          <w:rFonts w:asciiTheme="minorHAnsi" w:hAnsiTheme="minorHAnsi" w:cstheme="minorHAnsi"/>
        </w:rPr>
      </w:pPr>
      <w:r>
        <w:rPr>
          <w:rFonts w:asciiTheme="minorHAnsi" w:hAnsiTheme="minorHAnsi" w:cstheme="minorHAnsi"/>
        </w:rPr>
        <w:t>Smluvní strany si ujednaly, že obsluhu provozu veškerých</w:t>
      </w:r>
      <w:r w:rsidRPr="002D572C">
        <w:rPr>
          <w:rFonts w:asciiTheme="minorHAnsi" w:hAnsiTheme="minorHAnsi" w:cstheme="minorHAnsi"/>
        </w:rPr>
        <w:t xml:space="preserve"> AV a LED technologi</w:t>
      </w:r>
      <w:r>
        <w:rPr>
          <w:rFonts w:asciiTheme="minorHAnsi" w:hAnsiTheme="minorHAnsi" w:cstheme="minorHAnsi"/>
        </w:rPr>
        <w:t>í poskytovaných</w:t>
      </w:r>
      <w:r w:rsidRPr="002D572C">
        <w:rPr>
          <w:rFonts w:asciiTheme="minorHAnsi" w:hAnsiTheme="minorHAnsi" w:cstheme="minorHAnsi"/>
        </w:rPr>
        <w:t xml:space="preserve"> </w:t>
      </w:r>
      <w:r>
        <w:rPr>
          <w:rFonts w:asciiTheme="minorHAnsi" w:hAnsiTheme="minorHAnsi" w:cstheme="minorHAnsi"/>
        </w:rPr>
        <w:t xml:space="preserve">Poskytovatelem, jakož i </w:t>
      </w:r>
      <w:r w:rsidRPr="002D572C">
        <w:rPr>
          <w:rFonts w:asciiTheme="minorHAnsi" w:hAnsiTheme="minorHAnsi" w:cstheme="minorHAnsi"/>
        </w:rPr>
        <w:t>odbavení a vysílaný obsah</w:t>
      </w:r>
      <w:r>
        <w:rPr>
          <w:rFonts w:asciiTheme="minorHAnsi" w:hAnsiTheme="minorHAnsi" w:cstheme="minorHAnsi"/>
        </w:rPr>
        <w:t xml:space="preserve">, </w:t>
      </w:r>
      <w:r>
        <w:t xml:space="preserve">zajistí </w:t>
      </w:r>
      <w:r w:rsidRPr="002D572C">
        <w:rPr>
          <w:rFonts w:asciiTheme="minorHAnsi" w:hAnsiTheme="minorHAnsi" w:cstheme="minorHAnsi"/>
        </w:rPr>
        <w:t>na své náklady</w:t>
      </w:r>
      <w:r>
        <w:rPr>
          <w:rFonts w:asciiTheme="minorHAnsi" w:hAnsiTheme="minorHAnsi" w:cstheme="minorHAnsi"/>
        </w:rPr>
        <w:t xml:space="preserve"> Objednatel.</w:t>
      </w:r>
    </w:p>
    <w:p w14:paraId="0CF21097" w14:textId="5C7F86BE" w:rsidR="00CD4C34" w:rsidRPr="006B1B30" w:rsidRDefault="00CD4C34" w:rsidP="00EA5B6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 xml:space="preserve">Služby dle čl. </w:t>
      </w:r>
      <w:r w:rsidR="005B70F5" w:rsidRPr="006B1B30">
        <w:rPr>
          <w:rFonts w:asciiTheme="minorHAnsi" w:hAnsiTheme="minorHAnsi" w:cstheme="minorHAnsi"/>
        </w:rPr>
        <w:fldChar w:fldCharType="begin"/>
      </w:r>
      <w:r w:rsidR="005B70F5" w:rsidRPr="006B1B30">
        <w:rPr>
          <w:rFonts w:asciiTheme="minorHAnsi" w:hAnsiTheme="minorHAnsi" w:cstheme="minorHAnsi"/>
        </w:rPr>
        <w:instrText xml:space="preserve"> REF _Ref47970571 \r \h </w:instrText>
      </w:r>
      <w:r w:rsidR="005B70F5" w:rsidRPr="006B1B30">
        <w:rPr>
          <w:rFonts w:asciiTheme="minorHAnsi" w:hAnsiTheme="minorHAnsi" w:cstheme="minorHAnsi"/>
        </w:rPr>
      </w:r>
      <w:r w:rsidR="005B70F5" w:rsidRPr="006B1B30">
        <w:rPr>
          <w:rFonts w:asciiTheme="minorHAnsi" w:hAnsiTheme="minorHAnsi" w:cstheme="minorHAnsi"/>
        </w:rPr>
        <w:fldChar w:fldCharType="separate"/>
      </w:r>
      <w:r w:rsidR="00C9005D">
        <w:rPr>
          <w:rFonts w:asciiTheme="minorHAnsi" w:hAnsiTheme="minorHAnsi" w:cstheme="minorHAnsi"/>
        </w:rPr>
        <w:t>1.2</w:t>
      </w:r>
      <w:r w:rsidR="005B70F5" w:rsidRPr="006B1B30">
        <w:rPr>
          <w:rFonts w:asciiTheme="minorHAnsi" w:hAnsiTheme="minorHAnsi" w:cstheme="minorHAnsi"/>
        </w:rPr>
        <w:fldChar w:fldCharType="end"/>
      </w:r>
      <w:r w:rsidR="005B70F5" w:rsidRPr="006B1B30">
        <w:rPr>
          <w:rFonts w:asciiTheme="minorHAnsi" w:hAnsiTheme="minorHAnsi" w:cstheme="minorHAnsi"/>
        </w:rPr>
        <w:t xml:space="preserve"> této Smlouvy</w:t>
      </w:r>
      <w:r w:rsidRPr="006B1B30">
        <w:t xml:space="preserve"> budou</w:t>
      </w:r>
      <w:r w:rsidR="0035382F" w:rsidRPr="0035382F">
        <w:t xml:space="preserve"> </w:t>
      </w:r>
      <w:r w:rsidRPr="006B1B30">
        <w:t>poskytovány</w:t>
      </w:r>
      <w:r w:rsidR="00D16F61" w:rsidRPr="00D16F61">
        <w:t xml:space="preserve"> </w:t>
      </w:r>
      <w:r w:rsidR="00D16F61">
        <w:t>vždy</w:t>
      </w:r>
      <w:r w:rsidRPr="006B1B30">
        <w:t xml:space="preserve"> </w:t>
      </w:r>
      <w:r w:rsidR="00B61E08">
        <w:t>v</w:t>
      </w:r>
      <w:r w:rsidR="006334F2">
        <w:t> časovém rozmezí</w:t>
      </w:r>
      <w:r w:rsidR="005B70F5" w:rsidRPr="006B1B30">
        <w:t xml:space="preserve"> </w:t>
      </w:r>
      <w:r w:rsidR="006334F2">
        <w:t xml:space="preserve">počínajícím </w:t>
      </w:r>
      <w:r w:rsidR="00B55EE0" w:rsidRPr="006B1B30">
        <w:t xml:space="preserve">alespoň </w:t>
      </w:r>
      <w:r w:rsidR="005B70F5" w:rsidRPr="006B1B30">
        <w:t>jeden a půl (1,5) hodiny</w:t>
      </w:r>
      <w:r w:rsidR="00070DC4" w:rsidRPr="006B1B30">
        <w:t xml:space="preserve"> před </w:t>
      </w:r>
      <w:r w:rsidR="00B55EE0">
        <w:t xml:space="preserve">zahájením </w:t>
      </w:r>
      <w:r w:rsidR="005B70F5" w:rsidRPr="006B1B30">
        <w:t>každ</w:t>
      </w:r>
      <w:r w:rsidR="00B55EE0">
        <w:t>ého</w:t>
      </w:r>
      <w:r w:rsidR="005B70F5" w:rsidRPr="006B1B30">
        <w:t xml:space="preserve"> hokejov</w:t>
      </w:r>
      <w:r w:rsidR="00B55EE0">
        <w:t>ého</w:t>
      </w:r>
      <w:r w:rsidR="005B70F5" w:rsidRPr="006B1B30">
        <w:t xml:space="preserve"> </w:t>
      </w:r>
      <w:r w:rsidR="000931C8" w:rsidRPr="006B1B30">
        <w:rPr>
          <w:rFonts w:cs="Arial"/>
          <w:bCs/>
          <w:kern w:val="28"/>
        </w:rPr>
        <w:t>utkání</w:t>
      </w:r>
      <w:r w:rsidR="00F46C62">
        <w:rPr>
          <w:rFonts w:cs="Arial"/>
          <w:bCs/>
          <w:kern w:val="28"/>
        </w:rPr>
        <w:t>, v souvislosti s nimž budou poskytovány Služby ve smyslu této Smlouvy,</w:t>
      </w:r>
      <w:r w:rsidR="00070DC4" w:rsidRPr="006B1B30">
        <w:t xml:space="preserve"> a</w:t>
      </w:r>
      <w:r w:rsidR="006334F2">
        <w:t> končícím nejdříve</w:t>
      </w:r>
      <w:r w:rsidR="00070DC4" w:rsidRPr="006B1B30">
        <w:t xml:space="preserve"> </w:t>
      </w:r>
      <w:r w:rsidR="005B70F5" w:rsidRPr="006B1B30">
        <w:t>půl hodiny (</w:t>
      </w:r>
      <w:r w:rsidR="00070DC4" w:rsidRPr="006B1B30">
        <w:t>0,5</w:t>
      </w:r>
      <w:r w:rsidR="005B70F5" w:rsidRPr="006B1B30">
        <w:t>)</w:t>
      </w:r>
      <w:r w:rsidR="00070DC4" w:rsidRPr="006B1B30">
        <w:t xml:space="preserve"> po</w:t>
      </w:r>
      <w:r w:rsidR="0067666D">
        <w:t> </w:t>
      </w:r>
      <w:r w:rsidR="00B55EE0">
        <w:t xml:space="preserve">ukončení </w:t>
      </w:r>
      <w:r w:rsidR="005B70F5" w:rsidRPr="006B1B30">
        <w:t>každé</w:t>
      </w:r>
      <w:r w:rsidR="00B55EE0">
        <w:t>ho</w:t>
      </w:r>
      <w:r w:rsidR="005B70F5" w:rsidRPr="006B1B30">
        <w:t xml:space="preserve"> </w:t>
      </w:r>
      <w:r w:rsidR="00F46C62">
        <w:t xml:space="preserve">takového </w:t>
      </w:r>
      <w:r w:rsidR="005B70F5" w:rsidRPr="006B1B30">
        <w:t>hokejové</w:t>
      </w:r>
      <w:r w:rsidR="00B55EE0">
        <w:t>ho</w:t>
      </w:r>
      <w:r w:rsidR="00070DC4" w:rsidRPr="006B1B30">
        <w:t xml:space="preserve"> </w:t>
      </w:r>
      <w:r w:rsidR="000931C8" w:rsidRPr="006B1B30">
        <w:rPr>
          <w:rFonts w:cs="Arial"/>
          <w:bCs/>
          <w:kern w:val="28"/>
        </w:rPr>
        <w:t>utkání</w:t>
      </w:r>
      <w:r w:rsidR="005B70F5" w:rsidRPr="006B1B30">
        <w:rPr>
          <w:rFonts w:cs="Arial"/>
          <w:bCs/>
          <w:kern w:val="28"/>
        </w:rPr>
        <w:t xml:space="preserve"> </w:t>
      </w:r>
      <w:r w:rsidR="008934D3" w:rsidRPr="006B1B30">
        <w:rPr>
          <w:rFonts w:cs="Arial"/>
          <w:bCs/>
          <w:kern w:val="28"/>
        </w:rPr>
        <w:t>(</w:t>
      </w:r>
      <w:r w:rsidR="005B70F5" w:rsidRPr="006B1B30">
        <w:t>včetně doby každého celého hokejového utkání)</w:t>
      </w:r>
      <w:r w:rsidR="009D0BB4" w:rsidRPr="006B1B30">
        <w:t>, a</w:t>
      </w:r>
      <w:r w:rsidR="0061509E">
        <w:t> </w:t>
      </w:r>
      <w:r w:rsidR="009D0BB4" w:rsidRPr="006B1B30">
        <w:t>to</w:t>
      </w:r>
      <w:r w:rsidR="0061509E">
        <w:t> </w:t>
      </w:r>
      <w:r w:rsidR="009D0BB4" w:rsidRPr="006B1B30">
        <w:t>vyjma těch</w:t>
      </w:r>
      <w:r w:rsidR="0067666D">
        <w:t> </w:t>
      </w:r>
      <w:r w:rsidR="009D0BB4" w:rsidRPr="006B1B30">
        <w:t xml:space="preserve">Služeb, které mají z  povahy věci </w:t>
      </w:r>
      <w:r w:rsidR="005E7998" w:rsidRPr="006B1B30">
        <w:t xml:space="preserve">být </w:t>
      </w:r>
      <w:r w:rsidR="009D0BB4" w:rsidRPr="006B1B30">
        <w:t xml:space="preserve">poskytovány </w:t>
      </w:r>
      <w:r w:rsidR="003339B1">
        <w:t xml:space="preserve">v tentýž den </w:t>
      </w:r>
      <w:r w:rsidR="009D0BB4" w:rsidRPr="006B1B30">
        <w:t xml:space="preserve">i v delším časovém </w:t>
      </w:r>
      <w:r w:rsidR="006334F2">
        <w:t>rozmezí</w:t>
      </w:r>
      <w:r w:rsidR="009D0BB4" w:rsidRPr="006B1B30">
        <w:t xml:space="preserve"> před</w:t>
      </w:r>
      <w:r w:rsidR="0067666D">
        <w:t> </w:t>
      </w:r>
      <w:r w:rsidR="00B55EE0">
        <w:t xml:space="preserve">zahájením </w:t>
      </w:r>
      <w:r w:rsidR="009D0BB4" w:rsidRPr="006B1B30">
        <w:t>či</w:t>
      </w:r>
      <w:r w:rsidR="0067666D">
        <w:t> </w:t>
      </w:r>
      <w:r w:rsidR="009D0BB4" w:rsidRPr="006B1B30">
        <w:t>po</w:t>
      </w:r>
      <w:r w:rsidR="0067666D">
        <w:t> </w:t>
      </w:r>
      <w:r w:rsidR="00B55EE0">
        <w:t xml:space="preserve">ukončení </w:t>
      </w:r>
      <w:r w:rsidR="009D0BB4" w:rsidRPr="006B1B30">
        <w:t>každé</w:t>
      </w:r>
      <w:r w:rsidR="00B55EE0">
        <w:t>ho</w:t>
      </w:r>
      <w:r w:rsidR="009D0BB4" w:rsidRPr="006B1B30">
        <w:t xml:space="preserve"> hokejové</w:t>
      </w:r>
      <w:r w:rsidR="00B55EE0">
        <w:t>ho</w:t>
      </w:r>
      <w:r w:rsidR="009D0BB4" w:rsidRPr="006B1B30">
        <w:t xml:space="preserve"> utkání (tj. </w:t>
      </w:r>
      <w:r w:rsidR="00F9203B" w:rsidRPr="006B1B30">
        <w:t>Služby uvedené v</w:t>
      </w:r>
      <w:r w:rsidR="009D0BB4" w:rsidRPr="006B1B30">
        <w:t xml:space="preserve"> čl. </w:t>
      </w:r>
      <w:r w:rsidR="009D0BB4" w:rsidRPr="006B1B30">
        <w:fldChar w:fldCharType="begin"/>
      </w:r>
      <w:r w:rsidR="009D0BB4" w:rsidRPr="006B1B30">
        <w:instrText xml:space="preserve"> REF _Ref47971149 \r \h </w:instrText>
      </w:r>
      <w:r w:rsidR="009D0BB4" w:rsidRPr="006B1B30">
        <w:fldChar w:fldCharType="separate"/>
      </w:r>
      <w:r w:rsidR="00C9005D">
        <w:t>1.2.2</w:t>
      </w:r>
      <w:r w:rsidR="009D0BB4" w:rsidRPr="006B1B30">
        <w:fldChar w:fldCharType="end"/>
      </w:r>
      <w:r w:rsidR="00F9203B" w:rsidRPr="006B1B30">
        <w:t xml:space="preserve"> a</w:t>
      </w:r>
      <w:r w:rsidR="009D0BB4" w:rsidRPr="006B1B30">
        <w:rPr>
          <w:rFonts w:cs="Arial"/>
          <w:bCs/>
          <w:kern w:val="28"/>
        </w:rPr>
        <w:t xml:space="preserve"> </w:t>
      </w:r>
      <w:r w:rsidR="00A96E16">
        <w:fldChar w:fldCharType="begin"/>
      </w:r>
      <w:r w:rsidR="00A96E16">
        <w:instrText xml:space="preserve"> REF _Ref54724673 \r \h </w:instrText>
      </w:r>
      <w:r w:rsidR="00A96E16">
        <w:fldChar w:fldCharType="separate"/>
      </w:r>
      <w:r w:rsidR="00C9005D">
        <w:t>1.2.3</w:t>
      </w:r>
      <w:r w:rsidR="00A96E16">
        <w:fldChar w:fldCharType="end"/>
      </w:r>
      <w:r w:rsidR="009D0BB4" w:rsidRPr="006B1B30">
        <w:t xml:space="preserve"> </w:t>
      </w:r>
      <w:r w:rsidR="00F9203B" w:rsidRPr="006B1B30">
        <w:t xml:space="preserve">a </w:t>
      </w:r>
      <w:r w:rsidR="00F9203B" w:rsidRPr="006B1B30">
        <w:fldChar w:fldCharType="begin"/>
      </w:r>
      <w:r w:rsidR="00F9203B" w:rsidRPr="006B1B30">
        <w:instrText xml:space="preserve"> REF _Ref47972962 \r \h </w:instrText>
      </w:r>
      <w:r w:rsidR="00F9203B" w:rsidRPr="006B1B30">
        <w:fldChar w:fldCharType="separate"/>
      </w:r>
      <w:r w:rsidR="00C9005D">
        <w:t>1.2.4</w:t>
      </w:r>
      <w:r w:rsidR="00F9203B" w:rsidRPr="006B1B30">
        <w:fldChar w:fldCharType="end"/>
      </w:r>
      <w:r w:rsidR="00134E8C" w:rsidRPr="006B1B30">
        <w:t xml:space="preserve"> a </w:t>
      </w:r>
      <w:r w:rsidR="00134E8C" w:rsidRPr="006B1B30">
        <w:fldChar w:fldCharType="begin"/>
      </w:r>
      <w:r w:rsidR="00134E8C" w:rsidRPr="006B1B30">
        <w:instrText xml:space="preserve"> REF _Ref47973545 \r \h </w:instrText>
      </w:r>
      <w:r w:rsidR="00134E8C" w:rsidRPr="006B1B30">
        <w:fldChar w:fldCharType="separate"/>
      </w:r>
      <w:r w:rsidR="00C9005D">
        <w:t>1.2.5</w:t>
      </w:r>
      <w:r w:rsidR="00134E8C" w:rsidRPr="006B1B30">
        <w:fldChar w:fldCharType="end"/>
      </w:r>
      <w:r w:rsidR="00F9203B" w:rsidRPr="006B1B30">
        <w:t xml:space="preserve"> této Smlouvy, </w:t>
      </w:r>
      <w:r w:rsidR="000C50A9" w:rsidRPr="006B1B30">
        <w:t xml:space="preserve">poskytované </w:t>
      </w:r>
      <w:r w:rsidR="00C51B34">
        <w:t>mj</w:t>
      </w:r>
      <w:r w:rsidR="000C50A9" w:rsidRPr="006B1B30">
        <w:t xml:space="preserve">. </w:t>
      </w:r>
      <w:r w:rsidR="00B55EE0">
        <w:t>též</w:t>
      </w:r>
      <w:r w:rsidR="000C50A9" w:rsidRPr="006B1B30">
        <w:t xml:space="preserve"> v souvislosti </w:t>
      </w:r>
      <w:r w:rsidR="00F76C6A" w:rsidRPr="006B1B30">
        <w:t xml:space="preserve">s tréninky </w:t>
      </w:r>
      <w:r w:rsidR="00C51B34">
        <w:t>či</w:t>
      </w:r>
      <w:r w:rsidR="003339B1">
        <w:t> </w:t>
      </w:r>
      <w:r w:rsidR="00F76C6A" w:rsidRPr="006B1B30">
        <w:t>předzápasovými rozbrusleními</w:t>
      </w:r>
      <w:r w:rsidR="000C50A9" w:rsidRPr="006B1B30">
        <w:t xml:space="preserve"> účastníků daného hokejového utkání)</w:t>
      </w:r>
      <w:r w:rsidR="00F76C6A" w:rsidRPr="006B1B30">
        <w:t xml:space="preserve">, </w:t>
      </w:r>
      <w:r w:rsidR="00F9203B" w:rsidRPr="006B1B30">
        <w:t>ledaže se</w:t>
      </w:r>
      <w:r w:rsidR="00F15EBC" w:rsidRPr="006B1B30">
        <w:t> </w:t>
      </w:r>
      <w:r w:rsidR="009D0BB4" w:rsidRPr="006B1B30">
        <w:t xml:space="preserve">Smluvní strany </w:t>
      </w:r>
      <w:r w:rsidR="00905393" w:rsidRPr="006B1B30">
        <w:t>dohodnou jin</w:t>
      </w:r>
      <w:r w:rsidR="004540B7" w:rsidRPr="006B1B30">
        <w:t>a</w:t>
      </w:r>
      <w:r w:rsidR="00A02948" w:rsidRPr="006B1B30">
        <w:t>k.</w:t>
      </w:r>
    </w:p>
    <w:p w14:paraId="3D73369D" w14:textId="139144FC" w:rsidR="0027392C" w:rsidRPr="006B1B30" w:rsidRDefault="00A7650B" w:rsidP="00EA5B67">
      <w:pPr>
        <w:numPr>
          <w:ilvl w:val="1"/>
          <w:numId w:val="1"/>
        </w:numPr>
        <w:spacing w:before="240" w:after="60"/>
        <w:ind w:left="567" w:right="0" w:hanging="567"/>
        <w:jc w:val="both"/>
        <w:rPr>
          <w:rFonts w:asciiTheme="minorHAnsi" w:hAnsiTheme="minorHAnsi" w:cstheme="minorHAnsi"/>
        </w:rPr>
      </w:pPr>
      <w:r w:rsidRPr="006B1B30">
        <w:rPr>
          <w:rFonts w:eastAsia="Times New Roman" w:cs="Arial"/>
          <w:bCs/>
          <w:kern w:val="28"/>
          <w:lang w:eastAsia="cs-CZ"/>
        </w:rPr>
        <w:t xml:space="preserve">Služby dle této Smlouvy budou </w:t>
      </w:r>
      <w:r w:rsidR="003B7997">
        <w:rPr>
          <w:rFonts w:eastAsia="Times New Roman" w:cs="Arial"/>
          <w:bCs/>
          <w:kern w:val="28"/>
          <w:lang w:eastAsia="cs-CZ"/>
        </w:rPr>
        <w:t xml:space="preserve">v rámci sjednaných podmínek </w:t>
      </w:r>
      <w:r w:rsidRPr="006B1B30">
        <w:rPr>
          <w:rFonts w:eastAsia="Times New Roman" w:cs="Arial"/>
          <w:bCs/>
          <w:kern w:val="28"/>
          <w:lang w:eastAsia="cs-CZ"/>
        </w:rPr>
        <w:t>poskytovány na základě pokynů Objednatele</w:t>
      </w:r>
      <w:r w:rsidR="0027392C" w:rsidRPr="006B1B30">
        <w:rPr>
          <w:rFonts w:eastAsia="Times New Roman" w:cs="Arial"/>
          <w:bCs/>
          <w:kern w:val="28"/>
          <w:lang w:eastAsia="cs-CZ"/>
        </w:rPr>
        <w:t>, přičemž Poskytovatel se zavazuje tyto pokyny Objednatele respektovat</w:t>
      </w:r>
      <w:r w:rsidRPr="006B1B30">
        <w:rPr>
          <w:rFonts w:eastAsia="Times New Roman" w:cs="Arial"/>
          <w:bCs/>
          <w:kern w:val="28"/>
          <w:lang w:eastAsia="cs-CZ"/>
        </w:rPr>
        <w:t>.</w:t>
      </w:r>
    </w:p>
    <w:p w14:paraId="08030300" w14:textId="5F7E6103" w:rsidR="00A7650B" w:rsidRPr="006B1B30" w:rsidRDefault="00113C28">
      <w:pPr>
        <w:numPr>
          <w:ilvl w:val="1"/>
          <w:numId w:val="1"/>
        </w:numPr>
        <w:spacing w:before="240" w:after="60"/>
        <w:ind w:left="567" w:right="0" w:hanging="567"/>
        <w:jc w:val="both"/>
        <w:rPr>
          <w:rFonts w:asciiTheme="minorHAnsi" w:hAnsiTheme="minorHAnsi" w:cstheme="minorHAnsi"/>
        </w:rPr>
      </w:pPr>
      <w:bookmarkStart w:id="12" w:name="_Ref55295376"/>
      <w:r w:rsidRPr="00113C28">
        <w:rPr>
          <w:rFonts w:asciiTheme="minorHAnsi" w:hAnsiTheme="minorHAnsi" w:cstheme="minorHAnsi"/>
        </w:rPr>
        <w:t>Rozsah poskytov</w:t>
      </w:r>
      <w:r w:rsidR="00781ACD">
        <w:rPr>
          <w:rFonts w:asciiTheme="minorHAnsi" w:hAnsiTheme="minorHAnsi" w:cstheme="minorHAnsi"/>
        </w:rPr>
        <w:t>aných</w:t>
      </w:r>
      <w:r w:rsidRPr="00113C28">
        <w:rPr>
          <w:rFonts w:asciiTheme="minorHAnsi" w:hAnsiTheme="minorHAnsi" w:cstheme="minorHAnsi"/>
        </w:rPr>
        <w:t xml:space="preserve"> Služeb dle této Smlouvy náleží výlučně do diskrece Objednatele, pročež je</w:t>
      </w:r>
      <w:r>
        <w:rPr>
          <w:rFonts w:asciiTheme="minorHAnsi" w:hAnsiTheme="minorHAnsi" w:cstheme="minorHAnsi"/>
        </w:rPr>
        <w:t> </w:t>
      </w:r>
      <w:r w:rsidRPr="00113C28">
        <w:rPr>
          <w:rFonts w:asciiTheme="minorHAnsi" w:hAnsiTheme="minorHAnsi" w:cstheme="minorHAnsi"/>
        </w:rPr>
        <w:t>Objednatel oprávněn v jednotlivých případech určit též odlišný rozsah (časový i jiný) poskytovaných Služeb; Smluvní strany se v takovém případě dohodnou na odlišné výši Odměny (jak je tento pojem definován v čl.</w:t>
      </w:r>
      <w:r w:rsidR="0048224E">
        <w:rPr>
          <w:rFonts w:asciiTheme="minorHAnsi" w:hAnsiTheme="minorHAnsi" w:cstheme="minorHAnsi"/>
        </w:rPr>
        <w:t xml:space="preserve"> </w:t>
      </w:r>
      <w:r w:rsidR="0048224E">
        <w:rPr>
          <w:rFonts w:asciiTheme="minorHAnsi" w:hAnsiTheme="minorHAnsi" w:cstheme="minorHAnsi"/>
        </w:rPr>
        <w:fldChar w:fldCharType="begin"/>
      </w:r>
      <w:r w:rsidR="0048224E">
        <w:rPr>
          <w:rFonts w:asciiTheme="minorHAnsi" w:hAnsiTheme="minorHAnsi" w:cstheme="minorHAnsi"/>
        </w:rPr>
        <w:instrText xml:space="preserve"> REF _Ref47289219 \r \h </w:instrText>
      </w:r>
      <w:r w:rsidR="0048224E">
        <w:rPr>
          <w:rFonts w:asciiTheme="minorHAnsi" w:hAnsiTheme="minorHAnsi" w:cstheme="minorHAnsi"/>
        </w:rPr>
      </w:r>
      <w:r w:rsidR="0048224E">
        <w:rPr>
          <w:rFonts w:asciiTheme="minorHAnsi" w:hAnsiTheme="minorHAnsi" w:cstheme="minorHAnsi"/>
        </w:rPr>
        <w:fldChar w:fldCharType="separate"/>
      </w:r>
      <w:r w:rsidR="00C9005D">
        <w:rPr>
          <w:rFonts w:asciiTheme="minorHAnsi" w:hAnsiTheme="minorHAnsi" w:cstheme="minorHAnsi"/>
        </w:rPr>
        <w:t>4.1</w:t>
      </w:r>
      <w:r w:rsidR="0048224E">
        <w:rPr>
          <w:rFonts w:asciiTheme="minorHAnsi" w:hAnsiTheme="minorHAnsi" w:cstheme="minorHAnsi"/>
        </w:rPr>
        <w:fldChar w:fldCharType="end"/>
      </w:r>
      <w:r w:rsidRPr="00113C28">
        <w:rPr>
          <w:rFonts w:asciiTheme="minorHAnsi" w:hAnsiTheme="minorHAnsi" w:cstheme="minorHAnsi"/>
        </w:rPr>
        <w:t xml:space="preserve"> této Smlouvy), která bude adekvátně </w:t>
      </w:r>
      <w:r w:rsidR="00AA5AFD">
        <w:rPr>
          <w:rFonts w:asciiTheme="minorHAnsi" w:hAnsiTheme="minorHAnsi" w:cstheme="minorHAnsi"/>
        </w:rPr>
        <w:t xml:space="preserve">reflektovat </w:t>
      </w:r>
      <w:r w:rsidRPr="00113C28">
        <w:rPr>
          <w:rFonts w:asciiTheme="minorHAnsi" w:hAnsiTheme="minorHAnsi" w:cstheme="minorHAnsi"/>
        </w:rPr>
        <w:t>odlišn</w:t>
      </w:r>
      <w:r w:rsidR="00AA5AFD">
        <w:rPr>
          <w:rFonts w:asciiTheme="minorHAnsi" w:hAnsiTheme="minorHAnsi" w:cstheme="minorHAnsi"/>
        </w:rPr>
        <w:t>ý</w:t>
      </w:r>
      <w:r w:rsidRPr="00113C28">
        <w:rPr>
          <w:rFonts w:asciiTheme="minorHAnsi" w:hAnsiTheme="minorHAnsi" w:cstheme="minorHAnsi"/>
        </w:rPr>
        <w:t xml:space="preserve"> rozsah poskytnutých Služeb.</w:t>
      </w:r>
      <w:bookmarkEnd w:id="12"/>
    </w:p>
    <w:p w14:paraId="7696C1EE" w14:textId="77777777" w:rsidR="0021423C" w:rsidRPr="006B1B30" w:rsidRDefault="0021423C" w:rsidP="002828AB">
      <w:pPr>
        <w:numPr>
          <w:ilvl w:val="1"/>
          <w:numId w:val="1"/>
        </w:numPr>
        <w:spacing w:before="240" w:after="60"/>
        <w:ind w:left="567" w:right="0" w:hanging="567"/>
        <w:jc w:val="both"/>
        <w:rPr>
          <w:rFonts w:eastAsia="Times New Roman" w:cs="Arial"/>
          <w:bCs/>
          <w:kern w:val="28"/>
          <w:lang w:eastAsia="cs-CZ"/>
        </w:rPr>
      </w:pPr>
      <w:r w:rsidRPr="006B1B30">
        <w:t>Za účelem vyloučení jakýchkoli pochybností v případech existence jakýchkoli sporů ohledně rozsahu poskytovaných Služeb, tj. v případě existence sporů ohledně skutečnosti, zda je</w:t>
      </w:r>
      <w:r w:rsidR="002828AB" w:rsidRPr="006B1B30">
        <w:t> </w:t>
      </w:r>
      <w:r w:rsidRPr="006B1B30">
        <w:t>(či není) určitá činnost součástí Služeb, platí, že každá taková činnost se vždy za součást Služeb považuje, přičemž Služby dle této Smlouvy nebudou v žádném ohledu (dílčí položce) menšího rozsahu, než Služby poskytované dle Původní smlouvy a jiných souvisejících smluv či dohod uzavřených mezi Smluvními stranami před uzavřením této Smlouvy.</w:t>
      </w:r>
    </w:p>
    <w:p w14:paraId="109ACABD" w14:textId="77777777" w:rsidR="00A7650B" w:rsidRPr="0044409A" w:rsidRDefault="00A7650B" w:rsidP="00B6077F">
      <w:pPr>
        <w:pStyle w:val="Nadpisy"/>
        <w:keepNext/>
        <w:rPr>
          <w:b w:val="0"/>
          <w:bCs/>
        </w:rPr>
      </w:pPr>
      <w:bookmarkStart w:id="13" w:name="_Toc55934495"/>
      <w:r w:rsidRPr="006B1B30">
        <w:lastRenderedPageBreak/>
        <w:t>Místo poskytování Služeb</w:t>
      </w:r>
      <w:bookmarkEnd w:id="13"/>
    </w:p>
    <w:p w14:paraId="1D607121" w14:textId="77777777" w:rsidR="00A7650B" w:rsidRPr="006B1B30" w:rsidRDefault="00A7650B" w:rsidP="00B6077F">
      <w:pPr>
        <w:keepNext/>
        <w:numPr>
          <w:ilvl w:val="1"/>
          <w:numId w:val="1"/>
        </w:numPr>
        <w:spacing w:before="240" w:after="60"/>
        <w:ind w:left="567" w:right="0" w:hanging="567"/>
        <w:jc w:val="both"/>
        <w:rPr>
          <w:rFonts w:eastAsia="Times New Roman" w:cs="Arial"/>
          <w:bCs/>
          <w:kern w:val="28"/>
          <w:lang w:eastAsia="cs-CZ"/>
        </w:rPr>
      </w:pPr>
      <w:r w:rsidRPr="006B1B30">
        <w:rPr>
          <w:rFonts w:eastAsia="Times New Roman" w:cs="Arial"/>
          <w:bCs/>
          <w:kern w:val="28"/>
          <w:lang w:eastAsia="cs-CZ"/>
        </w:rPr>
        <w:t xml:space="preserve">Místem poskytování Služeb je </w:t>
      </w:r>
      <w:r w:rsidR="00823C04" w:rsidRPr="006B1B30">
        <w:rPr>
          <w:rFonts w:eastAsia="Times New Roman" w:cs="Arial"/>
          <w:bCs/>
          <w:kern w:val="28"/>
          <w:lang w:eastAsia="cs-CZ"/>
        </w:rPr>
        <w:t>Multifunkční aréna</w:t>
      </w:r>
      <w:r w:rsidRPr="006B1B30">
        <w:rPr>
          <w:rFonts w:eastAsia="Times New Roman" w:cs="Arial"/>
          <w:bCs/>
          <w:kern w:val="28"/>
          <w:lang w:eastAsia="cs-CZ"/>
        </w:rPr>
        <w:t xml:space="preserve">, nedohodnou-li se Smluvní strany </w:t>
      </w:r>
      <w:r w:rsidR="000419F0" w:rsidRPr="006B1B30">
        <w:rPr>
          <w:rFonts w:eastAsia="Times New Roman" w:cs="Arial"/>
          <w:bCs/>
          <w:kern w:val="28"/>
          <w:lang w:eastAsia="cs-CZ"/>
        </w:rPr>
        <w:t xml:space="preserve">v předstihu </w:t>
      </w:r>
      <w:r w:rsidRPr="006B1B30">
        <w:rPr>
          <w:rFonts w:eastAsia="Times New Roman" w:cs="Arial"/>
          <w:bCs/>
          <w:kern w:val="28"/>
          <w:lang w:eastAsia="cs-CZ"/>
        </w:rPr>
        <w:t>písemně jinak.</w:t>
      </w:r>
    </w:p>
    <w:p w14:paraId="17E0C8DF" w14:textId="77777777" w:rsidR="00C5267C" w:rsidRPr="006B1B30" w:rsidRDefault="00C5267C">
      <w:pPr>
        <w:pStyle w:val="Nadpisy"/>
      </w:pPr>
      <w:bookmarkStart w:id="14" w:name="_Toc55934496"/>
      <w:r w:rsidRPr="006B1B30">
        <w:t>Trvání Smlouvy</w:t>
      </w:r>
      <w:bookmarkEnd w:id="14"/>
    </w:p>
    <w:p w14:paraId="2586CA3C" w14:textId="77777777" w:rsidR="00C5267C" w:rsidRPr="006B1B30" w:rsidRDefault="00DC6E73" w:rsidP="00C41D99">
      <w:pPr>
        <w:numPr>
          <w:ilvl w:val="1"/>
          <w:numId w:val="1"/>
        </w:numPr>
        <w:spacing w:before="240" w:after="60"/>
        <w:ind w:left="567" w:right="0" w:hanging="567"/>
        <w:jc w:val="both"/>
      </w:pPr>
      <w:r w:rsidRPr="006B1B30">
        <w:rPr>
          <w:rFonts w:asciiTheme="minorHAnsi" w:hAnsiTheme="minorHAnsi"/>
        </w:rPr>
        <w:t>Tato Smlouva se uzavírá na dobu určitou do 30.4.2035 (d</w:t>
      </w:r>
      <w:r w:rsidRPr="006B1B30">
        <w:rPr>
          <w:rFonts w:asciiTheme="minorHAnsi" w:hAnsiTheme="minorHAnsi" w:cs="Cambria"/>
        </w:rPr>
        <w:t>á</w:t>
      </w:r>
      <w:r w:rsidRPr="006B1B30">
        <w:rPr>
          <w:rFonts w:asciiTheme="minorHAnsi" w:hAnsiTheme="minorHAnsi"/>
        </w:rPr>
        <w:t>le jen „</w:t>
      </w:r>
      <w:r w:rsidRPr="006B1B30">
        <w:rPr>
          <w:rFonts w:asciiTheme="minorHAnsi" w:hAnsiTheme="minorHAnsi"/>
          <w:b/>
        </w:rPr>
        <w:t xml:space="preserve">Doba </w:t>
      </w:r>
      <w:r w:rsidR="00E32FB7" w:rsidRPr="006B1B30">
        <w:rPr>
          <w:rFonts w:asciiTheme="minorHAnsi" w:hAnsiTheme="minorHAnsi"/>
          <w:b/>
        </w:rPr>
        <w:t>poskytování</w:t>
      </w:r>
      <w:r w:rsidRPr="006B1B30">
        <w:rPr>
          <w:rFonts w:asciiTheme="minorHAnsi" w:hAnsiTheme="minorHAnsi"/>
          <w:b/>
        </w:rPr>
        <w:t xml:space="preserve"> Služeb</w:t>
      </w:r>
      <w:r w:rsidRPr="006B1B30">
        <w:rPr>
          <w:rFonts w:asciiTheme="minorHAnsi" w:hAnsiTheme="minorHAnsi"/>
        </w:rPr>
        <w:t>“)</w:t>
      </w:r>
      <w:r w:rsidR="00E32FB7" w:rsidRPr="006B1B30">
        <w:rPr>
          <w:rFonts w:asciiTheme="minorHAnsi" w:hAnsiTheme="minorHAnsi"/>
        </w:rPr>
        <w:t>.</w:t>
      </w:r>
    </w:p>
    <w:p w14:paraId="3F09349E" w14:textId="77777777" w:rsidR="00C5267C" w:rsidRPr="006B1B30" w:rsidRDefault="002828AB" w:rsidP="00C41D99">
      <w:pPr>
        <w:numPr>
          <w:ilvl w:val="1"/>
          <w:numId w:val="1"/>
        </w:numPr>
        <w:spacing w:before="240" w:after="60"/>
        <w:ind w:left="567" w:right="0" w:hanging="567"/>
        <w:jc w:val="both"/>
      </w:pPr>
      <w:r w:rsidRPr="006B1B30">
        <w:rPr>
          <w:rFonts w:asciiTheme="minorHAnsi" w:hAnsiTheme="minorHAnsi"/>
        </w:rPr>
        <w:t xml:space="preserve">Smluvní strany sjednávají, že dojde-li k prodloužení doby trvání Akcionářské dohody, automaticky se prodlouží též doba trvání této Smlouvy </w:t>
      </w:r>
      <w:r w:rsidRPr="006B1B30">
        <w:t xml:space="preserve">(tedy dojde k prodloužení Doby </w:t>
      </w:r>
      <w:r w:rsidR="003860F8" w:rsidRPr="006B1B30">
        <w:t>poskytování Služeb</w:t>
      </w:r>
      <w:r w:rsidRPr="006B1B30">
        <w:t>), a to na dobu dalších deseti (10) let</w:t>
      </w:r>
      <w:r w:rsidRPr="006B1B30">
        <w:rPr>
          <w:rFonts w:asciiTheme="minorHAnsi" w:hAnsiTheme="minorHAnsi"/>
          <w:bCs/>
        </w:rPr>
        <w:t xml:space="preserve"> bezprostředně navazujících na poslední den Doby </w:t>
      </w:r>
      <w:r w:rsidR="003860F8" w:rsidRPr="006B1B30">
        <w:t>poskytování Služeb</w:t>
      </w:r>
      <w:r w:rsidR="003860F8" w:rsidRPr="006B1B30">
        <w:rPr>
          <w:rFonts w:asciiTheme="minorHAnsi" w:hAnsiTheme="minorHAnsi"/>
          <w:bCs/>
        </w:rPr>
        <w:t xml:space="preserve"> </w:t>
      </w:r>
      <w:r w:rsidRPr="006B1B30">
        <w:rPr>
          <w:rFonts w:asciiTheme="minorHAnsi" w:hAnsiTheme="minorHAnsi"/>
          <w:bCs/>
        </w:rPr>
        <w:t>(dále jen „</w:t>
      </w:r>
      <w:r w:rsidRPr="006B1B30">
        <w:rPr>
          <w:rFonts w:asciiTheme="minorHAnsi" w:hAnsiTheme="minorHAnsi"/>
          <w:b/>
        </w:rPr>
        <w:t>Nové období</w:t>
      </w:r>
      <w:r w:rsidRPr="006B1B30">
        <w:rPr>
          <w:rFonts w:asciiTheme="minorHAnsi" w:hAnsiTheme="minorHAnsi"/>
          <w:bCs/>
        </w:rPr>
        <w:t xml:space="preserve">“), </w:t>
      </w:r>
      <w:r w:rsidRPr="006B1B30">
        <w:t>a to za stejných podmínek, jako jsou sjednány v této Smlouvě</w:t>
      </w:r>
      <w:r w:rsidRPr="006B1B30">
        <w:rPr>
          <w:rFonts w:asciiTheme="minorHAnsi" w:hAnsiTheme="minorHAnsi"/>
          <w:bCs/>
        </w:rPr>
        <w:t>. Smluvní strany se zavazují navzájem písemně informovat o veškerých jednáních týkajících se prodloužení doby trvání Akcionářské dohody.</w:t>
      </w:r>
    </w:p>
    <w:p w14:paraId="5F345C8D" w14:textId="77777777" w:rsidR="002833F1" w:rsidRPr="006B1B30" w:rsidRDefault="002833F1" w:rsidP="00C41D99">
      <w:pPr>
        <w:numPr>
          <w:ilvl w:val="1"/>
          <w:numId w:val="1"/>
        </w:numPr>
        <w:spacing w:before="240" w:after="60"/>
        <w:ind w:left="567" w:right="0" w:hanging="567"/>
        <w:jc w:val="both"/>
      </w:pPr>
      <w:r w:rsidRPr="006B1B30">
        <w:t xml:space="preserve">Dojde-li k prodloužení doby trvání této Smlouvy o Nové období, platí veškerá ustanovení této Smlouvy týkající se </w:t>
      </w:r>
      <w:r w:rsidR="00667DBA" w:rsidRPr="006B1B30">
        <w:rPr>
          <w:rFonts w:asciiTheme="minorHAnsi" w:hAnsiTheme="minorHAnsi"/>
          <w:bCs/>
        </w:rPr>
        <w:t xml:space="preserve">Doby </w:t>
      </w:r>
      <w:r w:rsidR="00667DBA" w:rsidRPr="006B1B30">
        <w:t>poskytování Služeb</w:t>
      </w:r>
      <w:r w:rsidRPr="006B1B30">
        <w:t>, nejsou-li Smluvními stranami výslovně dohodnuty odlišné podmínky pro Nové období.</w:t>
      </w:r>
    </w:p>
    <w:p w14:paraId="76CF6E2D" w14:textId="72E3A59E" w:rsidR="00547CD3" w:rsidRPr="006B1B30" w:rsidRDefault="00547CD3" w:rsidP="00C41D99">
      <w:pPr>
        <w:numPr>
          <w:ilvl w:val="1"/>
          <w:numId w:val="1"/>
        </w:numPr>
        <w:spacing w:before="240" w:after="60"/>
        <w:ind w:left="567" w:right="0" w:hanging="567"/>
        <w:jc w:val="both"/>
      </w:pPr>
      <w:r w:rsidRPr="006B1B30">
        <w:t xml:space="preserve">Ukončit tuto Smlouvu před uplynutím </w:t>
      </w:r>
      <w:r w:rsidRPr="006B1B30">
        <w:rPr>
          <w:rFonts w:asciiTheme="minorHAnsi" w:hAnsiTheme="minorHAnsi"/>
          <w:bCs/>
        </w:rPr>
        <w:t xml:space="preserve">Doby </w:t>
      </w:r>
      <w:r w:rsidRPr="006B1B30">
        <w:t>poskytování Služeb lze výlučně v případech uvedených</w:t>
      </w:r>
      <w:r w:rsidR="009F5816" w:rsidRPr="006B1B30">
        <w:t xml:space="preserve"> v čl. </w:t>
      </w:r>
      <w:r w:rsidR="00EE74CB" w:rsidRPr="006B1B30">
        <w:fldChar w:fldCharType="begin"/>
      </w:r>
      <w:r w:rsidR="00EE74CB" w:rsidRPr="006B1B30">
        <w:instrText xml:space="preserve"> REF _Ref47353200 \r \h </w:instrText>
      </w:r>
      <w:r w:rsidR="00EE74CB" w:rsidRPr="006B1B30">
        <w:fldChar w:fldCharType="separate"/>
      </w:r>
      <w:r w:rsidR="00C9005D">
        <w:t>8</w:t>
      </w:r>
      <w:r w:rsidR="00EE74CB" w:rsidRPr="006B1B30">
        <w:fldChar w:fldCharType="end"/>
      </w:r>
      <w:r w:rsidRPr="006B1B30">
        <w:t xml:space="preserve"> této Smlouvy.</w:t>
      </w:r>
    </w:p>
    <w:p w14:paraId="0EC2B634" w14:textId="77777777" w:rsidR="00C5267C" w:rsidRPr="006B1B30" w:rsidRDefault="00BE7898" w:rsidP="00B27B49">
      <w:pPr>
        <w:pStyle w:val="Nadpisy"/>
        <w:widowControl w:val="0"/>
      </w:pPr>
      <w:bookmarkStart w:id="15" w:name="_Ref47289212"/>
      <w:bookmarkStart w:id="16" w:name="_Toc55934497"/>
      <w:r w:rsidRPr="006B1B30">
        <w:t>Odměna a platební podmínky</w:t>
      </w:r>
      <w:bookmarkEnd w:id="15"/>
      <w:bookmarkEnd w:id="16"/>
    </w:p>
    <w:p w14:paraId="5ED4941F" w14:textId="77777777" w:rsidR="00AE0196" w:rsidRPr="006B1B30" w:rsidRDefault="00BE7898" w:rsidP="00B27B49">
      <w:pPr>
        <w:widowControl w:val="0"/>
        <w:numPr>
          <w:ilvl w:val="1"/>
          <w:numId w:val="1"/>
        </w:numPr>
        <w:spacing w:before="240" w:after="60"/>
        <w:ind w:left="567" w:right="0" w:hanging="567"/>
        <w:jc w:val="both"/>
      </w:pPr>
      <w:bookmarkStart w:id="17" w:name="_Ref47289219"/>
      <w:r w:rsidRPr="006B1B30">
        <w:t xml:space="preserve">Objednatel se zavazuje za řádně </w:t>
      </w:r>
      <w:r w:rsidR="00B439AA" w:rsidRPr="006B1B30">
        <w:t xml:space="preserve">a včas </w:t>
      </w:r>
      <w:r w:rsidRPr="006B1B30">
        <w:t>poskytnuté Služby uhradit Poskytovateli odměnu</w:t>
      </w:r>
      <w:r w:rsidR="00AE0196" w:rsidRPr="006B1B30">
        <w:t xml:space="preserve">, </w:t>
      </w:r>
      <w:r w:rsidR="00DB3C87" w:rsidRPr="006B1B30">
        <w:t>která</w:t>
      </w:r>
      <w:r w:rsidR="00AE0196" w:rsidRPr="006B1B30">
        <w:t xml:space="preserve"> je</w:t>
      </w:r>
      <w:r w:rsidR="000727BA" w:rsidRPr="006B1B30">
        <w:t>, nedohodnou-li se Smluvní strany jinak,</w:t>
      </w:r>
      <w:r w:rsidR="00AE0196" w:rsidRPr="006B1B30">
        <w:t xml:space="preserve"> stanovena následovně:</w:t>
      </w:r>
      <w:bookmarkEnd w:id="17"/>
    </w:p>
    <w:p w14:paraId="1C43620C" w14:textId="042DD896" w:rsidR="001D02BC" w:rsidRPr="006B1B30" w:rsidRDefault="001D02BC" w:rsidP="001D02BC">
      <w:pPr>
        <w:pStyle w:val="Nadpis3-BS"/>
        <w:numPr>
          <w:ilvl w:val="2"/>
          <w:numId w:val="1"/>
        </w:numPr>
        <w:ind w:left="1276" w:hanging="709"/>
      </w:pPr>
      <w:bookmarkStart w:id="18" w:name="_Ref47289393"/>
      <w:bookmarkStart w:id="19" w:name="_Ref47290687"/>
      <w:r w:rsidRPr="006B1B30">
        <w:rPr>
          <w:rFonts w:cs="Arial"/>
          <w:bCs/>
          <w:kern w:val="28"/>
        </w:rPr>
        <w:t>odměna za poskytování Služeb v souvislosti s</w:t>
      </w:r>
      <w:r w:rsidR="00EF3E28" w:rsidRPr="006B1B30">
        <w:rPr>
          <w:rFonts w:cs="Arial"/>
          <w:bCs/>
          <w:kern w:val="28"/>
        </w:rPr>
        <w:t> </w:t>
      </w:r>
      <w:r w:rsidRPr="006B1B30">
        <w:t>každým</w:t>
      </w:r>
      <w:r w:rsidR="00EF3E28" w:rsidRPr="006B1B30">
        <w:t xml:space="preserve"> soutěžním</w:t>
      </w:r>
      <w:r w:rsidRPr="006B1B30">
        <w:t xml:space="preserve"> </w:t>
      </w:r>
      <w:r w:rsidR="000931C8" w:rsidRPr="006B1B30">
        <w:rPr>
          <w:rFonts w:cs="Arial"/>
          <w:bCs/>
          <w:kern w:val="28"/>
        </w:rPr>
        <w:t>utkáním</w:t>
      </w:r>
      <w:r w:rsidR="000931C8" w:rsidRPr="006B1B30" w:rsidDel="000931C8">
        <w:t xml:space="preserve"> </w:t>
      </w:r>
      <w:r w:rsidR="0014026D" w:rsidRPr="006B1B30">
        <w:t xml:space="preserve">hokejového </w:t>
      </w:r>
      <w:r w:rsidRPr="006B1B30">
        <w:t>mužstva</w:t>
      </w:r>
      <w:r w:rsidR="0043281B" w:rsidRPr="006B1B30">
        <w:t xml:space="preserve"> A-týmu</w:t>
      </w:r>
      <w:r w:rsidR="00DB3C87" w:rsidRPr="006B1B30">
        <w:t xml:space="preserve"> Objednatele</w:t>
      </w:r>
      <w:r w:rsidRPr="006B1B30">
        <w:t xml:space="preserve"> v</w:t>
      </w:r>
      <w:r w:rsidR="0044409A">
        <w:t> Multifunkční a</w:t>
      </w:r>
      <w:r w:rsidRPr="006B1B30">
        <w:t xml:space="preserve">réně </w:t>
      </w:r>
      <w:r w:rsidR="0014026D" w:rsidRPr="006B1B30">
        <w:t xml:space="preserve">konaného v rámci ELH a/nebo jiného pohárového utkání </w:t>
      </w:r>
      <w:r w:rsidR="00524B98" w:rsidRPr="006B1B30">
        <w:t>(např.</w:t>
      </w:r>
      <w:r w:rsidR="005924BA" w:rsidRPr="006B1B30">
        <w:t xml:space="preserve"> CHL) a/nebo soutěžního </w:t>
      </w:r>
      <w:r w:rsidR="000931C8" w:rsidRPr="006B1B30">
        <w:rPr>
          <w:rFonts w:cs="Arial"/>
          <w:bCs/>
          <w:kern w:val="28"/>
        </w:rPr>
        <w:t>utkání</w:t>
      </w:r>
      <w:r w:rsidR="000931C8" w:rsidRPr="006B1B30" w:rsidDel="000931C8">
        <w:t xml:space="preserve"> </w:t>
      </w:r>
      <w:r w:rsidR="00CA785A" w:rsidRPr="006B1B30">
        <w:t>tým</w:t>
      </w:r>
      <w:r w:rsidR="00F91F23">
        <w:t>ů</w:t>
      </w:r>
      <w:r w:rsidR="00CA785A" w:rsidRPr="006B1B30">
        <w:t xml:space="preserve"> </w:t>
      </w:r>
      <w:r w:rsidR="005924BA" w:rsidRPr="006B1B30">
        <w:t>česk</w:t>
      </w:r>
      <w:r w:rsidR="00CA785A" w:rsidRPr="006B1B30">
        <w:t xml:space="preserve">é hokejové </w:t>
      </w:r>
      <w:r w:rsidR="005924BA" w:rsidRPr="006B1B30">
        <w:t>reprezenta</w:t>
      </w:r>
      <w:r w:rsidR="00CA785A" w:rsidRPr="006B1B30">
        <w:t>ce</w:t>
      </w:r>
      <w:r w:rsidR="005924BA" w:rsidRPr="006B1B30">
        <w:t xml:space="preserve"> (např.</w:t>
      </w:r>
      <w:r w:rsidR="005824C1" w:rsidRPr="006B1B30">
        <w:t> </w:t>
      </w:r>
      <w:r w:rsidR="005924BA" w:rsidRPr="006B1B30">
        <w:t xml:space="preserve">v rámci podniku Euro </w:t>
      </w:r>
      <w:proofErr w:type="spellStart"/>
      <w:r w:rsidR="005924BA" w:rsidRPr="006B1B30">
        <w:t>Hockey</w:t>
      </w:r>
      <w:proofErr w:type="spellEnd"/>
      <w:r w:rsidR="005924BA" w:rsidRPr="006B1B30">
        <w:t xml:space="preserve"> Tour) </w:t>
      </w:r>
      <w:r w:rsidRPr="006B1B30">
        <w:t>v</w:t>
      </w:r>
      <w:r w:rsidR="004E0B07" w:rsidRPr="006B1B30">
        <w:t> maximální souhrnné</w:t>
      </w:r>
      <w:r w:rsidR="00E71D09" w:rsidRPr="006B1B30">
        <w:t> </w:t>
      </w:r>
      <w:r w:rsidRPr="006B1B30">
        <w:t>výši</w:t>
      </w:r>
      <w:r w:rsidR="00213F21" w:rsidRPr="006B1B30">
        <w:t xml:space="preserve"> až</w:t>
      </w:r>
      <w:r w:rsidRPr="006B1B30">
        <w:t xml:space="preserve"> </w:t>
      </w:r>
      <w:r w:rsidRPr="006B1B30">
        <w:rPr>
          <w:b/>
          <w:bCs/>
        </w:rPr>
        <w:t xml:space="preserve">70.117,- Kč </w:t>
      </w:r>
      <w:r w:rsidR="005C4FFB" w:rsidRPr="006B1B30">
        <w:rPr>
          <w:b/>
          <w:bCs/>
        </w:rPr>
        <w:t>+</w:t>
      </w:r>
      <w:r w:rsidR="005C4FFB" w:rsidRPr="006B1B30">
        <w:t> </w:t>
      </w:r>
      <w:r w:rsidR="00D55E33" w:rsidRPr="006B1B30">
        <w:rPr>
          <w:b/>
        </w:rPr>
        <w:t>DPH ve výši dle platných právních předpisů</w:t>
      </w:r>
      <w:r w:rsidR="00CD4C34" w:rsidRPr="006B1B30">
        <w:rPr>
          <w:bCs/>
        </w:rPr>
        <w:t xml:space="preserve"> za </w:t>
      </w:r>
      <w:r w:rsidR="000931C8" w:rsidRPr="006B1B30">
        <w:rPr>
          <w:bCs/>
        </w:rPr>
        <w:t xml:space="preserve">každé </w:t>
      </w:r>
      <w:r w:rsidR="00CD4C34" w:rsidRPr="006B1B30">
        <w:rPr>
          <w:bCs/>
        </w:rPr>
        <w:t>je</w:t>
      </w:r>
      <w:r w:rsidR="000931C8" w:rsidRPr="006B1B30">
        <w:rPr>
          <w:bCs/>
        </w:rPr>
        <w:t>d</w:t>
      </w:r>
      <w:r w:rsidR="00CD4C34" w:rsidRPr="006B1B30">
        <w:rPr>
          <w:bCs/>
        </w:rPr>
        <w:t>n</w:t>
      </w:r>
      <w:r w:rsidR="000931C8" w:rsidRPr="006B1B30">
        <w:rPr>
          <w:bCs/>
        </w:rPr>
        <w:t>o</w:t>
      </w:r>
      <w:r w:rsidR="00CD4C34" w:rsidRPr="006B1B30">
        <w:rPr>
          <w:bCs/>
        </w:rPr>
        <w:t xml:space="preserve"> </w:t>
      </w:r>
      <w:r w:rsidR="000931C8" w:rsidRPr="006B1B30">
        <w:rPr>
          <w:bCs/>
        </w:rPr>
        <w:t xml:space="preserve">takové </w:t>
      </w:r>
      <w:r w:rsidR="000931C8" w:rsidRPr="006B1B30">
        <w:rPr>
          <w:rFonts w:cs="Arial"/>
          <w:bCs/>
          <w:kern w:val="28"/>
        </w:rPr>
        <w:t>utkání</w:t>
      </w:r>
      <w:r w:rsidR="00FC14C4" w:rsidRPr="006B1B30">
        <w:rPr>
          <w:rFonts w:cs="Arial"/>
          <w:bCs/>
          <w:kern w:val="28"/>
        </w:rPr>
        <w:t>,</w:t>
      </w:r>
      <w:r w:rsidR="00C31532" w:rsidRPr="006B1B30">
        <w:rPr>
          <w:rFonts w:cs="Arial"/>
          <w:bCs/>
          <w:kern w:val="28"/>
        </w:rPr>
        <w:t xml:space="preserve"> </w:t>
      </w:r>
      <w:bookmarkEnd w:id="18"/>
      <w:r w:rsidR="00661312">
        <w:rPr>
          <w:rFonts w:cs="Arial"/>
          <w:bCs/>
          <w:kern w:val="28"/>
        </w:rPr>
        <w:t>která v sobě zahrnuje zejména</w:t>
      </w:r>
      <w:r w:rsidR="00794C51" w:rsidRPr="006B1B30">
        <w:rPr>
          <w:rFonts w:cs="Arial"/>
          <w:bCs/>
          <w:kern w:val="28"/>
        </w:rPr>
        <w:t>:</w:t>
      </w:r>
      <w:bookmarkEnd w:id="19"/>
    </w:p>
    <w:p w14:paraId="601538B4" w14:textId="7CB5E24E" w:rsidR="00794C51" w:rsidRPr="006B1B30" w:rsidRDefault="00E823B4" w:rsidP="00FA3A98">
      <w:pPr>
        <w:pStyle w:val="411X"/>
        <w:rPr>
          <w:color w:val="auto"/>
        </w:rPr>
      </w:pPr>
      <w:bookmarkStart w:id="20" w:name="_Hlk55928100"/>
      <w:r w:rsidRPr="006B1B30">
        <w:rPr>
          <w:color w:val="auto"/>
        </w:rPr>
        <w:t>úplat</w:t>
      </w:r>
      <w:r w:rsidR="00661312">
        <w:rPr>
          <w:color w:val="auto"/>
        </w:rPr>
        <w:t>u</w:t>
      </w:r>
      <w:r w:rsidRPr="006B1B30">
        <w:rPr>
          <w:color w:val="auto"/>
        </w:rPr>
        <w:t xml:space="preserve"> za </w:t>
      </w:r>
      <w:r w:rsidR="00AA5F3F" w:rsidRPr="006B1B30">
        <w:rPr>
          <w:color w:val="auto"/>
        </w:rPr>
        <w:t>zajištění přítomnosti pořadatelské služby uvnitř Multifunkční arény;</w:t>
      </w:r>
    </w:p>
    <w:p w14:paraId="292D4322" w14:textId="3A6156EA" w:rsidR="00E823B4" w:rsidRPr="006B1B30" w:rsidRDefault="00661312"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za zajištění prodeje vstupenek do Multifunkční arény v pokladních hodinách;</w:t>
      </w:r>
    </w:p>
    <w:p w14:paraId="48753EDA" w14:textId="71433180" w:rsidR="00694C10" w:rsidRPr="006B1B30" w:rsidRDefault="00944252" w:rsidP="00694C10">
      <w:pPr>
        <w:pStyle w:val="411X"/>
        <w:rPr>
          <w:color w:val="auto"/>
        </w:rPr>
      </w:pPr>
      <w:r w:rsidRPr="006B1B30">
        <w:rPr>
          <w:rFonts w:eastAsia="Times New Roman" w:cs="Arial"/>
          <w:bCs/>
          <w:color w:val="auto"/>
          <w:kern w:val="28"/>
          <w:lang w:eastAsia="cs-CZ"/>
        </w:rPr>
        <w:t>úplat</w:t>
      </w:r>
      <w:r>
        <w:rPr>
          <w:rFonts w:eastAsia="Times New Roman" w:cs="Arial"/>
          <w:bCs/>
          <w:color w:val="auto"/>
          <w:kern w:val="28"/>
          <w:lang w:eastAsia="cs-CZ"/>
        </w:rPr>
        <w:t>u</w:t>
      </w:r>
      <w:r w:rsidRPr="006B1B30">
        <w:rPr>
          <w:rFonts w:eastAsia="Times New Roman" w:cs="Arial"/>
          <w:bCs/>
          <w:color w:val="auto"/>
          <w:kern w:val="28"/>
          <w:lang w:eastAsia="cs-CZ"/>
        </w:rPr>
        <w:t xml:space="preserve"> </w:t>
      </w:r>
      <w:r w:rsidR="00694C10" w:rsidRPr="006B1B30">
        <w:rPr>
          <w:rFonts w:eastAsia="Times New Roman" w:cs="Arial"/>
          <w:bCs/>
          <w:color w:val="auto"/>
          <w:kern w:val="28"/>
          <w:lang w:eastAsia="cs-CZ"/>
        </w:rPr>
        <w:t xml:space="preserve">za </w:t>
      </w:r>
      <w:r w:rsidR="00BC7306" w:rsidRPr="006B1B30">
        <w:rPr>
          <w:rFonts w:eastAsia="Times New Roman" w:cs="Arial"/>
          <w:bCs/>
          <w:color w:val="auto"/>
          <w:kern w:val="28"/>
          <w:lang w:eastAsia="cs-CZ"/>
        </w:rPr>
        <w:t xml:space="preserve">umožnění užívání </w:t>
      </w:r>
      <w:r w:rsidR="00694C10" w:rsidRPr="006B1B30">
        <w:rPr>
          <w:rFonts w:cs="Arial"/>
          <w:bCs/>
          <w:color w:val="auto"/>
          <w:kern w:val="28"/>
        </w:rPr>
        <w:t xml:space="preserve">společných prostor uvnitř Multifunkční arény </w:t>
      </w:r>
      <w:r w:rsidR="00665CAD" w:rsidRPr="006B1B30">
        <w:rPr>
          <w:rFonts w:cs="Arial"/>
          <w:bCs/>
          <w:color w:val="auto"/>
          <w:kern w:val="28"/>
        </w:rPr>
        <w:t>(prostor, které si Objednatel nepronajímá na základě jiných smluv uzavřených s</w:t>
      </w:r>
      <w:r w:rsidR="00CA463F" w:rsidRPr="006B1B30">
        <w:rPr>
          <w:rFonts w:cs="Arial"/>
          <w:bCs/>
          <w:color w:val="auto"/>
          <w:kern w:val="28"/>
        </w:rPr>
        <w:t> </w:t>
      </w:r>
      <w:r w:rsidR="00665CAD" w:rsidRPr="006B1B30">
        <w:rPr>
          <w:rFonts w:cs="Arial"/>
          <w:bCs/>
          <w:color w:val="auto"/>
          <w:kern w:val="28"/>
        </w:rPr>
        <w:t xml:space="preserve">Poskytovatelem), např. ledových ploch, hlediště, chodeb, šaten, </w:t>
      </w:r>
      <w:proofErr w:type="spellStart"/>
      <w:r w:rsidR="00665CAD" w:rsidRPr="006B1B30">
        <w:rPr>
          <w:rFonts w:cs="Arial"/>
          <w:bCs/>
          <w:color w:val="auto"/>
          <w:kern w:val="28"/>
        </w:rPr>
        <w:t>rozcvičoven</w:t>
      </w:r>
      <w:proofErr w:type="spellEnd"/>
      <w:r w:rsidR="00665CAD" w:rsidRPr="006B1B30">
        <w:rPr>
          <w:rFonts w:cs="Arial"/>
          <w:bCs/>
          <w:color w:val="auto"/>
          <w:kern w:val="28"/>
        </w:rPr>
        <w:t xml:space="preserve">, posiloven, místností pro pořádání tiskových konferencí a jiných místností určených pro styk s veřejností </w:t>
      </w:r>
      <w:r w:rsidR="00703215" w:rsidRPr="006B1B30">
        <w:rPr>
          <w:rFonts w:cs="Arial"/>
          <w:bCs/>
          <w:color w:val="auto"/>
          <w:kern w:val="28"/>
        </w:rPr>
        <w:t>a</w:t>
      </w:r>
      <w:r w:rsidR="00703215">
        <w:rPr>
          <w:rFonts w:cs="Arial"/>
          <w:bCs/>
          <w:color w:val="auto"/>
          <w:kern w:val="28"/>
        </w:rPr>
        <w:t> </w:t>
      </w:r>
      <w:r w:rsidR="00665CAD" w:rsidRPr="006B1B30">
        <w:rPr>
          <w:rFonts w:cs="Arial"/>
          <w:bCs/>
          <w:color w:val="auto"/>
          <w:kern w:val="28"/>
        </w:rPr>
        <w:t>žurnalisty, sociálního zařízení atp.</w:t>
      </w:r>
      <w:r w:rsidR="008E0098" w:rsidRPr="006B1B30">
        <w:rPr>
          <w:color w:val="auto"/>
        </w:rPr>
        <w:t>;</w:t>
      </w:r>
    </w:p>
    <w:p w14:paraId="54F90052" w14:textId="39CEF389" w:rsidR="00914874" w:rsidRPr="006B1B30" w:rsidRDefault="00703215"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zajištění úklidu </w:t>
      </w:r>
      <w:r w:rsidR="00FE1C74" w:rsidRPr="006B1B30">
        <w:rPr>
          <w:rFonts w:cs="Arial"/>
          <w:bCs/>
          <w:color w:val="auto"/>
          <w:kern w:val="28"/>
        </w:rPr>
        <w:t xml:space="preserve">užívaných </w:t>
      </w:r>
      <w:r w:rsidR="00914874" w:rsidRPr="006B1B30">
        <w:rPr>
          <w:color w:val="auto"/>
        </w:rPr>
        <w:t>prostor uvnitř Multifunkční arény</w:t>
      </w:r>
      <w:r w:rsidR="00665CAD" w:rsidRPr="006B1B30">
        <w:rPr>
          <w:color w:val="auto"/>
        </w:rPr>
        <w:t xml:space="preserve"> (prostor, které si Objednatel nepronajímá na základě jiných smluv uzavřených </w:t>
      </w:r>
      <w:r w:rsidRPr="006B1B30">
        <w:rPr>
          <w:color w:val="auto"/>
        </w:rPr>
        <w:t>s</w:t>
      </w:r>
      <w:r>
        <w:rPr>
          <w:color w:val="auto"/>
        </w:rPr>
        <w:t> </w:t>
      </w:r>
      <w:r w:rsidR="00665CAD" w:rsidRPr="006B1B30">
        <w:rPr>
          <w:color w:val="auto"/>
        </w:rPr>
        <w:t xml:space="preserve">Poskytovatelem), např. ledových ploch, hlediště, chodeb, šaten, </w:t>
      </w:r>
      <w:proofErr w:type="spellStart"/>
      <w:r w:rsidR="00665CAD" w:rsidRPr="006B1B30">
        <w:rPr>
          <w:color w:val="auto"/>
        </w:rPr>
        <w:t>rozcvičoven</w:t>
      </w:r>
      <w:proofErr w:type="spellEnd"/>
      <w:r w:rsidR="00665CAD" w:rsidRPr="006B1B30">
        <w:rPr>
          <w:color w:val="auto"/>
        </w:rPr>
        <w:t xml:space="preserve">, posiloven, místností pro pořádání tiskových konferencí a jiných místností určených pro styk s veřejností </w:t>
      </w:r>
      <w:r w:rsidR="00557F57" w:rsidRPr="006B1B30">
        <w:rPr>
          <w:color w:val="auto"/>
        </w:rPr>
        <w:t>a</w:t>
      </w:r>
      <w:r w:rsidR="00557F57">
        <w:rPr>
          <w:color w:val="auto"/>
        </w:rPr>
        <w:t> </w:t>
      </w:r>
      <w:r w:rsidR="00665CAD" w:rsidRPr="006B1B30">
        <w:rPr>
          <w:color w:val="auto"/>
        </w:rPr>
        <w:t>žurnalisty, sociálního zařízení atp.</w:t>
      </w:r>
      <w:r w:rsidR="00914874" w:rsidRPr="006B1B30">
        <w:rPr>
          <w:color w:val="auto"/>
        </w:rPr>
        <w:t>;</w:t>
      </w:r>
    </w:p>
    <w:p w14:paraId="6F8E1C6F" w14:textId="4377F9D7" w:rsidR="00914874" w:rsidRPr="006B1B30" w:rsidRDefault="008F15EA"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zajištění </w:t>
      </w:r>
      <w:r w:rsidR="00B6121D" w:rsidRPr="006B1B30">
        <w:rPr>
          <w:color w:val="auto"/>
        </w:rPr>
        <w:t xml:space="preserve">řádného </w:t>
      </w:r>
      <w:r w:rsidR="00FB4FAA" w:rsidRPr="006B1B30">
        <w:rPr>
          <w:color w:val="auto"/>
        </w:rPr>
        <w:t>osvětlení uvnitř Multifunkční arény</w:t>
      </w:r>
      <w:r w:rsidR="00914874" w:rsidRPr="006B1B30">
        <w:rPr>
          <w:color w:val="auto"/>
        </w:rPr>
        <w:t>;</w:t>
      </w:r>
    </w:p>
    <w:p w14:paraId="39E5B593" w14:textId="707FA36F" w:rsidR="00914874" w:rsidRPr="006B1B30" w:rsidRDefault="008F15EA" w:rsidP="00FA3A98">
      <w:pPr>
        <w:pStyle w:val="411X"/>
        <w:rPr>
          <w:color w:val="auto"/>
        </w:rPr>
      </w:pPr>
      <w:r w:rsidRPr="006B1B30">
        <w:rPr>
          <w:color w:val="auto"/>
        </w:rPr>
        <w:lastRenderedPageBreak/>
        <w:t>úplat</w:t>
      </w:r>
      <w:r>
        <w:rPr>
          <w:color w:val="auto"/>
        </w:rPr>
        <w:t>u</w:t>
      </w:r>
      <w:r w:rsidRPr="006B1B30">
        <w:rPr>
          <w:color w:val="auto"/>
        </w:rPr>
        <w:t xml:space="preserve"> </w:t>
      </w:r>
      <w:r w:rsidR="00914874" w:rsidRPr="006B1B30">
        <w:rPr>
          <w:color w:val="auto"/>
        </w:rPr>
        <w:t xml:space="preserve">za zajištění </w:t>
      </w:r>
      <w:r w:rsidR="0001552C" w:rsidRPr="006B1B30">
        <w:rPr>
          <w:color w:val="auto"/>
        </w:rPr>
        <w:t xml:space="preserve">oboustranného </w:t>
      </w:r>
      <w:r w:rsidR="004933EC" w:rsidRPr="006B1B30">
        <w:rPr>
          <w:color w:val="auto"/>
        </w:rPr>
        <w:t>mytí plexiskel v Multifunkční aréně</w:t>
      </w:r>
      <w:r w:rsidR="00914874" w:rsidRPr="006B1B30">
        <w:rPr>
          <w:color w:val="auto"/>
        </w:rPr>
        <w:t>;</w:t>
      </w:r>
    </w:p>
    <w:p w14:paraId="3C73ADEE" w14:textId="175B612D" w:rsidR="00914874" w:rsidRPr="006B1B30" w:rsidRDefault="008F15EA"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w:t>
      </w:r>
      <w:r w:rsidR="00C61726" w:rsidRPr="006B1B30">
        <w:rPr>
          <w:color w:val="auto"/>
        </w:rPr>
        <w:t xml:space="preserve">poskytnutí veškerých technologií nezbytných pro zajištění řádného </w:t>
      </w:r>
      <w:r w:rsidR="004933EC" w:rsidRPr="006B1B30">
        <w:rPr>
          <w:color w:val="auto"/>
        </w:rPr>
        <w:t>scénického a efektového osvětlení uvnitř Multifunkční arény</w:t>
      </w:r>
      <w:r w:rsidR="00914874" w:rsidRPr="006B1B30">
        <w:rPr>
          <w:color w:val="auto"/>
        </w:rPr>
        <w:t>;</w:t>
      </w:r>
    </w:p>
    <w:p w14:paraId="3CE46205" w14:textId="70E61D7E" w:rsidR="00914874" w:rsidRPr="006B1B30" w:rsidRDefault="003E274C"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zajištění </w:t>
      </w:r>
      <w:r w:rsidR="00506C8E" w:rsidRPr="006B1B30">
        <w:rPr>
          <w:color w:val="auto"/>
        </w:rPr>
        <w:t>provozu turniketového a odbavovacího systému uvnitř Multifunkční arény</w:t>
      </w:r>
      <w:r w:rsidR="00914874" w:rsidRPr="006B1B30">
        <w:rPr>
          <w:color w:val="auto"/>
        </w:rPr>
        <w:t>;</w:t>
      </w:r>
    </w:p>
    <w:p w14:paraId="20913C80" w14:textId="4BFACBD1" w:rsidR="00914874" w:rsidRPr="006B1B30" w:rsidRDefault="003E274C"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zajištění </w:t>
      </w:r>
      <w:r w:rsidR="00C4637D" w:rsidRPr="006B1B30">
        <w:rPr>
          <w:color w:val="auto"/>
        </w:rPr>
        <w:t>provozu interního TV okruhu v Multifunkční aréně</w:t>
      </w:r>
      <w:r w:rsidR="003A6484">
        <w:rPr>
          <w:color w:val="auto"/>
        </w:rPr>
        <w:t xml:space="preserve"> (</w:t>
      </w:r>
      <w:r w:rsidR="008C1159" w:rsidRPr="006B1B30">
        <w:rPr>
          <w:color w:val="auto"/>
        </w:rPr>
        <w:t>a</w:t>
      </w:r>
      <w:r w:rsidR="00D83F30">
        <w:rPr>
          <w:color w:val="auto"/>
        </w:rPr>
        <w:t> </w:t>
      </w:r>
      <w:r w:rsidR="008C1159" w:rsidRPr="006B1B30">
        <w:rPr>
          <w:color w:val="auto"/>
        </w:rPr>
        <w:t>to</w:t>
      </w:r>
      <w:r w:rsidR="00D83F30">
        <w:rPr>
          <w:color w:val="auto"/>
        </w:rPr>
        <w:t> </w:t>
      </w:r>
      <w:r w:rsidR="008C1159" w:rsidRPr="006B1B30">
        <w:rPr>
          <w:color w:val="auto"/>
        </w:rPr>
        <w:t>včetně</w:t>
      </w:r>
      <w:r w:rsidR="003A6484">
        <w:rPr>
          <w:color w:val="auto"/>
        </w:rPr>
        <w:t xml:space="preserve"> TV okruhu </w:t>
      </w:r>
      <w:r w:rsidR="00274DCC">
        <w:rPr>
          <w:color w:val="auto"/>
        </w:rPr>
        <w:t xml:space="preserve">(STA) </w:t>
      </w:r>
      <w:r w:rsidR="003A6484">
        <w:rPr>
          <w:color w:val="auto"/>
        </w:rPr>
        <w:t>ve</w:t>
      </w:r>
      <w:r w:rsidR="008C1159" w:rsidRPr="006B1B30">
        <w:rPr>
          <w:color w:val="auto"/>
        </w:rPr>
        <w:t xml:space="preserve"> veškerých </w:t>
      </w:r>
      <w:proofErr w:type="spellStart"/>
      <w:r w:rsidR="003A6484" w:rsidRPr="006B1B30">
        <w:rPr>
          <w:color w:val="auto"/>
        </w:rPr>
        <w:t>skybox</w:t>
      </w:r>
      <w:r w:rsidR="003A6484">
        <w:rPr>
          <w:color w:val="auto"/>
        </w:rPr>
        <w:t>ech</w:t>
      </w:r>
      <w:proofErr w:type="spellEnd"/>
      <w:r w:rsidR="003A6484">
        <w:rPr>
          <w:color w:val="auto"/>
        </w:rPr>
        <w:t>)</w:t>
      </w:r>
      <w:r w:rsidR="00914874" w:rsidRPr="006B1B30">
        <w:rPr>
          <w:color w:val="auto"/>
        </w:rPr>
        <w:t>;</w:t>
      </w:r>
    </w:p>
    <w:p w14:paraId="7ECAB670" w14:textId="44711927" w:rsidR="00914874" w:rsidRPr="006B1B30" w:rsidRDefault="003E274C"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zajištění </w:t>
      </w:r>
      <w:r w:rsidR="00C4637D" w:rsidRPr="006B1B30">
        <w:rPr>
          <w:color w:val="auto"/>
        </w:rPr>
        <w:t>ozvučení Multifunkční arény</w:t>
      </w:r>
      <w:r w:rsidR="00914874" w:rsidRPr="006B1B30">
        <w:rPr>
          <w:color w:val="auto"/>
        </w:rPr>
        <w:t>;</w:t>
      </w:r>
    </w:p>
    <w:p w14:paraId="41C5F2E1" w14:textId="4E0F3A5A" w:rsidR="00914874" w:rsidRPr="006B1B30" w:rsidRDefault="003E274C"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zajištění </w:t>
      </w:r>
      <w:r w:rsidR="00C4637D" w:rsidRPr="006B1B30">
        <w:rPr>
          <w:color w:val="auto"/>
        </w:rPr>
        <w:t>provozu a využití multifunkční kostky v Multifunkční aréně</w:t>
      </w:r>
      <w:r w:rsidR="00914874" w:rsidRPr="006B1B30">
        <w:rPr>
          <w:color w:val="auto"/>
        </w:rPr>
        <w:t>;</w:t>
      </w:r>
    </w:p>
    <w:p w14:paraId="620375E2" w14:textId="0A74737B" w:rsidR="00914874" w:rsidRPr="006B1B30" w:rsidRDefault="003E274C" w:rsidP="00FA3A98">
      <w:pPr>
        <w:pStyle w:val="411X"/>
        <w:rPr>
          <w:color w:val="auto"/>
        </w:rPr>
      </w:pPr>
      <w:r w:rsidRPr="006B1B30">
        <w:rPr>
          <w:color w:val="auto"/>
        </w:rPr>
        <w:t>úplat</w:t>
      </w:r>
      <w:r>
        <w:rPr>
          <w:color w:val="auto"/>
        </w:rPr>
        <w:t>u</w:t>
      </w:r>
      <w:r w:rsidRPr="006B1B30">
        <w:rPr>
          <w:color w:val="auto"/>
        </w:rPr>
        <w:t xml:space="preserve"> </w:t>
      </w:r>
      <w:r w:rsidR="00914874" w:rsidRPr="006B1B30">
        <w:rPr>
          <w:color w:val="auto"/>
        </w:rPr>
        <w:t xml:space="preserve">za zajištění </w:t>
      </w:r>
      <w:r w:rsidR="00C4637D" w:rsidRPr="006B1B30">
        <w:rPr>
          <w:color w:val="auto"/>
        </w:rPr>
        <w:t>hygienických prostředků uvnitř Multifunkční arény</w:t>
      </w:r>
      <w:r w:rsidR="00914874" w:rsidRPr="006B1B30">
        <w:rPr>
          <w:color w:val="auto"/>
        </w:rPr>
        <w:t>;</w:t>
      </w:r>
    </w:p>
    <w:p w14:paraId="39CE3844" w14:textId="3B946413" w:rsidR="000D028F" w:rsidRPr="006B1B30" w:rsidRDefault="003E274C" w:rsidP="000D028F">
      <w:pPr>
        <w:pStyle w:val="411X"/>
        <w:rPr>
          <w:color w:val="auto"/>
        </w:rPr>
      </w:pPr>
      <w:r w:rsidRPr="006B1B30">
        <w:rPr>
          <w:color w:val="auto"/>
        </w:rPr>
        <w:t>úplat</w:t>
      </w:r>
      <w:r>
        <w:rPr>
          <w:color w:val="auto"/>
        </w:rPr>
        <w:t>u</w:t>
      </w:r>
      <w:r w:rsidRPr="006B1B30">
        <w:rPr>
          <w:color w:val="auto"/>
        </w:rPr>
        <w:t xml:space="preserve"> </w:t>
      </w:r>
      <w:r w:rsidR="000D028F" w:rsidRPr="006B1B30">
        <w:rPr>
          <w:color w:val="auto"/>
        </w:rPr>
        <w:t xml:space="preserve">za zajištění provozu ochranného a projekčního systému tzv. </w:t>
      </w:r>
      <w:proofErr w:type="spellStart"/>
      <w:r w:rsidR="000D028F" w:rsidRPr="006B1B30">
        <w:rPr>
          <w:i/>
          <w:iCs/>
          <w:color w:val="auto"/>
        </w:rPr>
        <w:t>Space</w:t>
      </w:r>
      <w:proofErr w:type="spellEnd"/>
      <w:r w:rsidR="000D028F" w:rsidRPr="006B1B30">
        <w:rPr>
          <w:i/>
          <w:iCs/>
          <w:color w:val="auto"/>
        </w:rPr>
        <w:t xml:space="preserve"> </w:t>
      </w:r>
      <w:proofErr w:type="spellStart"/>
      <w:r w:rsidR="000D028F" w:rsidRPr="006B1B30">
        <w:rPr>
          <w:i/>
          <w:iCs/>
          <w:color w:val="auto"/>
        </w:rPr>
        <w:t>Screen</w:t>
      </w:r>
      <w:proofErr w:type="spellEnd"/>
      <w:r w:rsidR="000D028F" w:rsidRPr="006B1B30">
        <w:rPr>
          <w:i/>
          <w:iCs/>
          <w:color w:val="auto"/>
        </w:rPr>
        <w:t xml:space="preserve"> </w:t>
      </w:r>
      <w:r w:rsidR="000D028F" w:rsidRPr="006B1B30">
        <w:rPr>
          <w:color w:val="auto"/>
        </w:rPr>
        <w:t>bez obsluhy;</w:t>
      </w:r>
      <w:r w:rsidR="00654F78" w:rsidRPr="006B1B30">
        <w:rPr>
          <w:color w:val="auto"/>
        </w:rPr>
        <w:t xml:space="preserve"> a</w:t>
      </w:r>
    </w:p>
    <w:p w14:paraId="37516863" w14:textId="56A60E85" w:rsidR="000D028F" w:rsidRPr="006B1B30" w:rsidRDefault="003E274C" w:rsidP="000D028F">
      <w:pPr>
        <w:pStyle w:val="411X"/>
        <w:rPr>
          <w:color w:val="auto"/>
        </w:rPr>
      </w:pPr>
      <w:r w:rsidRPr="006B1B30">
        <w:rPr>
          <w:color w:val="auto"/>
        </w:rPr>
        <w:t>úplat</w:t>
      </w:r>
      <w:r>
        <w:rPr>
          <w:color w:val="auto"/>
        </w:rPr>
        <w:t>u</w:t>
      </w:r>
      <w:r w:rsidRPr="006B1B30">
        <w:rPr>
          <w:color w:val="auto"/>
        </w:rPr>
        <w:t xml:space="preserve"> </w:t>
      </w:r>
      <w:r w:rsidR="000D028F" w:rsidRPr="006B1B30">
        <w:rPr>
          <w:color w:val="auto"/>
        </w:rPr>
        <w:t xml:space="preserve">za </w:t>
      </w:r>
      <w:r w:rsidR="00914186" w:rsidRPr="006B1B30">
        <w:rPr>
          <w:color w:val="auto"/>
        </w:rPr>
        <w:t xml:space="preserve">poskytnutí a zajištění bezobslužného </w:t>
      </w:r>
      <w:r w:rsidR="000D028F" w:rsidRPr="006B1B30">
        <w:rPr>
          <w:color w:val="auto"/>
        </w:rPr>
        <w:t>provoz</w:t>
      </w:r>
      <w:r w:rsidR="005135A4" w:rsidRPr="006B1B30">
        <w:rPr>
          <w:color w:val="auto"/>
        </w:rPr>
        <w:t>u</w:t>
      </w:r>
      <w:r w:rsidR="000D028F" w:rsidRPr="006B1B30">
        <w:rPr>
          <w:color w:val="auto"/>
        </w:rPr>
        <w:t xml:space="preserve"> </w:t>
      </w:r>
      <w:r w:rsidR="009B2E62">
        <w:rPr>
          <w:color w:val="auto"/>
        </w:rPr>
        <w:t xml:space="preserve">veškerých </w:t>
      </w:r>
      <w:r w:rsidR="000D028F" w:rsidRPr="006B1B30">
        <w:rPr>
          <w:color w:val="auto"/>
        </w:rPr>
        <w:t xml:space="preserve">LED </w:t>
      </w:r>
      <w:r w:rsidR="00033734" w:rsidRPr="006B1B30">
        <w:rPr>
          <w:color w:val="auto"/>
        </w:rPr>
        <w:t>technologií v Multifunkční aréně</w:t>
      </w:r>
      <w:r w:rsidR="00EA5B67" w:rsidRPr="006B1B30">
        <w:rPr>
          <w:color w:val="auto"/>
        </w:rPr>
        <w:t>;</w:t>
      </w:r>
    </w:p>
    <w:bookmarkEnd w:id="20"/>
    <w:p w14:paraId="491E7615" w14:textId="77777777" w:rsidR="00EA5B67" w:rsidRPr="006B1B30" w:rsidRDefault="00EA5B67" w:rsidP="00B8400C">
      <w:pPr>
        <w:pStyle w:val="411X"/>
        <w:numPr>
          <w:ilvl w:val="0"/>
          <w:numId w:val="0"/>
        </w:numPr>
        <w:ind w:left="1276"/>
        <w:rPr>
          <w:color w:val="auto"/>
        </w:rPr>
      </w:pPr>
      <w:r w:rsidRPr="006B1B30">
        <w:rPr>
          <w:color w:val="auto"/>
        </w:rPr>
        <w:t>(dále jen „</w:t>
      </w:r>
      <w:r w:rsidRPr="006B1B30">
        <w:rPr>
          <w:b/>
          <w:bCs/>
          <w:color w:val="auto"/>
        </w:rPr>
        <w:t>Odměna 1</w:t>
      </w:r>
      <w:r w:rsidRPr="006B1B30">
        <w:rPr>
          <w:color w:val="auto"/>
        </w:rPr>
        <w:t>“)</w:t>
      </w:r>
    </w:p>
    <w:p w14:paraId="30A4CE7C" w14:textId="6EDFD93B" w:rsidR="00D55E33" w:rsidRPr="006B1B30" w:rsidRDefault="00D55E33" w:rsidP="001D02BC">
      <w:pPr>
        <w:pStyle w:val="Nadpis3-BS"/>
        <w:numPr>
          <w:ilvl w:val="2"/>
          <w:numId w:val="1"/>
        </w:numPr>
        <w:ind w:left="1276" w:hanging="709"/>
      </w:pPr>
      <w:bookmarkStart w:id="21" w:name="_Ref47289397"/>
      <w:bookmarkStart w:id="22" w:name="_Ref47290690"/>
      <w:r w:rsidRPr="006B1B30">
        <w:rPr>
          <w:rFonts w:cs="Arial"/>
          <w:bCs/>
          <w:kern w:val="28"/>
        </w:rPr>
        <w:t xml:space="preserve">odměna za poskytování Služeb v souvislosti s </w:t>
      </w:r>
      <w:r w:rsidRPr="006B1B30">
        <w:t xml:space="preserve">každým </w:t>
      </w:r>
      <w:r w:rsidR="00EF3E28" w:rsidRPr="006B1B30">
        <w:t xml:space="preserve">soutěžním </w:t>
      </w:r>
      <w:r w:rsidR="009E0A5C" w:rsidRPr="006B1B30">
        <w:rPr>
          <w:rFonts w:cs="Arial"/>
          <w:bCs/>
          <w:kern w:val="28"/>
        </w:rPr>
        <w:t>utkáním</w:t>
      </w:r>
      <w:r w:rsidR="009E0A5C" w:rsidRPr="006B1B30" w:rsidDel="009E0A5C">
        <w:t xml:space="preserve"> </w:t>
      </w:r>
      <w:r w:rsidRPr="006B1B30">
        <w:t xml:space="preserve">hokejového </w:t>
      </w:r>
      <w:r w:rsidR="00AD7A56" w:rsidRPr="006B1B30">
        <w:t xml:space="preserve">mužstva </w:t>
      </w:r>
      <w:r w:rsidR="00EF3E28" w:rsidRPr="006B1B30">
        <w:t xml:space="preserve">juniorů a/nebo dorostu </w:t>
      </w:r>
      <w:r w:rsidR="001A24D4" w:rsidRPr="006B1B30">
        <w:t xml:space="preserve">Objednatele </w:t>
      </w:r>
      <w:r w:rsidRPr="006B1B30">
        <w:t>v</w:t>
      </w:r>
      <w:r w:rsidR="00EF3E28" w:rsidRPr="006B1B30">
        <w:t> Multifunkční a</w:t>
      </w:r>
      <w:r w:rsidRPr="006B1B30">
        <w:t>réně konaného v</w:t>
      </w:r>
      <w:r w:rsidR="00EF3E28" w:rsidRPr="006B1B30">
        <w:t> </w:t>
      </w:r>
      <w:r w:rsidRPr="006B1B30">
        <w:t>rámci</w:t>
      </w:r>
      <w:r w:rsidR="00EF3E28" w:rsidRPr="006B1B30">
        <w:t xml:space="preserve"> příslušné</w:t>
      </w:r>
      <w:r w:rsidRPr="006B1B30">
        <w:t xml:space="preserve"> </w:t>
      </w:r>
      <w:r w:rsidR="00EF3E28" w:rsidRPr="006B1B30">
        <w:t xml:space="preserve">profesionální hokejové </w:t>
      </w:r>
      <w:r w:rsidRPr="006B1B30">
        <w:t xml:space="preserve">soutěže a/nebo jiného pohárového utkání </w:t>
      </w:r>
      <w:r w:rsidR="004E0B07" w:rsidRPr="006B1B30">
        <w:t>v maximální souhrnné </w:t>
      </w:r>
      <w:r w:rsidRPr="006B1B30">
        <w:t>výši</w:t>
      </w:r>
      <w:r w:rsidR="00213F21" w:rsidRPr="006B1B30">
        <w:t xml:space="preserve"> až</w:t>
      </w:r>
      <w:r w:rsidRPr="006B1B30">
        <w:t xml:space="preserve"> </w:t>
      </w:r>
      <w:r w:rsidR="009E0EC4" w:rsidRPr="006B1B30">
        <w:rPr>
          <w:b/>
          <w:bCs/>
        </w:rPr>
        <w:t>5.233</w:t>
      </w:r>
      <w:r w:rsidRPr="006B1B30">
        <w:rPr>
          <w:b/>
          <w:bCs/>
        </w:rPr>
        <w:t>,- Kč +</w:t>
      </w:r>
      <w:r w:rsidR="00B94ADF" w:rsidRPr="006B1B30">
        <w:t> </w:t>
      </w:r>
      <w:r w:rsidRPr="006B1B30">
        <w:rPr>
          <w:b/>
        </w:rPr>
        <w:t>DPH ve výši dle platných právních předpisů</w:t>
      </w:r>
      <w:r w:rsidR="00A51212">
        <w:rPr>
          <w:b/>
        </w:rPr>
        <w:t xml:space="preserve"> </w:t>
      </w:r>
      <w:r w:rsidR="00A51212" w:rsidRPr="006B1B30">
        <w:rPr>
          <w:bCs/>
        </w:rPr>
        <w:t xml:space="preserve">za každé jedno takové </w:t>
      </w:r>
      <w:r w:rsidR="00A51212" w:rsidRPr="006B1B30">
        <w:rPr>
          <w:rFonts w:cs="Arial"/>
          <w:bCs/>
          <w:kern w:val="28"/>
        </w:rPr>
        <w:t>utkání</w:t>
      </w:r>
      <w:r w:rsidR="00DA21DA" w:rsidRPr="006B1B30">
        <w:rPr>
          <w:rFonts w:cs="Arial"/>
          <w:bCs/>
          <w:kern w:val="28"/>
        </w:rPr>
        <w:t xml:space="preserve">, </w:t>
      </w:r>
      <w:r w:rsidR="00DA21DA">
        <w:rPr>
          <w:rFonts w:cs="Arial"/>
          <w:bCs/>
          <w:kern w:val="28"/>
        </w:rPr>
        <w:t>která v sobě zahrnuje zejména</w:t>
      </w:r>
      <w:bookmarkEnd w:id="21"/>
      <w:r w:rsidR="0009238F" w:rsidRPr="006B1B30">
        <w:rPr>
          <w:rFonts w:cs="Arial"/>
          <w:bCs/>
          <w:kern w:val="28"/>
        </w:rPr>
        <w:t>:</w:t>
      </w:r>
      <w:bookmarkEnd w:id="22"/>
    </w:p>
    <w:p w14:paraId="3D923022" w14:textId="64D61002" w:rsidR="007D2C68" w:rsidRPr="006B1B30" w:rsidRDefault="00DD2524" w:rsidP="00637FA3">
      <w:pPr>
        <w:pStyle w:val="412X"/>
        <w:rPr>
          <w:color w:val="auto"/>
        </w:rPr>
      </w:pPr>
      <w:r w:rsidRPr="006B1B30">
        <w:rPr>
          <w:color w:val="auto"/>
        </w:rPr>
        <w:t>úplat</w:t>
      </w:r>
      <w:r>
        <w:rPr>
          <w:color w:val="auto"/>
        </w:rPr>
        <w:t>u</w:t>
      </w:r>
      <w:r w:rsidRPr="006B1B30">
        <w:rPr>
          <w:color w:val="auto"/>
        </w:rPr>
        <w:t xml:space="preserve"> </w:t>
      </w:r>
      <w:r w:rsidR="007D2C68" w:rsidRPr="006B1B30">
        <w:rPr>
          <w:color w:val="auto"/>
        </w:rPr>
        <w:t>za zajištění přítomnosti pořadatelské služby uvnitř Multifunkční arény v počtu alespoň tř</w:t>
      </w:r>
      <w:r w:rsidR="00CD2586" w:rsidRPr="006B1B30">
        <w:rPr>
          <w:color w:val="auto"/>
        </w:rPr>
        <w:t xml:space="preserve">í </w:t>
      </w:r>
      <w:r w:rsidR="007D2C68" w:rsidRPr="006B1B30">
        <w:rPr>
          <w:color w:val="auto"/>
        </w:rPr>
        <w:t>(3) pořadatelů;</w:t>
      </w:r>
    </w:p>
    <w:p w14:paraId="2C4D4DF6" w14:textId="68117602" w:rsidR="00B6121D" w:rsidRPr="006B1B30" w:rsidRDefault="00DD2524" w:rsidP="00637FA3">
      <w:pPr>
        <w:pStyle w:val="412X"/>
        <w:rPr>
          <w:color w:val="auto"/>
        </w:rPr>
      </w:pPr>
      <w:r w:rsidRPr="006B1B30">
        <w:rPr>
          <w:rFonts w:eastAsia="Times New Roman"/>
          <w:color w:val="auto"/>
          <w:lang w:eastAsia="cs-CZ"/>
        </w:rPr>
        <w:t>úplat</w:t>
      </w:r>
      <w:r>
        <w:rPr>
          <w:rFonts w:eastAsia="Times New Roman"/>
          <w:color w:val="auto"/>
          <w:lang w:eastAsia="cs-CZ"/>
        </w:rPr>
        <w:t>u</w:t>
      </w:r>
      <w:r w:rsidRPr="006B1B30">
        <w:rPr>
          <w:rFonts w:eastAsia="Times New Roman"/>
          <w:color w:val="auto"/>
          <w:lang w:eastAsia="cs-CZ"/>
        </w:rPr>
        <w:t xml:space="preserve"> </w:t>
      </w:r>
      <w:r w:rsidR="00B6121D" w:rsidRPr="006B1B30">
        <w:rPr>
          <w:rFonts w:eastAsia="Times New Roman"/>
          <w:color w:val="auto"/>
          <w:lang w:eastAsia="cs-CZ"/>
        </w:rPr>
        <w:t xml:space="preserve">za </w:t>
      </w:r>
      <w:r w:rsidR="00BC7306" w:rsidRPr="006B1B30">
        <w:rPr>
          <w:rFonts w:eastAsia="Times New Roman" w:cs="Arial"/>
          <w:bCs/>
          <w:color w:val="auto"/>
          <w:kern w:val="28"/>
          <w:lang w:eastAsia="cs-CZ"/>
        </w:rPr>
        <w:t xml:space="preserve">umožnění užívání </w:t>
      </w:r>
      <w:r w:rsidR="00B6121D" w:rsidRPr="006B1B30">
        <w:rPr>
          <w:color w:val="auto"/>
        </w:rPr>
        <w:t xml:space="preserve">společných prostor uvnitř Multifunkční arény (prostor, které si Objednatel nepronajímá na základě jiných smluv uzavřených s Poskytovatelem), např. ledových ploch, hlediště, chodeb, šaten, </w:t>
      </w:r>
      <w:proofErr w:type="spellStart"/>
      <w:r w:rsidR="00B6121D" w:rsidRPr="006B1B30">
        <w:rPr>
          <w:color w:val="auto"/>
        </w:rPr>
        <w:t>rozcvičoven</w:t>
      </w:r>
      <w:proofErr w:type="spellEnd"/>
      <w:r w:rsidR="00B6121D" w:rsidRPr="006B1B30">
        <w:rPr>
          <w:color w:val="auto"/>
        </w:rPr>
        <w:t>, posiloven</w:t>
      </w:r>
      <w:r w:rsidR="003E42C7">
        <w:rPr>
          <w:color w:val="auto"/>
        </w:rPr>
        <w:t xml:space="preserve"> </w:t>
      </w:r>
      <w:r w:rsidR="003E42C7" w:rsidRPr="003E42C7">
        <w:rPr>
          <w:color w:val="auto"/>
        </w:rPr>
        <w:t>(pokud jsou nebo budou k dispozici)</w:t>
      </w:r>
      <w:r w:rsidR="00B6121D" w:rsidRPr="006B1B30">
        <w:rPr>
          <w:color w:val="auto"/>
        </w:rPr>
        <w:t xml:space="preserve">, místností pro pořádání tiskových konferencí a jiných místností určených pro styk s veřejností </w:t>
      </w:r>
      <w:r w:rsidR="004E5D5F" w:rsidRPr="006B1B30">
        <w:rPr>
          <w:color w:val="auto"/>
        </w:rPr>
        <w:t>a</w:t>
      </w:r>
      <w:r w:rsidR="004E5D5F">
        <w:rPr>
          <w:color w:val="auto"/>
        </w:rPr>
        <w:t> </w:t>
      </w:r>
      <w:r w:rsidR="00B6121D" w:rsidRPr="006B1B30">
        <w:rPr>
          <w:color w:val="auto"/>
        </w:rPr>
        <w:t>žurnalisty, sociálního zařízení atp</w:t>
      </w:r>
      <w:r w:rsidR="009905E9">
        <w:rPr>
          <w:color w:val="auto"/>
        </w:rPr>
        <w:t>.</w:t>
      </w:r>
      <w:r w:rsidR="00B6121D" w:rsidRPr="006B1B30">
        <w:rPr>
          <w:color w:val="auto"/>
        </w:rPr>
        <w:t>;</w:t>
      </w:r>
    </w:p>
    <w:p w14:paraId="296023DE" w14:textId="4C5AC21C" w:rsidR="007D2C68" w:rsidRPr="006B1B30" w:rsidRDefault="00830D1E">
      <w:pPr>
        <w:pStyle w:val="412X"/>
        <w:rPr>
          <w:color w:val="auto"/>
        </w:rPr>
      </w:pPr>
      <w:r w:rsidRPr="006B1B30">
        <w:rPr>
          <w:color w:val="auto"/>
        </w:rPr>
        <w:t>úplat</w:t>
      </w:r>
      <w:r w:rsidR="00DD2524">
        <w:rPr>
          <w:color w:val="auto"/>
        </w:rPr>
        <w:t>u</w:t>
      </w:r>
      <w:r w:rsidRPr="006B1B30">
        <w:rPr>
          <w:color w:val="auto"/>
        </w:rPr>
        <w:t xml:space="preserve"> za zajištění úklidu </w:t>
      </w:r>
      <w:r w:rsidR="003551DA" w:rsidRPr="006B1B30">
        <w:rPr>
          <w:rFonts w:cs="Arial"/>
          <w:bCs/>
          <w:color w:val="auto"/>
          <w:kern w:val="28"/>
        </w:rPr>
        <w:t xml:space="preserve">užívaných </w:t>
      </w:r>
      <w:r w:rsidRPr="006B1B30">
        <w:rPr>
          <w:color w:val="auto"/>
        </w:rPr>
        <w:t>prostor uvnitř Multifunkční arény;</w:t>
      </w:r>
    </w:p>
    <w:p w14:paraId="684CD7CF" w14:textId="05F5C200" w:rsidR="007D2C68" w:rsidRPr="006B1B30" w:rsidRDefault="00DD2524">
      <w:pPr>
        <w:pStyle w:val="412X"/>
        <w:rPr>
          <w:color w:val="auto"/>
        </w:rPr>
      </w:pPr>
      <w:r w:rsidRPr="006B1B30">
        <w:rPr>
          <w:color w:val="auto"/>
        </w:rPr>
        <w:t>úplat</w:t>
      </w:r>
      <w:r>
        <w:rPr>
          <w:color w:val="auto"/>
        </w:rPr>
        <w:t>u</w:t>
      </w:r>
      <w:r w:rsidRPr="006B1B30">
        <w:rPr>
          <w:color w:val="auto"/>
        </w:rPr>
        <w:t xml:space="preserve"> </w:t>
      </w:r>
      <w:r w:rsidR="00830D1E" w:rsidRPr="006B1B30">
        <w:rPr>
          <w:color w:val="auto"/>
        </w:rPr>
        <w:t xml:space="preserve">za zajištění </w:t>
      </w:r>
      <w:r w:rsidR="006E36A3" w:rsidRPr="006B1B30">
        <w:rPr>
          <w:color w:val="auto"/>
        </w:rPr>
        <w:t xml:space="preserve">řádného </w:t>
      </w:r>
      <w:r w:rsidR="00830D1E" w:rsidRPr="006B1B30">
        <w:rPr>
          <w:color w:val="auto"/>
        </w:rPr>
        <w:t>osvětlení uvnitř Multifunkční arény;</w:t>
      </w:r>
      <w:r w:rsidR="008823A5">
        <w:rPr>
          <w:color w:val="auto"/>
        </w:rPr>
        <w:t xml:space="preserve"> a</w:t>
      </w:r>
    </w:p>
    <w:p w14:paraId="078F47A2" w14:textId="44C1E7BD" w:rsidR="00830D1E" w:rsidRPr="006B1B30" w:rsidRDefault="00830D1E">
      <w:pPr>
        <w:pStyle w:val="412X"/>
        <w:rPr>
          <w:color w:val="auto"/>
        </w:rPr>
      </w:pPr>
      <w:r w:rsidRPr="006B1B30">
        <w:rPr>
          <w:color w:val="auto"/>
        </w:rPr>
        <w:t>úplat</w:t>
      </w:r>
      <w:r w:rsidR="00DD2524">
        <w:rPr>
          <w:color w:val="auto"/>
        </w:rPr>
        <w:t>u</w:t>
      </w:r>
      <w:r w:rsidRPr="006B1B30">
        <w:rPr>
          <w:color w:val="auto"/>
        </w:rPr>
        <w:t xml:space="preserve"> za zajištění hygienických prostředků uvnitř Multifunkční arény;</w:t>
      </w:r>
    </w:p>
    <w:p w14:paraId="1EBBC554" w14:textId="407068BC" w:rsidR="00EA5B67" w:rsidRPr="006B1B30" w:rsidRDefault="00EA5B67" w:rsidP="00B8400C">
      <w:pPr>
        <w:pStyle w:val="412X"/>
        <w:numPr>
          <w:ilvl w:val="0"/>
          <w:numId w:val="0"/>
        </w:numPr>
        <w:ind w:left="1276"/>
        <w:rPr>
          <w:color w:val="auto"/>
        </w:rPr>
      </w:pPr>
      <w:r w:rsidRPr="006B1B30">
        <w:rPr>
          <w:color w:val="auto"/>
        </w:rPr>
        <w:t>(dále jen „</w:t>
      </w:r>
      <w:r w:rsidRPr="006B1B30">
        <w:rPr>
          <w:b/>
          <w:bCs/>
          <w:color w:val="auto"/>
        </w:rPr>
        <w:t>Odměna 2</w:t>
      </w:r>
      <w:r w:rsidRPr="006B1B30">
        <w:rPr>
          <w:color w:val="auto"/>
        </w:rPr>
        <w:t xml:space="preserve">“; Odměna 1 a Odměna 2 společně </w:t>
      </w:r>
      <w:r w:rsidR="007003C0" w:rsidRPr="006B1B30">
        <w:rPr>
          <w:color w:val="auto"/>
        </w:rPr>
        <w:t xml:space="preserve">dále </w:t>
      </w:r>
      <w:r w:rsidR="007003C0">
        <w:rPr>
          <w:color w:val="auto"/>
        </w:rPr>
        <w:t xml:space="preserve">jen </w:t>
      </w:r>
      <w:r w:rsidRPr="006B1B30">
        <w:rPr>
          <w:color w:val="auto"/>
        </w:rPr>
        <w:t>„</w:t>
      </w:r>
      <w:r w:rsidRPr="006B1B30">
        <w:rPr>
          <w:b/>
          <w:bCs/>
          <w:color w:val="auto"/>
        </w:rPr>
        <w:t>Odměna</w:t>
      </w:r>
      <w:r w:rsidRPr="006B1B30">
        <w:rPr>
          <w:color w:val="auto"/>
        </w:rPr>
        <w:t>“).</w:t>
      </w:r>
    </w:p>
    <w:p w14:paraId="248DF931" w14:textId="5A9D8789" w:rsidR="0027392C" w:rsidRPr="006B1B30" w:rsidRDefault="00EA5B67" w:rsidP="00EA5B6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V</w:t>
      </w:r>
      <w:r w:rsidR="009F5EDE" w:rsidRPr="006B1B30">
        <w:rPr>
          <w:rFonts w:asciiTheme="minorHAnsi" w:hAnsiTheme="minorHAnsi" w:cstheme="minorHAnsi"/>
        </w:rPr>
        <w:t xml:space="preserve">ýše </w:t>
      </w:r>
      <w:r w:rsidRPr="006B1B30">
        <w:rPr>
          <w:rFonts w:asciiTheme="minorHAnsi" w:hAnsiTheme="minorHAnsi" w:cstheme="minorHAnsi"/>
        </w:rPr>
        <w:t>O</w:t>
      </w:r>
      <w:r w:rsidR="009F5EDE" w:rsidRPr="006B1B30">
        <w:rPr>
          <w:rFonts w:asciiTheme="minorHAnsi" w:hAnsiTheme="minorHAnsi" w:cstheme="minorHAnsi"/>
        </w:rPr>
        <w:t xml:space="preserve">dměny </w:t>
      </w:r>
      <w:r w:rsidRPr="006B1B30">
        <w:rPr>
          <w:rFonts w:asciiTheme="minorHAnsi" w:hAnsiTheme="minorHAnsi" w:cstheme="minorHAnsi"/>
        </w:rPr>
        <w:t xml:space="preserve">za jednotlivé </w:t>
      </w:r>
      <w:r w:rsidR="009E0A5C" w:rsidRPr="006B1B30">
        <w:rPr>
          <w:rFonts w:cs="Arial"/>
          <w:bCs/>
          <w:kern w:val="28"/>
        </w:rPr>
        <w:t>utkání</w:t>
      </w:r>
      <w:r w:rsidR="009E0A5C" w:rsidRPr="006B1B30" w:rsidDel="009E0A5C">
        <w:rPr>
          <w:rFonts w:asciiTheme="minorHAnsi" w:hAnsiTheme="minorHAnsi" w:cstheme="minorHAnsi"/>
        </w:rPr>
        <w:t xml:space="preserve"> </w:t>
      </w:r>
      <w:r w:rsidR="00A037BD" w:rsidRPr="006B1B30">
        <w:rPr>
          <w:rFonts w:asciiTheme="minorHAnsi" w:hAnsiTheme="minorHAnsi" w:cstheme="minorHAnsi"/>
        </w:rPr>
        <w:t>mužstva A-týmu</w:t>
      </w:r>
      <w:r w:rsidRPr="006B1B30">
        <w:rPr>
          <w:rFonts w:asciiTheme="minorHAnsi" w:hAnsiTheme="minorHAnsi" w:cstheme="minorHAnsi"/>
        </w:rPr>
        <w:t xml:space="preserve"> a/nebo </w:t>
      </w:r>
      <w:r w:rsidR="001B0F1D" w:rsidRPr="006B1B30">
        <w:rPr>
          <w:rFonts w:asciiTheme="minorHAnsi" w:hAnsiTheme="minorHAnsi" w:cstheme="minorHAnsi"/>
        </w:rPr>
        <w:t xml:space="preserve">juniorů a/nebo dorostu </w:t>
      </w:r>
      <w:r w:rsidR="00A037BD" w:rsidRPr="006B1B30">
        <w:rPr>
          <w:rFonts w:asciiTheme="minorHAnsi" w:hAnsiTheme="minorHAnsi" w:cstheme="minorHAnsi"/>
        </w:rPr>
        <w:t xml:space="preserve">Objednatele </w:t>
      </w:r>
      <w:r w:rsidR="002525C7">
        <w:rPr>
          <w:rFonts w:asciiTheme="minorHAnsi" w:hAnsiTheme="minorHAnsi" w:cstheme="minorHAnsi"/>
        </w:rPr>
        <w:t xml:space="preserve">a/nebo </w:t>
      </w:r>
      <w:r w:rsidR="002525C7" w:rsidRPr="006B1B30">
        <w:t>tým</w:t>
      </w:r>
      <w:r w:rsidR="002525C7">
        <w:t>ů</w:t>
      </w:r>
      <w:r w:rsidR="002525C7" w:rsidRPr="006B1B30">
        <w:t xml:space="preserve"> české hokejové reprezentace </w:t>
      </w:r>
      <w:r w:rsidRPr="006B1B30">
        <w:rPr>
          <w:rFonts w:asciiTheme="minorHAnsi" w:hAnsiTheme="minorHAnsi" w:cstheme="minorHAnsi"/>
        </w:rPr>
        <w:t>dle čl.</w:t>
      </w:r>
      <w:r w:rsidR="007C682A" w:rsidRPr="006B1B30">
        <w:rPr>
          <w:rFonts w:asciiTheme="minorHAnsi" w:hAnsiTheme="minorHAnsi" w:cstheme="minorHAnsi"/>
        </w:rPr>
        <w:t> </w:t>
      </w:r>
      <w:r w:rsidRPr="006B1B30">
        <w:rPr>
          <w:rFonts w:asciiTheme="minorHAnsi" w:hAnsiTheme="minorHAnsi" w:cstheme="minorHAnsi"/>
        </w:rPr>
        <w:fldChar w:fldCharType="begin"/>
      </w:r>
      <w:r w:rsidRPr="006B1B30">
        <w:rPr>
          <w:rFonts w:asciiTheme="minorHAnsi" w:hAnsiTheme="minorHAnsi" w:cstheme="minorHAnsi"/>
        </w:rPr>
        <w:instrText xml:space="preserve"> REF _Ref47289219 \r \h </w:instrText>
      </w:r>
      <w:r w:rsidRPr="006B1B30">
        <w:rPr>
          <w:rFonts w:asciiTheme="minorHAnsi" w:hAnsiTheme="minorHAnsi" w:cstheme="minorHAnsi"/>
        </w:rPr>
      </w:r>
      <w:r w:rsidRPr="006B1B30">
        <w:rPr>
          <w:rFonts w:asciiTheme="minorHAnsi" w:hAnsiTheme="minorHAnsi" w:cstheme="minorHAnsi"/>
        </w:rPr>
        <w:fldChar w:fldCharType="separate"/>
      </w:r>
      <w:r w:rsidR="00C9005D">
        <w:rPr>
          <w:rFonts w:asciiTheme="minorHAnsi" w:hAnsiTheme="minorHAnsi" w:cstheme="minorHAnsi"/>
        </w:rPr>
        <w:t>4.1</w:t>
      </w:r>
      <w:r w:rsidRPr="006B1B30">
        <w:rPr>
          <w:rFonts w:asciiTheme="minorHAnsi" w:hAnsiTheme="minorHAnsi" w:cstheme="minorHAnsi"/>
        </w:rPr>
        <w:fldChar w:fldCharType="end"/>
      </w:r>
      <w:r w:rsidRPr="006B1B30">
        <w:rPr>
          <w:rFonts w:asciiTheme="minorHAnsi" w:hAnsiTheme="minorHAnsi" w:cstheme="minorHAnsi"/>
        </w:rPr>
        <w:t xml:space="preserve"> této Smlouvy, jakož i za jednotlivé </w:t>
      </w:r>
      <w:r w:rsidR="009F5EDE" w:rsidRPr="006B1B30">
        <w:rPr>
          <w:rFonts w:asciiTheme="minorHAnsi" w:hAnsiTheme="minorHAnsi" w:cstheme="minorHAnsi"/>
        </w:rPr>
        <w:t xml:space="preserve">položky </w:t>
      </w:r>
      <w:r w:rsidRPr="006B1B30">
        <w:rPr>
          <w:rFonts w:asciiTheme="minorHAnsi" w:hAnsiTheme="minorHAnsi" w:cstheme="minorHAnsi"/>
        </w:rPr>
        <w:t xml:space="preserve">(z nichž se Odměna skládá) </w:t>
      </w:r>
      <w:r w:rsidR="009F5EDE" w:rsidRPr="006B1B30">
        <w:rPr>
          <w:rFonts w:asciiTheme="minorHAnsi" w:hAnsiTheme="minorHAnsi" w:cstheme="minorHAnsi"/>
        </w:rPr>
        <w:t>uvedené v</w:t>
      </w:r>
      <w:r w:rsidR="00416EB6" w:rsidRPr="006B1B30">
        <w:rPr>
          <w:rFonts w:asciiTheme="minorHAnsi" w:hAnsiTheme="minorHAnsi" w:cstheme="minorHAnsi"/>
        </w:rPr>
        <w:t> </w:t>
      </w:r>
      <w:r w:rsidR="009F5EDE" w:rsidRPr="006B1B30">
        <w:rPr>
          <w:rFonts w:asciiTheme="minorHAnsi" w:hAnsiTheme="minorHAnsi" w:cstheme="minorHAnsi"/>
        </w:rPr>
        <w:t>čl.</w:t>
      </w:r>
      <w:r w:rsidR="00416EB6" w:rsidRPr="006B1B30">
        <w:rPr>
          <w:rFonts w:asciiTheme="minorHAnsi" w:hAnsiTheme="minorHAnsi" w:cstheme="minorHAnsi"/>
        </w:rPr>
        <w:t> </w:t>
      </w:r>
      <w:r w:rsidR="009F5EDE" w:rsidRPr="006B1B30">
        <w:rPr>
          <w:rFonts w:asciiTheme="minorHAnsi" w:hAnsiTheme="minorHAnsi" w:cstheme="minorHAnsi"/>
        </w:rPr>
        <w:fldChar w:fldCharType="begin"/>
      </w:r>
      <w:r w:rsidR="009F5EDE" w:rsidRPr="006B1B30">
        <w:rPr>
          <w:rFonts w:asciiTheme="minorHAnsi" w:hAnsiTheme="minorHAnsi" w:cstheme="minorHAnsi"/>
        </w:rPr>
        <w:instrText xml:space="preserve"> REF _Ref47290687 \r \h </w:instrText>
      </w:r>
      <w:r w:rsidR="009F5EDE" w:rsidRPr="006B1B30">
        <w:rPr>
          <w:rFonts w:asciiTheme="minorHAnsi" w:hAnsiTheme="minorHAnsi" w:cstheme="minorHAnsi"/>
        </w:rPr>
      </w:r>
      <w:r w:rsidR="009F5EDE" w:rsidRPr="006B1B30">
        <w:rPr>
          <w:rFonts w:asciiTheme="minorHAnsi" w:hAnsiTheme="minorHAnsi" w:cstheme="minorHAnsi"/>
        </w:rPr>
        <w:fldChar w:fldCharType="separate"/>
      </w:r>
      <w:r w:rsidR="00C9005D">
        <w:rPr>
          <w:rFonts w:asciiTheme="minorHAnsi" w:hAnsiTheme="minorHAnsi" w:cstheme="minorHAnsi"/>
        </w:rPr>
        <w:t>4.1.1</w:t>
      </w:r>
      <w:r w:rsidR="009F5EDE" w:rsidRPr="006B1B30">
        <w:rPr>
          <w:rFonts w:asciiTheme="minorHAnsi" w:hAnsiTheme="minorHAnsi" w:cstheme="minorHAnsi"/>
        </w:rPr>
        <w:fldChar w:fldCharType="end"/>
      </w:r>
      <w:r w:rsidR="009F5EDE" w:rsidRPr="006B1B30">
        <w:rPr>
          <w:rFonts w:asciiTheme="minorHAnsi" w:hAnsiTheme="minorHAnsi" w:cstheme="minorHAnsi"/>
        </w:rPr>
        <w:t xml:space="preserve"> a </w:t>
      </w:r>
      <w:r w:rsidR="009F5EDE" w:rsidRPr="006B1B30">
        <w:rPr>
          <w:rFonts w:asciiTheme="minorHAnsi" w:hAnsiTheme="minorHAnsi" w:cstheme="minorHAnsi"/>
        </w:rPr>
        <w:fldChar w:fldCharType="begin"/>
      </w:r>
      <w:r w:rsidR="009F5EDE" w:rsidRPr="006B1B30">
        <w:rPr>
          <w:rFonts w:asciiTheme="minorHAnsi" w:hAnsiTheme="minorHAnsi" w:cstheme="minorHAnsi"/>
        </w:rPr>
        <w:instrText xml:space="preserve"> REF _Ref47290690 \r \h </w:instrText>
      </w:r>
      <w:r w:rsidR="009F5EDE" w:rsidRPr="006B1B30">
        <w:rPr>
          <w:rFonts w:asciiTheme="minorHAnsi" w:hAnsiTheme="minorHAnsi" w:cstheme="minorHAnsi"/>
        </w:rPr>
      </w:r>
      <w:r w:rsidR="009F5EDE" w:rsidRPr="006B1B30">
        <w:rPr>
          <w:rFonts w:asciiTheme="minorHAnsi" w:hAnsiTheme="minorHAnsi" w:cstheme="minorHAnsi"/>
        </w:rPr>
        <w:fldChar w:fldCharType="separate"/>
      </w:r>
      <w:r w:rsidR="00C9005D">
        <w:rPr>
          <w:rFonts w:asciiTheme="minorHAnsi" w:hAnsiTheme="minorHAnsi" w:cstheme="minorHAnsi"/>
        </w:rPr>
        <w:t>4.1.2</w:t>
      </w:r>
      <w:r w:rsidR="009F5EDE" w:rsidRPr="006B1B30">
        <w:rPr>
          <w:rFonts w:asciiTheme="minorHAnsi" w:hAnsiTheme="minorHAnsi" w:cstheme="minorHAnsi"/>
        </w:rPr>
        <w:fldChar w:fldCharType="end"/>
      </w:r>
      <w:r w:rsidR="009F5EDE" w:rsidRPr="006B1B30">
        <w:rPr>
          <w:rFonts w:asciiTheme="minorHAnsi" w:hAnsiTheme="minorHAnsi" w:cstheme="minorHAnsi"/>
        </w:rPr>
        <w:t xml:space="preserve"> této Smlouvy je </w:t>
      </w:r>
      <w:r w:rsidRPr="006B1B30">
        <w:rPr>
          <w:rFonts w:asciiTheme="minorHAnsi" w:hAnsiTheme="minorHAnsi" w:cstheme="minorHAnsi"/>
        </w:rPr>
        <w:t>stanovena jako maximální (nejvýše přípustná)</w:t>
      </w:r>
      <w:r w:rsidR="009F5EDE" w:rsidRPr="006B1B30">
        <w:rPr>
          <w:rFonts w:asciiTheme="minorHAnsi" w:hAnsiTheme="minorHAnsi" w:cstheme="minorHAnsi"/>
        </w:rPr>
        <w:t xml:space="preserve"> a vychází z rozsahu </w:t>
      </w:r>
      <w:r w:rsidRPr="006B1B30">
        <w:rPr>
          <w:rFonts w:asciiTheme="minorHAnsi" w:hAnsiTheme="minorHAnsi" w:cstheme="minorHAnsi"/>
        </w:rPr>
        <w:t>a</w:t>
      </w:r>
      <w:r w:rsidR="00AA01BE" w:rsidRPr="006B1B30">
        <w:rPr>
          <w:rFonts w:asciiTheme="minorHAnsi" w:hAnsiTheme="minorHAnsi" w:cstheme="minorHAnsi"/>
        </w:rPr>
        <w:t> </w:t>
      </w:r>
      <w:r w:rsidRPr="006B1B30">
        <w:rPr>
          <w:rFonts w:asciiTheme="minorHAnsi" w:hAnsiTheme="minorHAnsi" w:cstheme="minorHAnsi"/>
        </w:rPr>
        <w:t xml:space="preserve">kvality </w:t>
      </w:r>
      <w:r w:rsidR="009F5EDE" w:rsidRPr="006B1B30">
        <w:rPr>
          <w:rFonts w:asciiTheme="minorHAnsi" w:hAnsiTheme="minorHAnsi" w:cstheme="minorHAnsi"/>
        </w:rPr>
        <w:t xml:space="preserve">poskytování Služeb </w:t>
      </w:r>
      <w:r w:rsidR="0027392C" w:rsidRPr="006B1B30">
        <w:rPr>
          <w:rFonts w:asciiTheme="minorHAnsi" w:hAnsiTheme="minorHAnsi" w:cstheme="minorHAnsi"/>
        </w:rPr>
        <w:t>stanovených v této</w:t>
      </w:r>
      <w:r w:rsidR="009F5EDE" w:rsidRPr="006B1B30">
        <w:rPr>
          <w:rFonts w:asciiTheme="minorHAnsi" w:hAnsiTheme="minorHAnsi" w:cstheme="minorHAnsi"/>
        </w:rPr>
        <w:t xml:space="preserve"> Smlouv</w:t>
      </w:r>
      <w:r w:rsidR="0027392C" w:rsidRPr="006B1B30">
        <w:rPr>
          <w:rFonts w:asciiTheme="minorHAnsi" w:hAnsiTheme="minorHAnsi" w:cstheme="minorHAnsi"/>
        </w:rPr>
        <w:t>ě</w:t>
      </w:r>
      <w:r w:rsidR="009F5EDE" w:rsidRPr="006B1B30">
        <w:rPr>
          <w:rFonts w:asciiTheme="minorHAnsi" w:hAnsiTheme="minorHAnsi" w:cstheme="minorHAnsi"/>
        </w:rPr>
        <w:t xml:space="preserve">. </w:t>
      </w:r>
      <w:r w:rsidR="008D6214" w:rsidRPr="006B1B30">
        <w:rPr>
          <w:rFonts w:asciiTheme="minorHAnsi" w:hAnsiTheme="minorHAnsi" w:cstheme="minorHAnsi"/>
        </w:rPr>
        <w:lastRenderedPageBreak/>
        <w:t>Takto stanovená maximální v</w:t>
      </w:r>
      <w:r w:rsidR="00177B2B" w:rsidRPr="006B1B30">
        <w:rPr>
          <w:rFonts w:asciiTheme="minorHAnsi" w:hAnsiTheme="minorHAnsi" w:cstheme="minorHAnsi"/>
        </w:rPr>
        <w:t xml:space="preserve">ýše Odměny </w:t>
      </w:r>
      <w:r w:rsidR="0027392C" w:rsidRPr="006B1B30">
        <w:rPr>
          <w:rFonts w:asciiTheme="minorHAnsi" w:hAnsiTheme="minorHAnsi" w:cstheme="minorHAnsi"/>
        </w:rPr>
        <w:t xml:space="preserve">je stanovena </w:t>
      </w:r>
      <w:r w:rsidR="00177B2B" w:rsidRPr="006B1B30">
        <w:rPr>
          <w:rFonts w:asciiTheme="minorHAnsi" w:hAnsiTheme="minorHAnsi" w:cstheme="minorHAnsi"/>
        </w:rPr>
        <w:t xml:space="preserve">po celou dobu trvání této Smlouvy </w:t>
      </w:r>
      <w:r w:rsidR="0027392C" w:rsidRPr="006B1B30">
        <w:rPr>
          <w:rFonts w:asciiTheme="minorHAnsi" w:hAnsiTheme="minorHAnsi" w:cstheme="minorHAnsi"/>
        </w:rPr>
        <w:t xml:space="preserve">jako </w:t>
      </w:r>
      <w:r w:rsidR="00177B2B" w:rsidRPr="006B1B30">
        <w:rPr>
          <w:rFonts w:asciiTheme="minorHAnsi" w:hAnsiTheme="minorHAnsi" w:cstheme="minorHAnsi"/>
        </w:rPr>
        <w:t>fixní (neměnná), ledaže</w:t>
      </w:r>
      <w:r w:rsidR="00EE231C" w:rsidRPr="006B1B30">
        <w:rPr>
          <w:rFonts w:asciiTheme="minorHAnsi" w:hAnsiTheme="minorHAnsi" w:cstheme="minorHAnsi"/>
        </w:rPr>
        <w:t xml:space="preserve"> se</w:t>
      </w:r>
      <w:r w:rsidR="001D399E" w:rsidRPr="006B1B30">
        <w:rPr>
          <w:rFonts w:asciiTheme="minorHAnsi" w:hAnsiTheme="minorHAnsi" w:cstheme="minorHAnsi"/>
        </w:rPr>
        <w:t> </w:t>
      </w:r>
      <w:r w:rsidR="00EE231C" w:rsidRPr="006B1B30">
        <w:rPr>
          <w:rFonts w:asciiTheme="minorHAnsi" w:hAnsiTheme="minorHAnsi" w:cstheme="minorHAnsi"/>
        </w:rPr>
        <w:t>Smluvní strany výslovně dohodnou jin</w:t>
      </w:r>
      <w:r w:rsidR="00C6307D" w:rsidRPr="006B1B30">
        <w:rPr>
          <w:rFonts w:asciiTheme="minorHAnsi" w:hAnsiTheme="minorHAnsi" w:cstheme="minorHAnsi"/>
        </w:rPr>
        <w:t>ak</w:t>
      </w:r>
      <w:r w:rsidR="00177B2B" w:rsidRPr="006B1B30">
        <w:rPr>
          <w:rFonts w:asciiTheme="minorHAnsi" w:hAnsiTheme="minorHAnsi" w:cstheme="minorHAnsi"/>
        </w:rPr>
        <w:t>.</w:t>
      </w:r>
    </w:p>
    <w:p w14:paraId="759D7FD3" w14:textId="163B0BE4" w:rsidR="00EA5B67" w:rsidRPr="006B1B30" w:rsidRDefault="00AE7DC2" w:rsidP="00EA5B6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 xml:space="preserve">Odměna zahrnuje veškeré náklady Poskytovatele spojené s kompletním poskytnutím Služeb. </w:t>
      </w:r>
      <w:r w:rsidR="001969AF" w:rsidRPr="006B1B30">
        <w:rPr>
          <w:rFonts w:asciiTheme="minorHAnsi" w:hAnsiTheme="minorHAnsi" w:cstheme="minorHAnsi"/>
        </w:rPr>
        <w:t xml:space="preserve">Smluvní strany si potvrzují, že </w:t>
      </w:r>
      <w:r w:rsidR="00C4397F" w:rsidRPr="006B1B30">
        <w:rPr>
          <w:rFonts w:asciiTheme="minorHAnsi" w:hAnsiTheme="minorHAnsi" w:cstheme="minorHAnsi"/>
        </w:rPr>
        <w:t xml:space="preserve">vyjma plnění dle čl. </w:t>
      </w:r>
      <w:r w:rsidR="00641506" w:rsidRPr="006B1B30">
        <w:rPr>
          <w:rFonts w:asciiTheme="minorHAnsi" w:hAnsiTheme="minorHAnsi" w:cstheme="minorHAnsi"/>
        </w:rPr>
        <w:fldChar w:fldCharType="begin"/>
      </w:r>
      <w:r w:rsidR="00641506" w:rsidRPr="006B1B30">
        <w:rPr>
          <w:rFonts w:asciiTheme="minorHAnsi" w:hAnsiTheme="minorHAnsi" w:cstheme="minorHAnsi"/>
        </w:rPr>
        <w:instrText xml:space="preserve"> REF _Ref47296571 \r \h </w:instrText>
      </w:r>
      <w:r w:rsidR="00641506" w:rsidRPr="006B1B30">
        <w:rPr>
          <w:rFonts w:asciiTheme="minorHAnsi" w:hAnsiTheme="minorHAnsi" w:cstheme="minorHAnsi"/>
        </w:rPr>
      </w:r>
      <w:r w:rsidR="00641506" w:rsidRPr="006B1B30">
        <w:rPr>
          <w:rFonts w:asciiTheme="minorHAnsi" w:hAnsiTheme="minorHAnsi" w:cstheme="minorHAnsi"/>
        </w:rPr>
        <w:fldChar w:fldCharType="separate"/>
      </w:r>
      <w:r w:rsidR="00C9005D">
        <w:rPr>
          <w:rFonts w:asciiTheme="minorHAnsi" w:hAnsiTheme="minorHAnsi" w:cstheme="minorHAnsi"/>
        </w:rPr>
        <w:t>6.1</w:t>
      </w:r>
      <w:r w:rsidR="00641506" w:rsidRPr="006B1B30">
        <w:rPr>
          <w:rFonts w:asciiTheme="minorHAnsi" w:hAnsiTheme="minorHAnsi" w:cstheme="minorHAnsi"/>
        </w:rPr>
        <w:fldChar w:fldCharType="end"/>
      </w:r>
      <w:r w:rsidR="00C4397F" w:rsidRPr="006B1B30">
        <w:rPr>
          <w:rFonts w:asciiTheme="minorHAnsi" w:hAnsiTheme="minorHAnsi" w:cstheme="minorHAnsi"/>
        </w:rPr>
        <w:t xml:space="preserve"> této Smlouvy není </w:t>
      </w:r>
      <w:r w:rsidR="001969AF" w:rsidRPr="006B1B30">
        <w:rPr>
          <w:rFonts w:asciiTheme="minorHAnsi" w:hAnsiTheme="minorHAnsi" w:cstheme="minorHAnsi"/>
        </w:rPr>
        <w:t xml:space="preserve">Objednatel povinen poskytovat Poskytovateli jakékoli další plnění nad rámec </w:t>
      </w:r>
      <w:r w:rsidR="008C292D" w:rsidRPr="006B1B30">
        <w:rPr>
          <w:rFonts w:asciiTheme="minorHAnsi" w:hAnsiTheme="minorHAnsi" w:cstheme="minorHAnsi"/>
        </w:rPr>
        <w:t>Odměny</w:t>
      </w:r>
      <w:r w:rsidR="001969AF" w:rsidRPr="006B1B30">
        <w:rPr>
          <w:rFonts w:asciiTheme="minorHAnsi" w:hAnsiTheme="minorHAnsi" w:cstheme="minorHAnsi"/>
        </w:rPr>
        <w:t>.</w:t>
      </w:r>
    </w:p>
    <w:p w14:paraId="363DB63E" w14:textId="77777777" w:rsidR="00177B2B" w:rsidRPr="006B1B30" w:rsidRDefault="00810489" w:rsidP="00657ED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 xml:space="preserve">Pokud jakákoli ze Smluvních stran přestane být plátcem DPH, vyrozumí o tom druhou Smluvní stranu nejpozději do pěti (5) pracovních dnů od seznámení se s touto skutečností. Přestane-li být </w:t>
      </w:r>
      <w:r w:rsidR="008553A2" w:rsidRPr="006B1B30">
        <w:rPr>
          <w:rFonts w:asciiTheme="minorHAnsi" w:hAnsiTheme="minorHAnsi" w:cstheme="minorHAnsi"/>
        </w:rPr>
        <w:t>Poskytovatel</w:t>
      </w:r>
      <w:r w:rsidRPr="006B1B30">
        <w:rPr>
          <w:rFonts w:asciiTheme="minorHAnsi" w:hAnsiTheme="minorHAnsi" w:cstheme="minorHAnsi"/>
        </w:rPr>
        <w:t xml:space="preserve"> plátcem DPH, poníží se </w:t>
      </w:r>
      <w:r w:rsidR="008553A2" w:rsidRPr="006B1B30">
        <w:rPr>
          <w:rFonts w:asciiTheme="minorHAnsi" w:hAnsiTheme="minorHAnsi" w:cstheme="minorHAnsi"/>
        </w:rPr>
        <w:t>Odměna</w:t>
      </w:r>
      <w:r w:rsidRPr="006B1B30">
        <w:rPr>
          <w:rFonts w:asciiTheme="minorHAnsi" w:hAnsiTheme="minorHAnsi" w:cstheme="minorHAnsi"/>
        </w:rPr>
        <w:t xml:space="preserve"> o částku odpovídající DPH ve výši dle platných právních předpisů.</w:t>
      </w:r>
    </w:p>
    <w:p w14:paraId="78853446" w14:textId="77777777" w:rsidR="00D535D5" w:rsidRPr="006B1B30" w:rsidRDefault="00D535D5" w:rsidP="00657ED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K navýšení Odměny nemůže dojít ani v důsledku jakýchkoli rekonstrukcí, přestaveb, úprav, investic, rozšíření či jiných změn Multifunkční arény, jakož ani v důsledku navýšení provozních či</w:t>
      </w:r>
      <w:r w:rsidR="00413FB5" w:rsidRPr="006B1B30">
        <w:rPr>
          <w:rFonts w:asciiTheme="minorHAnsi" w:hAnsiTheme="minorHAnsi" w:cstheme="minorHAnsi"/>
        </w:rPr>
        <w:t> </w:t>
      </w:r>
      <w:r w:rsidRPr="006B1B30">
        <w:rPr>
          <w:rFonts w:asciiTheme="minorHAnsi" w:hAnsiTheme="minorHAnsi" w:cstheme="minorHAnsi"/>
        </w:rPr>
        <w:t>jiných nákladů.</w:t>
      </w:r>
    </w:p>
    <w:p w14:paraId="293353C6" w14:textId="77777777" w:rsidR="00D535D5" w:rsidRPr="006B1B30" w:rsidRDefault="00D535D5" w:rsidP="00657ED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Za účelem vyloučení jakýchkoli pochybností v případech existence jakýchkoli sporů ohledně výše nebo rozsahu Odměny, tj. v případě existence sporů ohledně skutečnosti, zda je (či není) určitá služba zahrnuta v Odměně, vždy platí, že každá taková služba je v Odměně zahrnuta. Objednatel není povinen Poskytovateli hradit žádná jiná plnění než </w:t>
      </w:r>
      <w:r w:rsidR="00BA7E0E" w:rsidRPr="006B1B30">
        <w:rPr>
          <w:rFonts w:asciiTheme="minorHAnsi" w:hAnsiTheme="minorHAnsi" w:cstheme="minorHAnsi"/>
        </w:rPr>
        <w:t>Odměnu</w:t>
      </w:r>
      <w:r w:rsidRPr="006B1B30">
        <w:rPr>
          <w:rFonts w:asciiTheme="minorHAnsi" w:hAnsiTheme="minorHAnsi" w:cstheme="minorHAnsi"/>
        </w:rPr>
        <w:t>.</w:t>
      </w:r>
    </w:p>
    <w:p w14:paraId="31218D9A" w14:textId="30402E80" w:rsidR="00177B2B" w:rsidRPr="006B1B30" w:rsidRDefault="00975520" w:rsidP="00657ED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 xml:space="preserve">Pokud budou Služby (kterákoli ze Služeb) poskytnuty v menším rozsahu, než jak je stanoven v této Smlouvě, ať z jakýchkoli důvodů a/nebo příčin (např. čl. </w:t>
      </w:r>
      <w:r w:rsidR="003816E4">
        <w:rPr>
          <w:rFonts w:asciiTheme="minorHAnsi" w:hAnsiTheme="minorHAnsi" w:cstheme="minorHAnsi"/>
        </w:rPr>
        <w:fldChar w:fldCharType="begin"/>
      </w:r>
      <w:r w:rsidR="003816E4">
        <w:rPr>
          <w:rFonts w:asciiTheme="minorHAnsi" w:hAnsiTheme="minorHAnsi" w:cstheme="minorHAnsi"/>
        </w:rPr>
        <w:instrText xml:space="preserve"> REF _Ref55295376 \r \h </w:instrText>
      </w:r>
      <w:r w:rsidR="003816E4">
        <w:rPr>
          <w:rFonts w:asciiTheme="minorHAnsi" w:hAnsiTheme="minorHAnsi" w:cstheme="minorHAnsi"/>
        </w:rPr>
      </w:r>
      <w:r w:rsidR="003816E4">
        <w:rPr>
          <w:rFonts w:asciiTheme="minorHAnsi" w:hAnsiTheme="minorHAnsi" w:cstheme="minorHAnsi"/>
        </w:rPr>
        <w:fldChar w:fldCharType="separate"/>
      </w:r>
      <w:r w:rsidR="00C9005D">
        <w:rPr>
          <w:rFonts w:asciiTheme="minorHAnsi" w:hAnsiTheme="minorHAnsi" w:cstheme="minorHAnsi"/>
        </w:rPr>
        <w:t>1.6</w:t>
      </w:r>
      <w:r w:rsidR="003816E4">
        <w:rPr>
          <w:rFonts w:asciiTheme="minorHAnsi" w:hAnsiTheme="minorHAnsi" w:cstheme="minorHAnsi"/>
        </w:rPr>
        <w:fldChar w:fldCharType="end"/>
      </w:r>
      <w:r w:rsidRPr="006B1B30">
        <w:rPr>
          <w:rFonts w:asciiTheme="minorHAnsi" w:hAnsiTheme="minorHAnsi" w:cstheme="minorHAnsi"/>
        </w:rPr>
        <w:t xml:space="preserve"> této Smlouvy), </w:t>
      </w:r>
      <w:r w:rsidR="008D6214" w:rsidRPr="006B1B30">
        <w:rPr>
          <w:rFonts w:asciiTheme="minorHAnsi" w:hAnsiTheme="minorHAnsi" w:cstheme="minorHAnsi"/>
        </w:rPr>
        <w:t>a/nebo v nižší kvalitě</w:t>
      </w:r>
      <w:r w:rsidR="00200D66">
        <w:rPr>
          <w:rFonts w:asciiTheme="minorHAnsi" w:hAnsiTheme="minorHAnsi" w:cstheme="minorHAnsi"/>
        </w:rPr>
        <w:t xml:space="preserve"> z důvodů spočívajících nikoli na straně Objednatele</w:t>
      </w:r>
      <w:r w:rsidR="008D6214" w:rsidRPr="006B1B30">
        <w:rPr>
          <w:rFonts w:asciiTheme="minorHAnsi" w:hAnsiTheme="minorHAnsi" w:cstheme="minorHAnsi"/>
        </w:rPr>
        <w:t xml:space="preserve">, </w:t>
      </w:r>
      <w:r w:rsidRPr="006B1B30">
        <w:rPr>
          <w:rFonts w:asciiTheme="minorHAnsi" w:hAnsiTheme="minorHAnsi" w:cstheme="minorHAnsi"/>
        </w:rPr>
        <w:t>sníží se</w:t>
      </w:r>
      <w:r w:rsidR="00095A8D" w:rsidRPr="006B1B30">
        <w:rPr>
          <w:rFonts w:asciiTheme="minorHAnsi" w:hAnsiTheme="minorHAnsi" w:cstheme="minorHAnsi"/>
        </w:rPr>
        <w:t> </w:t>
      </w:r>
      <w:r w:rsidRPr="006B1B30">
        <w:rPr>
          <w:rFonts w:asciiTheme="minorHAnsi" w:hAnsiTheme="minorHAnsi" w:cstheme="minorHAnsi"/>
        </w:rPr>
        <w:t>adekvátně i výše Odměny Poskytovatele.</w:t>
      </w:r>
    </w:p>
    <w:p w14:paraId="6F420909" w14:textId="77777777" w:rsidR="0007010D" w:rsidRPr="006B1B30" w:rsidRDefault="0007010D" w:rsidP="00657ED7">
      <w:pPr>
        <w:numPr>
          <w:ilvl w:val="1"/>
          <w:numId w:val="1"/>
        </w:numPr>
        <w:spacing w:before="240" w:after="60"/>
        <w:ind w:left="567" w:right="0" w:hanging="567"/>
        <w:jc w:val="both"/>
        <w:rPr>
          <w:rFonts w:asciiTheme="minorHAnsi" w:hAnsiTheme="minorHAnsi" w:cstheme="minorHAnsi"/>
        </w:rPr>
      </w:pPr>
      <w:r w:rsidRPr="006B1B30">
        <w:rPr>
          <w:rFonts w:asciiTheme="minorHAnsi" w:hAnsiTheme="minorHAnsi" w:cstheme="minorHAnsi"/>
        </w:rPr>
        <w:t xml:space="preserve">Poskytovatel zajistí nepřetržité poskytování </w:t>
      </w:r>
      <w:bookmarkStart w:id="23" w:name="_Hlk47196342"/>
      <w:r w:rsidRPr="006B1B30">
        <w:rPr>
          <w:rFonts w:asciiTheme="minorHAnsi" w:hAnsiTheme="minorHAnsi" w:cstheme="minorHAnsi"/>
        </w:rPr>
        <w:t>všech médií a jiných služeb spojených s </w:t>
      </w:r>
      <w:bookmarkEnd w:id="23"/>
      <w:r w:rsidRPr="006B1B30">
        <w:rPr>
          <w:rFonts w:asciiTheme="minorHAnsi" w:hAnsiTheme="minorHAnsi" w:cstheme="minorHAnsi"/>
        </w:rPr>
        <w:t>poskytováním Služeb Objednateli dle této Smlouvy, přičemž náklady na tyto dodávky médií a jiných služeb spojených s poskytováním Služeb Objednateli dle této Smlouvy jsou zahrnuty v Odměně.</w:t>
      </w:r>
      <w:r w:rsidR="00B14179" w:rsidRPr="006B1B30">
        <w:rPr>
          <w:rFonts w:asciiTheme="minorHAnsi" w:hAnsiTheme="minorHAnsi" w:cstheme="minorHAnsi"/>
        </w:rPr>
        <w:t xml:space="preserve"> Poskytovatel bude při zajišťování poskytování všech médií a jiných služeb spojených s poskytováním Služeb Objednateli dle této Smlouvy vždy postupovat v souladu s péčí řádného hospodáře, přičemž zajistí, aby </w:t>
      </w:r>
      <w:r w:rsidR="00CA3FA7" w:rsidRPr="006B1B30">
        <w:rPr>
          <w:rFonts w:asciiTheme="minorHAnsi" w:hAnsiTheme="minorHAnsi" w:cstheme="minorHAnsi"/>
        </w:rPr>
        <w:t xml:space="preserve">tyto </w:t>
      </w:r>
      <w:r w:rsidR="00B14179" w:rsidRPr="006B1B30">
        <w:rPr>
          <w:rFonts w:asciiTheme="minorHAnsi" w:hAnsiTheme="minorHAnsi" w:cstheme="minorHAnsi"/>
        </w:rPr>
        <w:t>byly poskytovány ve vysoké kvalitě</w:t>
      </w:r>
      <w:r w:rsidR="008335E9" w:rsidRPr="006B1B30">
        <w:rPr>
          <w:rFonts w:asciiTheme="minorHAnsi" w:hAnsiTheme="minorHAnsi" w:cstheme="minorHAnsi"/>
        </w:rPr>
        <w:t>.</w:t>
      </w:r>
    </w:p>
    <w:p w14:paraId="53619208" w14:textId="77777777" w:rsidR="00B062B4" w:rsidRPr="006B1B30" w:rsidRDefault="00FE46F7">
      <w:pPr>
        <w:pStyle w:val="Nadpisy"/>
      </w:pPr>
      <w:bookmarkStart w:id="24" w:name="_Toc55934498"/>
      <w:r w:rsidRPr="006B1B30">
        <w:t>Splatnost a způsob úhrad dle této Smlouvy</w:t>
      </w:r>
      <w:bookmarkEnd w:id="24"/>
    </w:p>
    <w:p w14:paraId="612C2F2C" w14:textId="4CA5E885" w:rsidR="007A4D62" w:rsidRPr="006B1B30" w:rsidRDefault="00C80AC6">
      <w:pPr>
        <w:numPr>
          <w:ilvl w:val="1"/>
          <w:numId w:val="1"/>
        </w:numPr>
        <w:spacing w:before="240" w:after="60"/>
        <w:ind w:left="567" w:hanging="567"/>
        <w:jc w:val="both"/>
      </w:pPr>
      <w:bookmarkStart w:id="25" w:name="_Ref44013949"/>
      <w:bookmarkStart w:id="26" w:name="_Ref47166040"/>
      <w:bookmarkStart w:id="27" w:name="_Ref47204389"/>
      <w:r w:rsidRPr="006B1B30">
        <w:t>Objednatel bude Poskytovateli hradit Odměnu</w:t>
      </w:r>
      <w:r w:rsidRPr="006B1B30">
        <w:rPr>
          <w:rFonts w:cstheme="minorHAnsi"/>
        </w:rPr>
        <w:t xml:space="preserve"> </w:t>
      </w:r>
      <w:r w:rsidRPr="006B1B30">
        <w:t xml:space="preserve">vždy </w:t>
      </w:r>
      <w:r w:rsidRPr="006B1B30">
        <w:rPr>
          <w:rFonts w:cstheme="minorHAnsi"/>
        </w:rPr>
        <w:t>za období</w:t>
      </w:r>
      <w:r w:rsidR="008D6214" w:rsidRPr="006B1B30">
        <w:rPr>
          <w:rFonts w:cstheme="minorHAnsi"/>
        </w:rPr>
        <w:t xml:space="preserve"> </w:t>
      </w:r>
      <w:r w:rsidRPr="006B1B30">
        <w:rPr>
          <w:rFonts w:cstheme="minorHAnsi"/>
        </w:rPr>
        <w:t>kalendářního měsíce každého kalendářního roku trvání této Smlouvy</w:t>
      </w:r>
      <w:r w:rsidR="000970D5" w:rsidRPr="006B1B30">
        <w:rPr>
          <w:rFonts w:cstheme="minorHAnsi"/>
        </w:rPr>
        <w:t xml:space="preserve">, a to v souladu se splatností stanovenou v čl. </w:t>
      </w:r>
      <w:r w:rsidR="000970D5" w:rsidRPr="006B1B30">
        <w:rPr>
          <w:rFonts w:cstheme="minorHAnsi"/>
        </w:rPr>
        <w:fldChar w:fldCharType="begin"/>
      </w:r>
      <w:r w:rsidR="000970D5" w:rsidRPr="006B1B30">
        <w:rPr>
          <w:rFonts w:cstheme="minorHAnsi"/>
        </w:rPr>
        <w:instrText xml:space="preserve"> REF _Ref47347336 \r \h </w:instrText>
      </w:r>
      <w:r w:rsidR="000970D5" w:rsidRPr="006B1B30">
        <w:rPr>
          <w:rFonts w:cstheme="minorHAnsi"/>
        </w:rPr>
      </w:r>
      <w:r w:rsidR="000970D5" w:rsidRPr="006B1B30">
        <w:rPr>
          <w:rFonts w:cstheme="minorHAnsi"/>
        </w:rPr>
        <w:fldChar w:fldCharType="separate"/>
      </w:r>
      <w:r w:rsidR="00C9005D">
        <w:rPr>
          <w:rFonts w:cstheme="minorHAnsi"/>
        </w:rPr>
        <w:t>5.2</w:t>
      </w:r>
      <w:r w:rsidR="000970D5" w:rsidRPr="006B1B30">
        <w:rPr>
          <w:rFonts w:cstheme="minorHAnsi"/>
        </w:rPr>
        <w:fldChar w:fldCharType="end"/>
      </w:r>
      <w:r w:rsidR="000970D5" w:rsidRPr="006B1B30">
        <w:rPr>
          <w:rFonts w:cstheme="minorHAnsi"/>
        </w:rPr>
        <w:t xml:space="preserve"> této Smlouvy</w:t>
      </w:r>
      <w:r w:rsidRPr="006B1B30">
        <w:t>. Výše Odměny za poskytování Služeb</w:t>
      </w:r>
      <w:r w:rsidRPr="006B1B30">
        <w:rPr>
          <w:rFonts w:cstheme="minorHAnsi"/>
        </w:rPr>
        <w:t xml:space="preserve"> bude vždy Poskytovatelem vyčíslena podle reálného využití </w:t>
      </w:r>
      <w:r w:rsidR="00E17EC2" w:rsidRPr="006B1B30">
        <w:rPr>
          <w:rFonts w:cstheme="minorHAnsi"/>
        </w:rPr>
        <w:t>S</w:t>
      </w:r>
      <w:r w:rsidRPr="006B1B30">
        <w:rPr>
          <w:rFonts w:cstheme="minorHAnsi"/>
        </w:rPr>
        <w:t xml:space="preserve">lužeb </w:t>
      </w:r>
      <w:r w:rsidRPr="006B1B30">
        <w:t xml:space="preserve">Objednatelem </w:t>
      </w:r>
      <w:r w:rsidRPr="006B1B30">
        <w:rPr>
          <w:rFonts w:cstheme="minorHAnsi"/>
        </w:rPr>
        <w:t>za příslušné období kalendářního měsíce, za kter</w:t>
      </w:r>
      <w:r w:rsidR="00E17EC2" w:rsidRPr="006B1B30">
        <w:rPr>
          <w:rFonts w:cstheme="minorHAnsi"/>
        </w:rPr>
        <w:t>ý</w:t>
      </w:r>
      <w:r w:rsidRPr="006B1B30">
        <w:rPr>
          <w:rFonts w:cstheme="minorHAnsi"/>
        </w:rPr>
        <w:t xml:space="preserve"> se </w:t>
      </w:r>
      <w:r w:rsidR="00E17EC2" w:rsidRPr="006B1B30">
        <w:rPr>
          <w:rFonts w:cstheme="minorHAnsi"/>
        </w:rPr>
        <w:t xml:space="preserve">Odměna </w:t>
      </w:r>
      <w:r w:rsidRPr="006B1B30">
        <w:rPr>
          <w:rFonts w:cstheme="minorHAnsi"/>
        </w:rPr>
        <w:t>hradí (dále jen „</w:t>
      </w:r>
      <w:r w:rsidRPr="006B1B30">
        <w:rPr>
          <w:rFonts w:cstheme="minorHAnsi"/>
          <w:b/>
          <w:bCs/>
        </w:rPr>
        <w:t>Přehled využití Služeb</w:t>
      </w:r>
      <w:r w:rsidRPr="006B1B30">
        <w:rPr>
          <w:rFonts w:cstheme="minorHAnsi"/>
        </w:rPr>
        <w:t>“)</w:t>
      </w:r>
      <w:r w:rsidR="002312BE" w:rsidRPr="006B1B30">
        <w:rPr>
          <w:rFonts w:cstheme="minorHAnsi"/>
        </w:rPr>
        <w:t>, přičemž</w:t>
      </w:r>
      <w:r w:rsidR="007A4D62" w:rsidRPr="006B1B30">
        <w:rPr>
          <w:rFonts w:cstheme="minorHAnsi"/>
        </w:rPr>
        <w:t xml:space="preserve"> </w:t>
      </w:r>
      <w:bookmarkEnd w:id="25"/>
      <w:bookmarkEnd w:id="26"/>
      <w:r w:rsidR="007A4D62" w:rsidRPr="006B1B30">
        <w:rPr>
          <w:rFonts w:cstheme="minorHAnsi"/>
        </w:rPr>
        <w:t xml:space="preserve">Poskytovatel </w:t>
      </w:r>
      <w:r w:rsidRPr="006B1B30">
        <w:rPr>
          <w:rFonts w:cstheme="minorHAnsi"/>
        </w:rPr>
        <w:t>je povinen zaslat</w:t>
      </w:r>
      <w:r w:rsidR="007A4D62" w:rsidRPr="006B1B30">
        <w:rPr>
          <w:rFonts w:cstheme="minorHAnsi"/>
        </w:rPr>
        <w:t xml:space="preserve"> </w:t>
      </w:r>
      <w:r w:rsidR="002312BE" w:rsidRPr="006B1B30">
        <w:rPr>
          <w:rFonts w:cstheme="minorHAnsi"/>
        </w:rPr>
        <w:t>P</w:t>
      </w:r>
      <w:r w:rsidR="007A4D62" w:rsidRPr="006B1B30">
        <w:rPr>
          <w:rFonts w:cstheme="minorHAnsi"/>
        </w:rPr>
        <w:t>řehled využití Služeb</w:t>
      </w:r>
      <w:r w:rsidR="00B062B4" w:rsidRPr="006B1B30">
        <w:rPr>
          <w:rFonts w:cstheme="minorHAnsi"/>
        </w:rPr>
        <w:t xml:space="preserve"> </w:t>
      </w:r>
      <w:r w:rsidR="00F842CA" w:rsidRPr="006B1B30">
        <w:rPr>
          <w:rFonts w:cstheme="minorHAnsi"/>
        </w:rPr>
        <w:t xml:space="preserve">Objednateli k jeho odsouhlasení </w:t>
      </w:r>
      <w:r w:rsidR="00B062B4" w:rsidRPr="006B1B30">
        <w:rPr>
          <w:rFonts w:cstheme="minorHAnsi"/>
        </w:rPr>
        <w:t>vždy nejpozději do</w:t>
      </w:r>
      <w:r w:rsidR="0046643F" w:rsidRPr="006B1B30">
        <w:rPr>
          <w:rFonts w:cstheme="minorHAnsi"/>
        </w:rPr>
        <w:t> </w:t>
      </w:r>
      <w:r w:rsidR="00B062B4" w:rsidRPr="006B1B30">
        <w:rPr>
          <w:rFonts w:cstheme="minorHAnsi"/>
        </w:rPr>
        <w:t>desátého (10.) dne měsíce následujícího</w:t>
      </w:r>
      <w:r w:rsidRPr="006B1B30">
        <w:rPr>
          <w:rFonts w:cstheme="minorHAnsi"/>
        </w:rPr>
        <w:t xml:space="preserve"> po konci příslušného kalendářního měsíce</w:t>
      </w:r>
      <w:r w:rsidR="007A4D62" w:rsidRPr="006B1B30">
        <w:rPr>
          <w:rFonts w:cstheme="minorHAnsi"/>
        </w:rPr>
        <w:t xml:space="preserve">, za který se </w:t>
      </w:r>
      <w:r w:rsidR="002312BE" w:rsidRPr="006B1B30">
        <w:rPr>
          <w:rFonts w:cstheme="minorHAnsi"/>
        </w:rPr>
        <w:t>Odměna hradí</w:t>
      </w:r>
      <w:r w:rsidR="00961135" w:rsidRPr="006B1B30">
        <w:rPr>
          <w:rFonts w:cstheme="minorHAnsi"/>
        </w:rPr>
        <w:t>. Pakliže vznikne mezi Smluvními stranami spor o správnosti rozsahu poskytnutých Služeb za</w:t>
      </w:r>
      <w:r w:rsidR="00472E0F" w:rsidRPr="006B1B30">
        <w:rPr>
          <w:rFonts w:cstheme="minorHAnsi"/>
        </w:rPr>
        <w:t> </w:t>
      </w:r>
      <w:r w:rsidR="00961135" w:rsidRPr="006B1B30">
        <w:rPr>
          <w:rFonts w:cstheme="minorHAnsi"/>
        </w:rPr>
        <w:t xml:space="preserve">předchozí kalendářní měsíc uvedeného v Přehledu využití Služeb, </w:t>
      </w:r>
      <w:r w:rsidR="007C58A6" w:rsidRPr="006B1B30">
        <w:t xml:space="preserve">v takovém případě splatnost Odměny nenastane dříve, než uplynutím čtrnácti (14) dnů od </w:t>
      </w:r>
      <w:r w:rsidR="00EF3486" w:rsidRPr="006B1B30">
        <w:t>dosažení shody Smluvních stran ohledně správnosti Přehledu využití Služeb.</w:t>
      </w:r>
    </w:p>
    <w:p w14:paraId="771A84E5" w14:textId="77777777" w:rsidR="00B062B4" w:rsidRPr="006B1B30" w:rsidRDefault="007A4D62">
      <w:pPr>
        <w:numPr>
          <w:ilvl w:val="1"/>
          <w:numId w:val="1"/>
        </w:numPr>
        <w:spacing w:before="240" w:after="60"/>
        <w:ind w:left="567" w:hanging="567"/>
        <w:jc w:val="both"/>
      </w:pPr>
      <w:bookmarkStart w:id="28" w:name="_Ref47347336"/>
      <w:r w:rsidRPr="006B1B30">
        <w:rPr>
          <w:rFonts w:cstheme="minorHAnsi"/>
        </w:rPr>
        <w:t xml:space="preserve">Odměna za příslušný kalendářní měsíc je splatná </w:t>
      </w:r>
      <w:r w:rsidR="00C80AC6" w:rsidRPr="006B1B30">
        <w:rPr>
          <w:rFonts w:cstheme="minorHAnsi"/>
        </w:rPr>
        <w:t>k poslednímu dni následujícího kalendářního měsíce</w:t>
      </w:r>
      <w:r w:rsidR="00EA07FD" w:rsidRPr="006B1B30">
        <w:rPr>
          <w:rFonts w:cstheme="minorHAnsi"/>
        </w:rPr>
        <w:t xml:space="preserve">; splatnost Odměny však nenastane dříve než </w:t>
      </w:r>
      <w:r w:rsidR="007A15F1" w:rsidRPr="006B1B30">
        <w:rPr>
          <w:rFonts w:cstheme="minorHAnsi"/>
        </w:rPr>
        <w:t>uplynutím patnáctého (15.) dne od</w:t>
      </w:r>
      <w:r w:rsidR="00C14C29" w:rsidRPr="006B1B30">
        <w:rPr>
          <w:rFonts w:cstheme="minorHAnsi"/>
        </w:rPr>
        <w:t> </w:t>
      </w:r>
      <w:r w:rsidR="007A15F1" w:rsidRPr="006B1B30">
        <w:rPr>
          <w:rFonts w:cstheme="minorHAnsi"/>
        </w:rPr>
        <w:t xml:space="preserve">doručení </w:t>
      </w:r>
      <w:r w:rsidR="00B062B4" w:rsidRPr="006B1B30">
        <w:t xml:space="preserve">Přehledu využití </w:t>
      </w:r>
      <w:r w:rsidR="009B43FF" w:rsidRPr="006B1B30">
        <w:rPr>
          <w:rFonts w:cstheme="minorHAnsi"/>
        </w:rPr>
        <w:t>Služeb</w:t>
      </w:r>
      <w:r w:rsidR="00B062B4" w:rsidRPr="006B1B30">
        <w:t xml:space="preserve"> odpovídajícího této Smlouvě.</w:t>
      </w:r>
      <w:bookmarkEnd w:id="27"/>
      <w:bookmarkEnd w:id="28"/>
    </w:p>
    <w:p w14:paraId="4F694432" w14:textId="1B9B3289" w:rsidR="00B062B4" w:rsidRPr="006B1B30" w:rsidRDefault="00D276BF" w:rsidP="00BE7898">
      <w:pPr>
        <w:numPr>
          <w:ilvl w:val="1"/>
          <w:numId w:val="1"/>
        </w:numPr>
        <w:spacing w:before="240" w:after="60"/>
        <w:ind w:left="567" w:hanging="567"/>
        <w:jc w:val="both"/>
      </w:pPr>
      <w:r w:rsidRPr="006B1B30">
        <w:rPr>
          <w:rFonts w:cstheme="minorHAnsi"/>
        </w:rPr>
        <w:lastRenderedPageBreak/>
        <w:t xml:space="preserve">Odměnu </w:t>
      </w:r>
      <w:r w:rsidRPr="006B1B30">
        <w:t xml:space="preserve">je Objednatel povinen hradit bezhotovostním převodem na bankovní účet </w:t>
      </w:r>
      <w:r w:rsidRPr="006B1B30">
        <w:rPr>
          <w:rFonts w:cstheme="minorHAnsi"/>
        </w:rPr>
        <w:t xml:space="preserve">Poskytovatele </w:t>
      </w:r>
      <w:r w:rsidRPr="006B1B30">
        <w:t>uvedený na příslušném daňovém dokladu (faktuře) vystaveném v souladu s</w:t>
      </w:r>
      <w:r w:rsidR="00902EDE" w:rsidRPr="006B1B30">
        <w:t> </w:t>
      </w:r>
      <w:r w:rsidRPr="006B1B30">
        <w:t>čl.</w:t>
      </w:r>
      <w:r w:rsidR="00902EDE" w:rsidRPr="006B1B30">
        <w:t> </w:t>
      </w:r>
      <w:r w:rsidR="00902EDE" w:rsidRPr="006B1B30">
        <w:rPr>
          <w:highlight w:val="yellow"/>
        </w:rPr>
        <w:fldChar w:fldCharType="begin"/>
      </w:r>
      <w:r w:rsidR="00902EDE" w:rsidRPr="006B1B30">
        <w:instrText xml:space="preserve"> REF _Ref47291817 \r \h </w:instrText>
      </w:r>
      <w:r w:rsidR="00902EDE" w:rsidRPr="006B1B30">
        <w:rPr>
          <w:highlight w:val="yellow"/>
        </w:rPr>
      </w:r>
      <w:r w:rsidR="00902EDE" w:rsidRPr="006B1B30">
        <w:rPr>
          <w:highlight w:val="yellow"/>
        </w:rPr>
        <w:fldChar w:fldCharType="separate"/>
      </w:r>
      <w:r w:rsidR="00C9005D">
        <w:t>5.4</w:t>
      </w:r>
      <w:r w:rsidR="00902EDE" w:rsidRPr="006B1B30">
        <w:rPr>
          <w:highlight w:val="yellow"/>
        </w:rPr>
        <w:fldChar w:fldCharType="end"/>
      </w:r>
      <w:r w:rsidRPr="006B1B30">
        <w:t xml:space="preserve"> této Smlouvy. Dnem zaplacení se rozumí den, kdy byla příslušná úhrada odepsána z</w:t>
      </w:r>
      <w:r w:rsidR="00076E0B" w:rsidRPr="006B1B30">
        <w:t> </w:t>
      </w:r>
      <w:r w:rsidRPr="006B1B30">
        <w:t xml:space="preserve">bankovního účtu </w:t>
      </w:r>
      <w:r w:rsidR="00076E0B" w:rsidRPr="006B1B30">
        <w:t>Objednatele</w:t>
      </w:r>
      <w:r w:rsidRPr="006B1B30">
        <w:t>.</w:t>
      </w:r>
    </w:p>
    <w:p w14:paraId="146A0783" w14:textId="2262CFDA" w:rsidR="00BE7898" w:rsidRPr="006B1B30" w:rsidRDefault="00AE5EC6" w:rsidP="004E4BA4">
      <w:pPr>
        <w:numPr>
          <w:ilvl w:val="1"/>
          <w:numId w:val="1"/>
        </w:numPr>
        <w:spacing w:before="240" w:after="60"/>
        <w:ind w:left="567" w:hanging="567"/>
        <w:jc w:val="both"/>
      </w:pPr>
      <w:bookmarkStart w:id="29" w:name="_Ref47291817"/>
      <w:bookmarkStart w:id="30" w:name="_Ref46526076"/>
      <w:r w:rsidRPr="006B1B30">
        <w:rPr>
          <w:rFonts w:cstheme="minorHAnsi"/>
        </w:rPr>
        <w:t xml:space="preserve">Poskytovatel </w:t>
      </w:r>
      <w:r w:rsidRPr="006B1B30">
        <w:t>se zavazuje vystavit na příslušnou částku Odměn</w:t>
      </w:r>
      <w:r w:rsidR="007A15F1" w:rsidRPr="006B1B30">
        <w:t>y za daný kalendářní měsíc</w:t>
      </w:r>
      <w:r w:rsidRPr="006B1B30">
        <w:t xml:space="preserve"> daňový doklad (fakturu) v souladu s platnými právními předpisy a následně doručit tento doklad </w:t>
      </w:r>
      <w:r w:rsidR="00BF6590" w:rsidRPr="006B1B30">
        <w:t xml:space="preserve">Objednateli </w:t>
      </w:r>
      <w:r w:rsidR="00236275">
        <w:t>alespoň</w:t>
      </w:r>
      <w:r w:rsidRPr="006B1B30">
        <w:t xml:space="preserve"> </w:t>
      </w:r>
      <w:r w:rsidRPr="006B1B30">
        <w:rPr>
          <w:rFonts w:asciiTheme="minorHAnsi" w:hAnsiTheme="minorHAnsi"/>
        </w:rPr>
        <w:t xml:space="preserve">čtrnáct (14) </w:t>
      </w:r>
      <w:r w:rsidRPr="006B1B30">
        <w:t xml:space="preserve">dnů přede dnem splatnosti </w:t>
      </w:r>
      <w:r w:rsidRPr="006B1B30">
        <w:rPr>
          <w:rFonts w:cstheme="minorHAnsi"/>
        </w:rPr>
        <w:t xml:space="preserve">dle čl. </w:t>
      </w:r>
      <w:r w:rsidR="007A15F1" w:rsidRPr="006B1B30">
        <w:rPr>
          <w:rFonts w:cstheme="minorHAnsi"/>
        </w:rPr>
        <w:fldChar w:fldCharType="begin"/>
      </w:r>
      <w:r w:rsidR="007A15F1" w:rsidRPr="006B1B30">
        <w:rPr>
          <w:rFonts w:cstheme="minorHAnsi"/>
        </w:rPr>
        <w:instrText xml:space="preserve"> REF _Ref47347336 \r \h </w:instrText>
      </w:r>
      <w:r w:rsidR="007A15F1" w:rsidRPr="006B1B30">
        <w:rPr>
          <w:rFonts w:cstheme="minorHAnsi"/>
        </w:rPr>
      </w:r>
      <w:r w:rsidR="007A15F1" w:rsidRPr="006B1B30">
        <w:rPr>
          <w:rFonts w:cstheme="minorHAnsi"/>
        </w:rPr>
        <w:fldChar w:fldCharType="separate"/>
      </w:r>
      <w:r w:rsidR="00C9005D">
        <w:rPr>
          <w:rFonts w:cstheme="minorHAnsi"/>
        </w:rPr>
        <w:t>5.2</w:t>
      </w:r>
      <w:r w:rsidR="007A15F1" w:rsidRPr="006B1B30">
        <w:rPr>
          <w:rFonts w:cstheme="minorHAnsi"/>
        </w:rPr>
        <w:fldChar w:fldCharType="end"/>
      </w:r>
      <w:r w:rsidR="007A15F1" w:rsidRPr="006B1B30">
        <w:rPr>
          <w:rFonts w:cstheme="minorHAnsi"/>
        </w:rPr>
        <w:t xml:space="preserve"> </w:t>
      </w:r>
      <w:r w:rsidRPr="006B1B30">
        <w:rPr>
          <w:rFonts w:cstheme="minorHAnsi"/>
        </w:rPr>
        <w:t>této Smlouvy</w:t>
      </w:r>
      <w:r w:rsidRPr="006B1B30">
        <w:t>.</w:t>
      </w:r>
      <w:bookmarkEnd w:id="29"/>
      <w:bookmarkEnd w:id="30"/>
      <w:r w:rsidR="004E4BA4" w:rsidRPr="006B1B30">
        <w:t xml:space="preserve"> </w:t>
      </w:r>
      <w:r w:rsidR="00BE7898" w:rsidRPr="006B1B30">
        <w:t>V</w:t>
      </w:r>
      <w:r w:rsidR="00236275">
        <w:t> </w:t>
      </w:r>
      <w:r w:rsidR="00BE7898" w:rsidRPr="006B1B30">
        <w:t>případě, že</w:t>
      </w:r>
      <w:r w:rsidR="004E4BA4" w:rsidRPr="006B1B30">
        <w:t> </w:t>
      </w:r>
      <w:r w:rsidR="00BE7898" w:rsidRPr="006B1B30">
        <w:t>vystavená faktura nebude obsahovat zákonem stanové náležitosti, je Objednatel oprávněn fakturu vrátit Poskytovateli, přičemž v takovém případě splatnost</w:t>
      </w:r>
      <w:r w:rsidR="006226E9" w:rsidRPr="006B1B30">
        <w:t xml:space="preserve"> Odměny</w:t>
      </w:r>
      <w:r w:rsidR="00BE7898" w:rsidRPr="006B1B30">
        <w:t xml:space="preserve"> </w:t>
      </w:r>
      <w:r w:rsidR="006226E9" w:rsidRPr="006B1B30">
        <w:t>nenastane</w:t>
      </w:r>
      <w:r w:rsidR="007A15F1" w:rsidRPr="006B1B30">
        <w:t xml:space="preserve"> dříve, než uplynutím čtrnácti (14) dnů od doručení řádně opravené faktur</w:t>
      </w:r>
      <w:r w:rsidR="008D6214" w:rsidRPr="006B1B30">
        <w:t>y Objedna</w:t>
      </w:r>
      <w:r w:rsidR="000970D5" w:rsidRPr="006B1B30">
        <w:t>t</w:t>
      </w:r>
      <w:r w:rsidR="008D6214" w:rsidRPr="006B1B30">
        <w:t>eli</w:t>
      </w:r>
      <w:r w:rsidR="007A15F1" w:rsidRPr="006B1B30">
        <w:t>.</w:t>
      </w:r>
    </w:p>
    <w:p w14:paraId="42AEDBCB" w14:textId="77777777" w:rsidR="00BE7898" w:rsidRPr="006B1B30" w:rsidRDefault="00EF42A6" w:rsidP="00BE7898">
      <w:pPr>
        <w:numPr>
          <w:ilvl w:val="1"/>
          <w:numId w:val="1"/>
        </w:numPr>
        <w:spacing w:before="240" w:after="60"/>
        <w:ind w:left="567" w:hanging="567"/>
        <w:jc w:val="both"/>
      </w:pPr>
      <w:r w:rsidRPr="006B1B30">
        <w:rPr>
          <w:rFonts w:asciiTheme="minorHAnsi" w:hAnsiTheme="minorHAnsi" w:cstheme="minorHAnsi"/>
        </w:rPr>
        <w:t>Smluvní strany sjednávají, že jakékoli změny zákonného platidla České republiky nemají žádný vliv na platnost této Smlouvy a dále neopravňují kteroukoli ze Smluvních stran požadovat změny této Smlouvy, vyjma případných technických změn, které budou přímo vyplývat z předpisů vztahujících se k případné změně zákonného platidla České republiky. Smluvní strany dále prohlašují, že případná fixace směnného kurzu koruny české (CZK) k euru (EUR) jako jediné měny v České republice, ani konverze finančních závazků z této Smlouvy z koruny české (CZK) na euro (EUR), nebudou důvodem pro předčasné ukončení nebo změnu této Smlouvy nebo pro předplacení částek splatných dle této Smlouvy a nebudou ani důvodem pro vznik odpovědnosti jedné Smluvní strany vůči druhé Smluvní straně za přímé nebo nepřímé škody vzniklé na základě výše popsaných skutečností a s tím spojených kurzových rizik, pokud se Smluvní strany výslovně nedohodnou jinak.</w:t>
      </w:r>
    </w:p>
    <w:p w14:paraId="4932E538" w14:textId="77777777" w:rsidR="00B03680" w:rsidRPr="006B1B30" w:rsidRDefault="00B03680" w:rsidP="00BE7898">
      <w:pPr>
        <w:numPr>
          <w:ilvl w:val="1"/>
          <w:numId w:val="1"/>
        </w:numPr>
        <w:spacing w:before="240" w:after="60"/>
        <w:ind w:left="567" w:hanging="567"/>
        <w:jc w:val="both"/>
      </w:pPr>
      <w:r w:rsidRPr="006B1B30">
        <w:rPr>
          <w:rFonts w:asciiTheme="minorHAnsi" w:hAnsiTheme="minorHAnsi" w:cstheme="minorHAnsi"/>
        </w:rPr>
        <w:t>V okamžiku, kdy koruna česká (CZK) přestane být zákonnou měnou České republiky, veškeré platební povinnosti vyplývající z této Smlouvy budou převedeny na euro (EUR) při směnném kurzu, který bude fixován ze zákona k datu zavedení eura (EUR) v České republice. Pokud by došlo k zániku měny euro, budou veškeré závazky z této Smlouvy denominovány v korunách českých za podmínek, zejména za přepočtového kurzu, stanovených příslušným právním předpisem.</w:t>
      </w:r>
    </w:p>
    <w:p w14:paraId="40907374" w14:textId="77777777" w:rsidR="00A7650B" w:rsidRPr="006B1B30" w:rsidRDefault="00A7650B">
      <w:pPr>
        <w:pStyle w:val="Nadpisy"/>
      </w:pPr>
      <w:bookmarkStart w:id="31" w:name="_Toc55934499"/>
      <w:r w:rsidRPr="006B1B30">
        <w:t>Práva a povinnosti Smluvních stran</w:t>
      </w:r>
      <w:bookmarkEnd w:id="31"/>
    </w:p>
    <w:p w14:paraId="00AA0861" w14:textId="01C5BEA0" w:rsidR="00262D18" w:rsidRPr="006B1B30" w:rsidRDefault="00262D18" w:rsidP="00262D18">
      <w:pPr>
        <w:numPr>
          <w:ilvl w:val="1"/>
          <w:numId w:val="1"/>
        </w:numPr>
        <w:spacing w:before="240" w:after="60"/>
        <w:ind w:left="567" w:right="0" w:hanging="567"/>
        <w:jc w:val="both"/>
        <w:rPr>
          <w:rFonts w:asciiTheme="minorHAnsi" w:hAnsiTheme="minorHAnsi" w:cstheme="minorHAnsi"/>
        </w:rPr>
      </w:pPr>
      <w:bookmarkStart w:id="32" w:name="_Ref47296571"/>
      <w:r w:rsidRPr="006B1B30">
        <w:rPr>
          <w:rFonts w:asciiTheme="minorHAnsi" w:hAnsiTheme="minorHAnsi" w:cstheme="minorHAnsi"/>
        </w:rPr>
        <w:t xml:space="preserve">Objednatel je oprávněn </w:t>
      </w:r>
      <w:r w:rsidR="004A5BE3" w:rsidRPr="006B1B30">
        <w:rPr>
          <w:rFonts w:asciiTheme="minorHAnsi" w:hAnsiTheme="minorHAnsi" w:cstheme="minorHAnsi"/>
        </w:rPr>
        <w:t>požadovat</w:t>
      </w:r>
      <w:r w:rsidR="00641AA7" w:rsidRPr="006B1B30">
        <w:rPr>
          <w:rFonts w:asciiTheme="minorHAnsi" w:hAnsiTheme="minorHAnsi" w:cstheme="minorHAnsi"/>
        </w:rPr>
        <w:t xml:space="preserve"> poskytnutí </w:t>
      </w:r>
      <w:r w:rsidRPr="006B1B30">
        <w:rPr>
          <w:rFonts w:asciiTheme="minorHAnsi" w:hAnsiTheme="minorHAnsi" w:cstheme="minorHAnsi"/>
        </w:rPr>
        <w:t xml:space="preserve">Služeb </w:t>
      </w:r>
      <w:r w:rsidR="00680265" w:rsidRPr="006B1B30">
        <w:rPr>
          <w:rFonts w:asciiTheme="minorHAnsi" w:hAnsiTheme="minorHAnsi" w:cstheme="minorHAnsi"/>
        </w:rPr>
        <w:t xml:space="preserve">v rozsahu </w:t>
      </w:r>
      <w:r w:rsidR="00FC14B3">
        <w:rPr>
          <w:rFonts w:asciiTheme="minorHAnsi" w:hAnsiTheme="minorHAnsi" w:cstheme="minorHAnsi"/>
        </w:rPr>
        <w:t>alespoň</w:t>
      </w:r>
      <w:r w:rsidR="00680265" w:rsidRPr="006B1B30">
        <w:rPr>
          <w:rFonts w:asciiTheme="minorHAnsi" w:hAnsiTheme="minorHAnsi" w:cstheme="minorHAnsi"/>
        </w:rPr>
        <w:t xml:space="preserve"> stanoveném touto Smlouvou </w:t>
      </w:r>
      <w:r w:rsidRPr="006B1B30">
        <w:rPr>
          <w:rFonts w:asciiTheme="minorHAnsi" w:hAnsiTheme="minorHAnsi" w:cstheme="minorHAnsi"/>
        </w:rPr>
        <w:t>též v souvislosti s</w:t>
      </w:r>
      <w:r w:rsidR="00641AA7" w:rsidRPr="006B1B30">
        <w:rPr>
          <w:rFonts w:asciiTheme="minorHAnsi" w:hAnsiTheme="minorHAnsi" w:cstheme="minorHAnsi"/>
        </w:rPr>
        <w:t xml:space="preserve"> jakýmkoli jiným </w:t>
      </w:r>
      <w:r w:rsidRPr="006B1B30">
        <w:t>přátelským (tj.</w:t>
      </w:r>
      <w:r w:rsidR="00641AA7" w:rsidRPr="006B1B30">
        <w:t> </w:t>
      </w:r>
      <w:r w:rsidRPr="006B1B30">
        <w:t xml:space="preserve">přípravným, benefičním či jakýmkoli jiným nesoutěžním) </w:t>
      </w:r>
      <w:r w:rsidR="00641AA7" w:rsidRPr="006B1B30">
        <w:t>utkáním</w:t>
      </w:r>
      <w:r w:rsidRPr="006B1B30">
        <w:t xml:space="preserve"> některého z</w:t>
      </w:r>
      <w:r w:rsidR="00641AA7" w:rsidRPr="006B1B30">
        <w:t> </w:t>
      </w:r>
      <w:r w:rsidRPr="006B1B30">
        <w:t xml:space="preserve">hokejových mužstev Objednatele </w:t>
      </w:r>
      <w:r w:rsidR="00BF2C89" w:rsidRPr="006B1B30">
        <w:t xml:space="preserve">a/nebo </w:t>
      </w:r>
      <w:r w:rsidR="003835A3" w:rsidRPr="006B1B30">
        <w:t>tým</w:t>
      </w:r>
      <w:r w:rsidR="00F91F23">
        <w:t>ů</w:t>
      </w:r>
      <w:r w:rsidR="003835A3" w:rsidRPr="006B1B30">
        <w:t xml:space="preserve"> české</w:t>
      </w:r>
      <w:r w:rsidR="00BF2C89" w:rsidRPr="006B1B30">
        <w:t xml:space="preserve"> hokejové reprezentace </w:t>
      </w:r>
      <w:r w:rsidRPr="006B1B30">
        <w:t>v Multifunkční aréně</w:t>
      </w:r>
      <w:r w:rsidR="00BD459A" w:rsidRPr="006B1B30">
        <w:rPr>
          <w:rFonts w:asciiTheme="minorHAnsi" w:hAnsiTheme="minorHAnsi" w:cstheme="minorHAnsi"/>
        </w:rPr>
        <w:t>; Poskytovatel je povinen v každém takovém případě Služby Objednateli v rozsahu a míře dle pokynů Objednatele poskytnout,</w:t>
      </w:r>
      <w:r w:rsidR="00641AA7" w:rsidRPr="006B1B30">
        <w:rPr>
          <w:rFonts w:asciiTheme="minorHAnsi" w:hAnsiTheme="minorHAnsi" w:cstheme="minorHAnsi"/>
        </w:rPr>
        <w:t xml:space="preserve"> přičemž</w:t>
      </w:r>
      <w:r w:rsidRPr="006B1B30">
        <w:rPr>
          <w:rFonts w:asciiTheme="minorHAnsi" w:hAnsiTheme="minorHAnsi" w:cstheme="minorHAnsi"/>
        </w:rPr>
        <w:t xml:space="preserve"> </w:t>
      </w:r>
      <w:r w:rsidR="00641AA7" w:rsidRPr="006B1B30">
        <w:rPr>
          <w:rFonts w:asciiTheme="minorHAnsi" w:hAnsiTheme="minorHAnsi" w:cstheme="minorHAnsi"/>
        </w:rPr>
        <w:t>v</w:t>
      </w:r>
      <w:r w:rsidRPr="006B1B30">
        <w:rPr>
          <w:rFonts w:asciiTheme="minorHAnsi" w:hAnsiTheme="minorHAnsi" w:cstheme="minorHAnsi"/>
        </w:rPr>
        <w:t xml:space="preserve">ýše </w:t>
      </w:r>
      <w:r w:rsidRPr="006B1B30">
        <w:rPr>
          <w:rFonts w:cs="Arial"/>
          <w:bCs/>
          <w:kern w:val="28"/>
        </w:rPr>
        <w:t>odměny za poskytování Služeb v souvislosti s </w:t>
      </w:r>
      <w:r w:rsidRPr="006B1B30">
        <w:t xml:space="preserve">každým </w:t>
      </w:r>
      <w:r w:rsidR="00641AA7" w:rsidRPr="006B1B30">
        <w:t xml:space="preserve">takovým </w:t>
      </w:r>
      <w:r w:rsidRPr="006B1B30">
        <w:t>přátelským utkání</w:t>
      </w:r>
      <w:r w:rsidR="00641AA7" w:rsidRPr="006B1B30">
        <w:t>m</w:t>
      </w:r>
      <w:r w:rsidRPr="006B1B30">
        <w:rPr>
          <w:rFonts w:cs="Arial"/>
          <w:bCs/>
          <w:kern w:val="28"/>
        </w:rPr>
        <w:t xml:space="preserve"> vždy podléhá výslovné dohodě Smluvních stran</w:t>
      </w:r>
      <w:r w:rsidRPr="006B1B30">
        <w:rPr>
          <w:rFonts w:asciiTheme="minorHAnsi" w:hAnsiTheme="minorHAnsi" w:cstheme="minorHAnsi"/>
        </w:rPr>
        <w:t>.</w:t>
      </w:r>
      <w:bookmarkEnd w:id="32"/>
    </w:p>
    <w:p w14:paraId="16101F8C" w14:textId="4C82B8FD" w:rsidR="007B2BC2" w:rsidRPr="006B1B30" w:rsidRDefault="00442BD4" w:rsidP="00262D18">
      <w:pPr>
        <w:numPr>
          <w:ilvl w:val="1"/>
          <w:numId w:val="1"/>
        </w:numPr>
        <w:spacing w:before="240" w:after="60"/>
        <w:ind w:left="567" w:right="0" w:hanging="567"/>
        <w:jc w:val="both"/>
        <w:rPr>
          <w:rFonts w:asciiTheme="minorHAnsi" w:hAnsiTheme="minorHAnsi" w:cstheme="minorHAnsi"/>
        </w:rPr>
      </w:pPr>
      <w:bookmarkStart w:id="33" w:name="_Ref55222835"/>
      <w:r>
        <w:t xml:space="preserve">Poskytovatel bude Služby poskytovat vždy </w:t>
      </w:r>
      <w:r w:rsidR="000727B8">
        <w:t>alespoň</w:t>
      </w:r>
      <w:r>
        <w:t xml:space="preserve"> v takovém rozsahu a takové kvalitě, aby jejich poskytování v plné míře odpovídalo požadavkům na konání hokejových utkání v Multifunkční aréně, tj. včetně utkání hokejových mužstev Objednatele</w:t>
      </w:r>
      <w:r w:rsidR="009367B8">
        <w:t>,</w:t>
      </w:r>
      <w:r>
        <w:t xml:space="preserve"> konaných zejména v rámci ELH (</w:t>
      </w:r>
      <w:r w:rsidR="009367B8">
        <w:t xml:space="preserve">tedy </w:t>
      </w:r>
      <w:r>
        <w:t>požadavkům stanovený</w:t>
      </w:r>
      <w:r w:rsidR="008B73C0">
        <w:t>m</w:t>
      </w:r>
      <w:r>
        <w:t xml:space="preserve"> zejména v Licenčním řádu), CHL,</w:t>
      </w:r>
      <w:r w:rsidR="00EC25E2">
        <w:t xml:space="preserve"> juniorských</w:t>
      </w:r>
      <w:r w:rsidR="004978C0">
        <w:t xml:space="preserve"> a dorosteneckých</w:t>
      </w:r>
      <w:r w:rsidR="00EC25E2">
        <w:t xml:space="preserve"> soutěží,</w:t>
      </w:r>
      <w:r>
        <w:t xml:space="preserve"> jakož i</w:t>
      </w:r>
      <w:r w:rsidR="008B73C0">
        <w:t> </w:t>
      </w:r>
      <w:r>
        <w:t>utkání týmů české hokejové reprezentace.</w:t>
      </w:r>
      <w:bookmarkEnd w:id="33"/>
    </w:p>
    <w:p w14:paraId="0396FB15" w14:textId="77777777" w:rsidR="0064185E" w:rsidRPr="006B1B30" w:rsidRDefault="0064185E" w:rsidP="00262D18">
      <w:pPr>
        <w:numPr>
          <w:ilvl w:val="1"/>
          <w:numId w:val="1"/>
        </w:numPr>
        <w:spacing w:before="240" w:after="60"/>
        <w:ind w:left="567" w:right="0" w:hanging="567"/>
        <w:jc w:val="both"/>
        <w:rPr>
          <w:rFonts w:asciiTheme="minorHAnsi" w:hAnsiTheme="minorHAnsi" w:cstheme="minorHAnsi"/>
        </w:rPr>
      </w:pPr>
      <w:r w:rsidRPr="006B1B30">
        <w:rPr>
          <w:rFonts w:eastAsia="Times New Roman" w:cs="Arial"/>
          <w:bCs/>
          <w:kern w:val="28"/>
          <w:lang w:eastAsia="cs-CZ"/>
        </w:rPr>
        <w:t>Smluvní strany se dohodly, že Poskytovatel je oprávněn Služby poskytovat i prostřednictvím třetích osob. V takovém případě však Poskytovatel odpovídá Objednateli, jako by Služby poskytoval sám.</w:t>
      </w:r>
    </w:p>
    <w:p w14:paraId="522AFC9A" w14:textId="77777777" w:rsidR="002B3208" w:rsidRPr="006B1B30" w:rsidRDefault="002B3208" w:rsidP="00B80442">
      <w:pPr>
        <w:numPr>
          <w:ilvl w:val="1"/>
          <w:numId w:val="1"/>
        </w:numPr>
        <w:spacing w:before="240" w:after="60"/>
        <w:ind w:left="567" w:right="0" w:hanging="567"/>
        <w:jc w:val="both"/>
        <w:rPr>
          <w:rFonts w:eastAsia="Times New Roman" w:cs="Arial"/>
          <w:bCs/>
          <w:kern w:val="28"/>
          <w:lang w:eastAsia="cs-CZ"/>
        </w:rPr>
      </w:pPr>
      <w:bookmarkStart w:id="34" w:name="_Ref47353418"/>
      <w:r w:rsidRPr="006B1B30">
        <w:lastRenderedPageBreak/>
        <w:t xml:space="preserve">Poskytovatel se výslovně zavazuje Objednateli garantovat poskytování Služeb v celém jejich rozsahu pro veškeré Objednatelem požadované termíny, </w:t>
      </w:r>
      <w:r w:rsidR="00D651C4" w:rsidRPr="006B1B30">
        <w:t xml:space="preserve">tj. zejména, nikoli však výlučně, ve dnech, </w:t>
      </w:r>
      <w:r w:rsidRPr="006B1B30">
        <w:t>v nichž se budou konat utkání některého z hokejových mužstev Objednatele, bez</w:t>
      </w:r>
      <w:r w:rsidR="00483B50" w:rsidRPr="006B1B30">
        <w:t> </w:t>
      </w:r>
      <w:r w:rsidRPr="006B1B30">
        <w:t>ohledu na to, zda se jedná o utkání přípravné či soutěžní (v rámci základní části i play-</w:t>
      </w:r>
      <w:proofErr w:type="spellStart"/>
      <w:r w:rsidRPr="006B1B30">
        <w:t>off</w:t>
      </w:r>
      <w:proofErr w:type="spellEnd"/>
      <w:r w:rsidRPr="006B1B30">
        <w:t>).</w:t>
      </w:r>
      <w:bookmarkEnd w:id="34"/>
    </w:p>
    <w:p w14:paraId="56298955" w14:textId="77777777" w:rsidR="00A7650B" w:rsidRPr="006B1B30" w:rsidRDefault="00A7650B" w:rsidP="00B80442">
      <w:pPr>
        <w:numPr>
          <w:ilvl w:val="1"/>
          <w:numId w:val="1"/>
        </w:numPr>
        <w:spacing w:before="240" w:after="60"/>
        <w:ind w:left="567" w:right="0" w:hanging="567"/>
        <w:jc w:val="both"/>
        <w:rPr>
          <w:rFonts w:eastAsia="Times New Roman" w:cs="Arial"/>
          <w:bCs/>
          <w:kern w:val="28"/>
          <w:lang w:eastAsia="cs-CZ"/>
        </w:rPr>
      </w:pPr>
      <w:bookmarkStart w:id="35" w:name="_Ref47353419"/>
      <w:r w:rsidRPr="006B1B30">
        <w:rPr>
          <w:rFonts w:eastAsia="Times New Roman" w:cs="Arial"/>
          <w:bCs/>
          <w:kern w:val="28"/>
          <w:lang w:eastAsia="cs-CZ"/>
        </w:rPr>
        <w:t>Poskytovatel je povinen při poskytování Služeb jednat s</w:t>
      </w:r>
      <w:r w:rsidR="00FC7647" w:rsidRPr="006B1B30">
        <w:rPr>
          <w:rFonts w:eastAsia="Times New Roman" w:cs="Arial"/>
          <w:bCs/>
          <w:kern w:val="28"/>
          <w:lang w:eastAsia="cs-CZ"/>
        </w:rPr>
        <w:t> péčí řádného hospodáře</w:t>
      </w:r>
      <w:r w:rsidRPr="006B1B30">
        <w:rPr>
          <w:rFonts w:eastAsia="Times New Roman" w:cs="Arial"/>
          <w:bCs/>
          <w:kern w:val="28"/>
          <w:lang w:eastAsia="cs-CZ"/>
        </w:rPr>
        <w:t xml:space="preserve">, postupovat profesionálně, v souladu s touto Smlouvou, pokyny Objednatele, </w:t>
      </w:r>
      <w:r w:rsidR="009F704C" w:rsidRPr="006B1B30">
        <w:rPr>
          <w:rFonts w:eastAsia="Times New Roman" w:cs="Arial"/>
          <w:bCs/>
          <w:kern w:val="28"/>
          <w:lang w:eastAsia="cs-CZ"/>
        </w:rPr>
        <w:t xml:space="preserve">zájmy Objednatele, </w:t>
      </w:r>
      <w:r w:rsidRPr="006B1B30">
        <w:rPr>
          <w:rFonts w:eastAsia="Times New Roman" w:cs="Arial"/>
          <w:bCs/>
          <w:kern w:val="28"/>
          <w:lang w:eastAsia="cs-CZ"/>
        </w:rPr>
        <w:t>jakožto i</w:t>
      </w:r>
      <w:r w:rsidR="009F704C" w:rsidRPr="006B1B30">
        <w:rPr>
          <w:rFonts w:eastAsia="Times New Roman" w:cs="Arial"/>
          <w:bCs/>
          <w:kern w:val="28"/>
          <w:lang w:eastAsia="cs-CZ"/>
        </w:rPr>
        <w:t> </w:t>
      </w:r>
      <w:r w:rsidRPr="006B1B30">
        <w:rPr>
          <w:rFonts w:eastAsia="Times New Roman" w:cs="Arial"/>
          <w:bCs/>
          <w:kern w:val="28"/>
          <w:lang w:eastAsia="cs-CZ"/>
        </w:rPr>
        <w:t>v souladu s</w:t>
      </w:r>
      <w:r w:rsidR="00FC7647" w:rsidRPr="006B1B30">
        <w:rPr>
          <w:rFonts w:eastAsia="Times New Roman" w:cs="Arial"/>
          <w:bCs/>
          <w:kern w:val="28"/>
          <w:lang w:eastAsia="cs-CZ"/>
        </w:rPr>
        <w:t> </w:t>
      </w:r>
      <w:r w:rsidRPr="006B1B30">
        <w:rPr>
          <w:rFonts w:eastAsia="Times New Roman" w:cs="Arial"/>
          <w:bCs/>
          <w:kern w:val="28"/>
          <w:lang w:eastAsia="cs-CZ"/>
        </w:rPr>
        <w:t>veškerými platnými právními předpisy a příslušnými normami</w:t>
      </w:r>
      <w:r w:rsidRPr="006B1B30">
        <w:t>.</w:t>
      </w:r>
      <w:bookmarkEnd w:id="35"/>
    </w:p>
    <w:p w14:paraId="12865AE6" w14:textId="77777777" w:rsidR="00A7650B" w:rsidRPr="006B1B30" w:rsidRDefault="00A7650B" w:rsidP="00B80442">
      <w:pPr>
        <w:numPr>
          <w:ilvl w:val="1"/>
          <w:numId w:val="1"/>
        </w:numPr>
        <w:spacing w:before="240" w:after="60"/>
        <w:ind w:left="567" w:right="0" w:hanging="567"/>
        <w:jc w:val="both"/>
        <w:rPr>
          <w:rFonts w:eastAsia="Times New Roman" w:cs="Arial"/>
          <w:bCs/>
          <w:kern w:val="28"/>
          <w:lang w:eastAsia="cs-CZ"/>
        </w:rPr>
      </w:pPr>
      <w:bookmarkStart w:id="36" w:name="_Ref47353420"/>
      <w:r w:rsidRPr="006B1B30">
        <w:t>Poskytovatel prohlašuje, že disponuje veškerými potřebnými povoleními a oprávněními k poskytování Služeb v souladu s právními předpisy.</w:t>
      </w:r>
      <w:bookmarkEnd w:id="36"/>
    </w:p>
    <w:p w14:paraId="4759D4F0" w14:textId="77777777" w:rsidR="00A7650B" w:rsidRPr="006B1B30" w:rsidRDefault="00A7650B" w:rsidP="00B80442">
      <w:pPr>
        <w:numPr>
          <w:ilvl w:val="1"/>
          <w:numId w:val="1"/>
        </w:numPr>
        <w:spacing w:before="240" w:after="60"/>
        <w:ind w:left="567" w:right="0" w:hanging="567"/>
        <w:jc w:val="both"/>
        <w:rPr>
          <w:rFonts w:eastAsia="Times New Roman" w:cs="Arial"/>
          <w:bCs/>
          <w:kern w:val="28"/>
          <w:lang w:eastAsia="cs-CZ"/>
        </w:rPr>
      </w:pPr>
      <w:r w:rsidRPr="006B1B30">
        <w:rPr>
          <w:rFonts w:eastAsia="Times New Roman" w:cs="Arial"/>
          <w:bCs/>
          <w:kern w:val="28"/>
          <w:lang w:eastAsia="cs-CZ"/>
        </w:rPr>
        <w:t>Poskytovatel odpovídá za škody vzniklé Objednateli nebo třetím osobám v souvislosti s poskytováním Služeb.</w:t>
      </w:r>
    </w:p>
    <w:p w14:paraId="5C4ADB8B" w14:textId="3FBC899A" w:rsidR="00A7650B" w:rsidRPr="006B1B30" w:rsidRDefault="00A7650B" w:rsidP="00B80442">
      <w:pPr>
        <w:numPr>
          <w:ilvl w:val="1"/>
          <w:numId w:val="1"/>
        </w:numPr>
        <w:spacing w:before="240" w:after="60"/>
        <w:ind w:left="567" w:right="0" w:hanging="567"/>
        <w:jc w:val="both"/>
        <w:rPr>
          <w:rFonts w:eastAsia="Times New Roman" w:cs="Arial"/>
          <w:bCs/>
          <w:kern w:val="28"/>
          <w:lang w:eastAsia="cs-CZ"/>
        </w:rPr>
      </w:pPr>
      <w:r w:rsidRPr="006B1B30">
        <w:rPr>
          <w:rFonts w:eastAsia="Times New Roman" w:cs="Arial"/>
          <w:bCs/>
          <w:kern w:val="28"/>
          <w:lang w:eastAsia="cs-CZ"/>
        </w:rPr>
        <w:t xml:space="preserve">Poskytovatel se zavazuje oznámit Objednateli veškeré </w:t>
      </w:r>
      <w:r w:rsidR="00213754" w:rsidRPr="006B1B30">
        <w:rPr>
          <w:rFonts w:eastAsia="Times New Roman" w:cs="Arial"/>
          <w:bCs/>
          <w:kern w:val="28"/>
          <w:lang w:eastAsia="cs-CZ"/>
        </w:rPr>
        <w:t>je</w:t>
      </w:r>
      <w:r w:rsidRPr="006B1B30">
        <w:rPr>
          <w:rFonts w:eastAsia="Times New Roman" w:cs="Arial"/>
          <w:bCs/>
          <w:kern w:val="28"/>
          <w:lang w:eastAsia="cs-CZ"/>
        </w:rPr>
        <w:t>mu známé skutečnosti, které mají nebo</w:t>
      </w:r>
      <w:r w:rsidR="00455359">
        <w:rPr>
          <w:rFonts w:eastAsia="Times New Roman" w:cs="Arial"/>
          <w:bCs/>
          <w:kern w:val="28"/>
          <w:lang w:eastAsia="cs-CZ"/>
        </w:rPr>
        <w:t> </w:t>
      </w:r>
      <w:r w:rsidRPr="006B1B30">
        <w:rPr>
          <w:rFonts w:eastAsia="Times New Roman" w:cs="Arial"/>
          <w:bCs/>
          <w:kern w:val="28"/>
          <w:lang w:eastAsia="cs-CZ"/>
        </w:rPr>
        <w:t>mohou mít vliv na řádné a/nebo včasné poskytování Služeb, jakožto i upozornit Objednatele na</w:t>
      </w:r>
      <w:r w:rsidR="00F60F17" w:rsidRPr="006B1B30">
        <w:rPr>
          <w:rFonts w:eastAsia="Times New Roman" w:cs="Arial"/>
          <w:bCs/>
          <w:kern w:val="28"/>
          <w:lang w:eastAsia="cs-CZ"/>
        </w:rPr>
        <w:t> </w:t>
      </w:r>
      <w:r w:rsidRPr="006B1B30">
        <w:rPr>
          <w:rFonts w:eastAsia="Times New Roman" w:cs="Arial"/>
          <w:bCs/>
          <w:kern w:val="28"/>
          <w:lang w:eastAsia="cs-CZ"/>
        </w:rPr>
        <w:t>případnou nevhodnost pokynů</w:t>
      </w:r>
      <w:r w:rsidR="00090C3D" w:rsidRPr="006B1B30">
        <w:rPr>
          <w:rFonts w:eastAsia="Times New Roman" w:cs="Arial"/>
          <w:bCs/>
          <w:kern w:val="28"/>
          <w:lang w:eastAsia="cs-CZ"/>
        </w:rPr>
        <w:t xml:space="preserve"> Objednatele</w:t>
      </w:r>
      <w:r w:rsidRPr="006B1B30">
        <w:rPr>
          <w:rFonts w:eastAsia="Times New Roman" w:cs="Arial"/>
          <w:bCs/>
          <w:kern w:val="28"/>
          <w:lang w:eastAsia="cs-CZ"/>
        </w:rPr>
        <w:t>.</w:t>
      </w:r>
    </w:p>
    <w:p w14:paraId="3ED553F7" w14:textId="3F9C97D1" w:rsidR="00EE74CB" w:rsidRPr="006B1B30" w:rsidRDefault="00A32536">
      <w:pPr>
        <w:pStyle w:val="Nadpisy"/>
      </w:pPr>
      <w:bookmarkStart w:id="37" w:name="_Toc55934500"/>
      <w:bookmarkStart w:id="38" w:name="_Ref47293113"/>
      <w:r w:rsidRPr="00A32536">
        <w:t>Porušení smluvních povinností</w:t>
      </w:r>
      <w:bookmarkEnd w:id="37"/>
    </w:p>
    <w:p w14:paraId="1902F6DC" w14:textId="02E9598F" w:rsidR="00EE74CB" w:rsidRPr="00ED53FE" w:rsidRDefault="00B80F8A" w:rsidP="00EE74CB">
      <w:pPr>
        <w:numPr>
          <w:ilvl w:val="1"/>
          <w:numId w:val="1"/>
        </w:numPr>
        <w:spacing w:before="240" w:after="60"/>
        <w:ind w:left="567" w:right="0" w:hanging="567"/>
        <w:jc w:val="both"/>
        <w:rPr>
          <w:rFonts w:eastAsia="Times New Roman" w:cs="Arial"/>
          <w:bCs/>
          <w:kern w:val="28"/>
          <w:lang w:eastAsia="cs-CZ"/>
        </w:rPr>
      </w:pPr>
      <w:r w:rsidRPr="00B80F8A">
        <w:t xml:space="preserve">V případě prodlení Poskytovatele s řádným a včasným poskytováním Služeb v rozsahu a kvalitě odpovídající této Smlouvě (zejména čl. </w:t>
      </w:r>
      <w:r>
        <w:fldChar w:fldCharType="begin"/>
      </w:r>
      <w:r>
        <w:instrText xml:space="preserve"> REF _Ref47357591 \r \h </w:instrText>
      </w:r>
      <w:r>
        <w:fldChar w:fldCharType="separate"/>
      </w:r>
      <w:r w:rsidR="00C9005D">
        <w:t>1</w:t>
      </w:r>
      <w:r>
        <w:fldChar w:fldCharType="end"/>
      </w:r>
      <w:r w:rsidRPr="00B80F8A">
        <w:t xml:space="preserve"> a čl. </w:t>
      </w:r>
      <w:r>
        <w:fldChar w:fldCharType="begin"/>
      </w:r>
      <w:r>
        <w:instrText xml:space="preserve"> REF _Ref55222835 \r \h </w:instrText>
      </w:r>
      <w:r>
        <w:fldChar w:fldCharType="separate"/>
      </w:r>
      <w:r w:rsidR="00C9005D">
        <w:t>6.2</w:t>
      </w:r>
      <w:r>
        <w:fldChar w:fldCharType="end"/>
      </w:r>
      <w:r>
        <w:t xml:space="preserve"> </w:t>
      </w:r>
      <w:r w:rsidRPr="00B80F8A">
        <w:t>této Smlouvy) náleží Objednateli práva z</w:t>
      </w:r>
      <w:r w:rsidR="00ED53FE">
        <w:t> </w:t>
      </w:r>
      <w:r w:rsidRPr="00B80F8A">
        <w:t>vadného plnění a/nebo právo na náhradu škody dle platných a účinných právních předpisů</w:t>
      </w:r>
      <w:r w:rsidR="00B4394D">
        <w:t xml:space="preserve"> a/nebo</w:t>
      </w:r>
      <w:r w:rsidRPr="00B80F8A">
        <w:t xml:space="preserve"> náhrada vynaložených nákladů Objednatele pro případy, kdy Poskytovatel nebude schopen zajistit dodávku Služeb v rozsahu a kvalitě odpovídající této Smlouvě (zejména čl. </w:t>
      </w:r>
      <w:r>
        <w:fldChar w:fldCharType="begin"/>
      </w:r>
      <w:r>
        <w:instrText xml:space="preserve"> REF _Ref47357591 \r \h </w:instrText>
      </w:r>
      <w:r>
        <w:fldChar w:fldCharType="separate"/>
      </w:r>
      <w:r w:rsidR="00C9005D">
        <w:t>1</w:t>
      </w:r>
      <w:r>
        <w:fldChar w:fldCharType="end"/>
      </w:r>
      <w:r>
        <w:t xml:space="preserve"> </w:t>
      </w:r>
      <w:r w:rsidRPr="00B80F8A">
        <w:t>a</w:t>
      </w:r>
      <w:r w:rsidR="00B4394D">
        <w:t> </w:t>
      </w:r>
      <w:r w:rsidRPr="00B80F8A">
        <w:t>čl.</w:t>
      </w:r>
      <w:r w:rsidR="00B4394D">
        <w:t> </w:t>
      </w:r>
      <w:r>
        <w:fldChar w:fldCharType="begin"/>
      </w:r>
      <w:r>
        <w:instrText xml:space="preserve"> REF _Ref55222835 \r \h </w:instrText>
      </w:r>
      <w:r>
        <w:fldChar w:fldCharType="separate"/>
      </w:r>
      <w:r w:rsidR="00C9005D">
        <w:t>6.2</w:t>
      </w:r>
      <w:r>
        <w:fldChar w:fldCharType="end"/>
      </w:r>
      <w:r>
        <w:t xml:space="preserve"> </w:t>
      </w:r>
      <w:r w:rsidRPr="00B80F8A">
        <w:t xml:space="preserve">této Smlouvy) </w:t>
      </w:r>
      <w:r w:rsidR="00B4394D">
        <w:t>a</w:t>
      </w:r>
      <w:r w:rsidRPr="00B80F8A">
        <w:t xml:space="preserve"> Objednatel </w:t>
      </w:r>
      <w:r w:rsidR="00B4394D">
        <w:t>by v takovém případě zajistil</w:t>
      </w:r>
      <w:r w:rsidRPr="00B80F8A">
        <w:t xml:space="preserve"> řádné a včasné poskytnutí Služeb třetí osobou.</w:t>
      </w:r>
    </w:p>
    <w:p w14:paraId="1E9CF7F8" w14:textId="46DD3C2F" w:rsidR="00ED53FE" w:rsidRDefault="00B4394D" w:rsidP="00EE74CB">
      <w:pPr>
        <w:numPr>
          <w:ilvl w:val="1"/>
          <w:numId w:val="1"/>
        </w:numPr>
        <w:spacing w:before="240" w:after="60"/>
        <w:ind w:left="567" w:right="0" w:hanging="567"/>
        <w:jc w:val="both"/>
        <w:rPr>
          <w:rFonts w:eastAsia="Times New Roman" w:cs="Arial"/>
          <w:bCs/>
          <w:kern w:val="28"/>
          <w:lang w:eastAsia="cs-CZ"/>
        </w:rPr>
      </w:pPr>
      <w:r w:rsidRPr="00B4394D">
        <w:rPr>
          <w:rFonts w:eastAsia="Times New Roman" w:cs="Arial"/>
          <w:bCs/>
          <w:kern w:val="28"/>
          <w:lang w:eastAsia="cs-CZ"/>
        </w:rPr>
        <w:t xml:space="preserve">Na odpovědnost Poskytovatele z případného vadného plnění se použijí příslušná ustanovení </w:t>
      </w:r>
      <w:r>
        <w:rPr>
          <w:rFonts w:eastAsia="Times New Roman" w:cs="Arial"/>
          <w:bCs/>
          <w:kern w:val="28"/>
          <w:lang w:eastAsia="cs-CZ"/>
        </w:rPr>
        <w:t>O</w:t>
      </w:r>
      <w:r w:rsidRPr="00B4394D">
        <w:rPr>
          <w:rFonts w:eastAsia="Times New Roman" w:cs="Arial"/>
          <w:bCs/>
          <w:kern w:val="28"/>
          <w:lang w:eastAsia="cs-CZ"/>
        </w:rPr>
        <w:t>bčanského zákoníku (</w:t>
      </w:r>
      <w:r>
        <w:rPr>
          <w:rFonts w:eastAsia="Times New Roman" w:cs="Arial"/>
          <w:bCs/>
          <w:kern w:val="28"/>
          <w:lang w:eastAsia="cs-CZ"/>
        </w:rPr>
        <w:t xml:space="preserve">ustanovení </w:t>
      </w:r>
      <w:r w:rsidRPr="00B4394D">
        <w:rPr>
          <w:rFonts w:eastAsia="Times New Roman" w:cs="Arial"/>
          <w:bCs/>
          <w:kern w:val="28"/>
          <w:lang w:eastAsia="cs-CZ"/>
        </w:rPr>
        <w:t>§ 1914 a násl. Občanského zákoníku) s tím, že Smluvní strany si (odlišně např. od ustanovení § 1921 a § 1922 Občanského zákoníku) ujednaly, že Objednatel vytkne vadu včas (čímž mu budou zachována práva z vadného plnění) za podmínky, že</w:t>
      </w:r>
      <w:r w:rsidR="00425DBA">
        <w:rPr>
          <w:rFonts w:eastAsia="Times New Roman" w:cs="Arial"/>
          <w:bCs/>
          <w:kern w:val="28"/>
          <w:lang w:eastAsia="cs-CZ"/>
        </w:rPr>
        <w:t> </w:t>
      </w:r>
      <w:r w:rsidR="00425DBA" w:rsidRPr="00B4394D">
        <w:rPr>
          <w:rFonts w:eastAsia="Times New Roman" w:cs="Arial"/>
          <w:bCs/>
          <w:kern w:val="28"/>
          <w:lang w:eastAsia="cs-CZ"/>
        </w:rPr>
        <w:t>Poskytovateli</w:t>
      </w:r>
      <w:r w:rsidRPr="00B4394D">
        <w:rPr>
          <w:rFonts w:eastAsia="Times New Roman" w:cs="Arial"/>
          <w:bCs/>
          <w:kern w:val="28"/>
          <w:lang w:eastAsia="cs-CZ"/>
        </w:rPr>
        <w:t xml:space="preserve"> vytkne vadné plnění v době alespoň </w:t>
      </w:r>
      <w:r w:rsidR="004E59F1">
        <w:rPr>
          <w:rFonts w:eastAsia="Times New Roman" w:cs="Arial"/>
          <w:bCs/>
          <w:kern w:val="28"/>
          <w:lang w:eastAsia="cs-CZ"/>
        </w:rPr>
        <w:t>šesti</w:t>
      </w:r>
      <w:r w:rsidRPr="00B4394D">
        <w:rPr>
          <w:rFonts w:eastAsia="Times New Roman" w:cs="Arial"/>
          <w:bCs/>
          <w:kern w:val="28"/>
          <w:lang w:eastAsia="cs-CZ"/>
        </w:rPr>
        <w:t xml:space="preserve"> (</w:t>
      </w:r>
      <w:r w:rsidR="004E59F1">
        <w:rPr>
          <w:rFonts w:eastAsia="Times New Roman" w:cs="Arial"/>
          <w:bCs/>
          <w:kern w:val="28"/>
          <w:lang w:eastAsia="cs-CZ"/>
        </w:rPr>
        <w:t>6</w:t>
      </w:r>
      <w:r w:rsidRPr="00B4394D">
        <w:rPr>
          <w:rFonts w:eastAsia="Times New Roman" w:cs="Arial"/>
          <w:bCs/>
          <w:kern w:val="28"/>
          <w:lang w:eastAsia="cs-CZ"/>
        </w:rPr>
        <w:t xml:space="preserve">) </w:t>
      </w:r>
      <w:r w:rsidR="004E59F1">
        <w:rPr>
          <w:rFonts w:eastAsia="Times New Roman" w:cs="Arial"/>
          <w:bCs/>
          <w:kern w:val="28"/>
          <w:lang w:eastAsia="cs-CZ"/>
        </w:rPr>
        <w:t>týdn</w:t>
      </w:r>
      <w:r w:rsidRPr="00B4394D">
        <w:rPr>
          <w:rFonts w:eastAsia="Times New Roman" w:cs="Arial"/>
          <w:bCs/>
          <w:kern w:val="28"/>
          <w:lang w:eastAsia="cs-CZ"/>
        </w:rPr>
        <w:t>ů od poskytnutí dané Služby, které se vytknutí vady týká, nebude-li z platných a účinných právních předpisů vyplývat delší lhůta k vytknutí vad</w:t>
      </w:r>
      <w:r>
        <w:rPr>
          <w:rFonts w:eastAsia="Times New Roman" w:cs="Arial"/>
          <w:bCs/>
          <w:kern w:val="28"/>
          <w:lang w:eastAsia="cs-CZ"/>
        </w:rPr>
        <w:t>.</w:t>
      </w:r>
    </w:p>
    <w:p w14:paraId="21C51E61" w14:textId="77777777" w:rsidR="00A7650B" w:rsidRPr="006B1B30" w:rsidRDefault="00E86E13">
      <w:pPr>
        <w:pStyle w:val="Nadpisy"/>
      </w:pPr>
      <w:bookmarkStart w:id="39" w:name="_Ref47353200"/>
      <w:bookmarkStart w:id="40" w:name="_Toc55934501"/>
      <w:r w:rsidRPr="006B1B30">
        <w:t>Ukončení této Smlouvy</w:t>
      </w:r>
      <w:bookmarkEnd w:id="38"/>
      <w:bookmarkEnd w:id="39"/>
      <w:bookmarkEnd w:id="40"/>
    </w:p>
    <w:p w14:paraId="222B3B84" w14:textId="77777777" w:rsidR="00336D1F" w:rsidRPr="006B1B30" w:rsidRDefault="005A685C" w:rsidP="006F0549">
      <w:pPr>
        <w:numPr>
          <w:ilvl w:val="1"/>
          <w:numId w:val="1"/>
        </w:numPr>
        <w:spacing w:before="240" w:after="60"/>
        <w:ind w:left="567" w:right="0" w:hanging="567"/>
        <w:jc w:val="both"/>
        <w:rPr>
          <w:rFonts w:eastAsia="Times New Roman" w:cs="Arial"/>
          <w:bCs/>
          <w:kern w:val="28"/>
          <w:lang w:eastAsia="cs-CZ"/>
        </w:rPr>
      </w:pPr>
      <w:r w:rsidRPr="006B1B30">
        <w:t xml:space="preserve">Smluvní strany shodně prohlašují, že k uzavření této Smlouvy přistupují s úmyslem vytvořit co nejstabilnější a co nejdlouhodobější uspořádání svých vzájemných vztahů, zejména s ohledem na nezbytnost nalezení stabilních právních titulů pro fungování </w:t>
      </w:r>
      <w:r w:rsidR="004D23AF" w:rsidRPr="006B1B30">
        <w:t xml:space="preserve">obchodního </w:t>
      </w:r>
      <w:r w:rsidRPr="006B1B30">
        <w:t>vztahu dle</w:t>
      </w:r>
      <w:r w:rsidR="00473055" w:rsidRPr="006B1B30">
        <w:t> </w:t>
      </w:r>
      <w:r w:rsidRPr="006B1B30">
        <w:t>této Smlouvy je pro Smluvní strany esenciálně důležité, aby tato Smlouva trvala po celou dobu jejího smluvně stanoveného trvání a aby nezanikla žádným jiným způsobem, než jaký výslovně stanoví tato Smlouva, tj. (i) výslovně si přejí jakákoli porušení jednotlivých práv a</w:t>
      </w:r>
      <w:r w:rsidR="002E71A6" w:rsidRPr="006B1B30">
        <w:t> </w:t>
      </w:r>
      <w:r w:rsidRPr="006B1B30">
        <w:t xml:space="preserve">povinností jednotlivých Smluvních stran z této </w:t>
      </w:r>
      <w:r w:rsidR="002E71A6" w:rsidRPr="006B1B30">
        <w:t>Smlouvy</w:t>
      </w:r>
      <w:r w:rsidRPr="006B1B30">
        <w:t xml:space="preserve"> vyplývajících řešit právě a pouze způsoby, které tato Smlouva výslovně uvádí, a (</w:t>
      </w:r>
      <w:proofErr w:type="spellStart"/>
      <w:r w:rsidRPr="006B1B30">
        <w:t>ii</w:t>
      </w:r>
      <w:proofErr w:type="spellEnd"/>
      <w:r w:rsidRPr="006B1B30">
        <w:t xml:space="preserve">) v maximální možné míře eliminovat a vyloučit jakákoli práva Smluvních stran </w:t>
      </w:r>
      <w:bookmarkStart w:id="41" w:name="_Hlk500024808"/>
      <w:r w:rsidRPr="006B1B30">
        <w:t>od této Smlouvy odstoupit, vypovědět ji a/nebo ji jiným způsobem ukončit, či žádat o její ukončení soudem a/nebo jiným orgánem veřejné moci</w:t>
      </w:r>
      <w:bookmarkEnd w:id="41"/>
      <w:r w:rsidRPr="006B1B30">
        <w:t xml:space="preserve">, pročež tímto vylučují použití všech dispozitivních ustanovení právních předpisů, která by jinak mohla založit právo kterékoli ze Smluvních stran odstoupit od této </w:t>
      </w:r>
      <w:r w:rsidR="007434F3" w:rsidRPr="006B1B30">
        <w:t>Smlouvy</w:t>
      </w:r>
      <w:r w:rsidRPr="006B1B30">
        <w:t xml:space="preserve">, a to zejména, nikoli však výlučně, ustanovení § 1977, § 1978, § 1979, § 1980, § 1998, § 1999 odst. 1, § 2000, </w:t>
      </w:r>
      <w:r w:rsidR="003F0AB8" w:rsidRPr="006B1B30">
        <w:t xml:space="preserve">§ 2001, </w:t>
      </w:r>
      <w:r w:rsidRPr="006B1B30">
        <w:lastRenderedPageBreak/>
        <w:t>§</w:t>
      </w:r>
      <w:r w:rsidR="003F0AB8" w:rsidRPr="006B1B30">
        <w:t> </w:t>
      </w:r>
      <w:r w:rsidRPr="006B1B30">
        <w:t>2002</w:t>
      </w:r>
      <w:r w:rsidR="00493661" w:rsidRPr="006B1B30">
        <w:t>,</w:t>
      </w:r>
      <w:r w:rsidR="002309BE" w:rsidRPr="006B1B30">
        <w:t> </w:t>
      </w:r>
      <w:r w:rsidRPr="006B1B30">
        <w:t>§</w:t>
      </w:r>
      <w:r w:rsidR="002309BE" w:rsidRPr="006B1B30">
        <w:t> </w:t>
      </w:r>
      <w:r w:rsidRPr="006B1B30">
        <w:t>2003</w:t>
      </w:r>
      <w:r w:rsidR="00493661" w:rsidRPr="006B1B30">
        <w:t xml:space="preserve"> a § 2004</w:t>
      </w:r>
      <w:r w:rsidRPr="006B1B30">
        <w:t xml:space="preserve"> Občanského zákoníku. Stejně tak Smluvní strany vyjadřují vůli v</w:t>
      </w:r>
      <w:r w:rsidR="006F0549" w:rsidRPr="006B1B30">
        <w:t> </w:t>
      </w:r>
      <w:r w:rsidRPr="006B1B30">
        <w:t>maximální možné míře omezit aplikaci kogentních ustanovení zákonných předpisů, která by</w:t>
      </w:r>
      <w:r w:rsidR="006F0549" w:rsidRPr="006B1B30">
        <w:t> </w:t>
      </w:r>
      <w:r w:rsidRPr="006B1B30">
        <w:t>jinak mohla založit právo kterékoli ze Smluvních stran od této Smlouvy odstoupit, vypovědět ji a/nebo ji jiným způsobem ukončit, či žádat o její ukončení soudem a/nebo jiným orgánem veřejné moci.</w:t>
      </w:r>
    </w:p>
    <w:p w14:paraId="6F970D58" w14:textId="35DE8105" w:rsidR="00292DCA" w:rsidRPr="006B1B30" w:rsidRDefault="00292DCA" w:rsidP="006F0549">
      <w:pPr>
        <w:numPr>
          <w:ilvl w:val="1"/>
          <w:numId w:val="1"/>
        </w:numPr>
        <w:spacing w:before="240" w:after="60"/>
        <w:ind w:left="567" w:right="0" w:hanging="567"/>
        <w:jc w:val="both"/>
        <w:rPr>
          <w:rFonts w:eastAsia="Times New Roman" w:cs="Arial"/>
          <w:bCs/>
          <w:kern w:val="28"/>
          <w:lang w:eastAsia="cs-CZ"/>
        </w:rPr>
      </w:pPr>
      <w:r w:rsidRPr="006B1B30">
        <w:t xml:space="preserve">Smluvní strany prohlašují, že tato Smlouva je uzavřena v dobré víře na dobu delší deseti (10) let z relevantních důvodů uvedených zejména v tomto čl. </w:t>
      </w:r>
      <w:r w:rsidR="00AD37F6">
        <w:fldChar w:fldCharType="begin"/>
      </w:r>
      <w:r w:rsidR="00AD37F6">
        <w:instrText xml:space="preserve"> REF _Ref47353200 \r \h </w:instrText>
      </w:r>
      <w:r w:rsidR="00AD37F6">
        <w:fldChar w:fldCharType="separate"/>
      </w:r>
      <w:r w:rsidR="00C9005D">
        <w:t>8</w:t>
      </w:r>
      <w:r w:rsidR="00AD37F6">
        <w:fldChar w:fldCharType="end"/>
      </w:r>
      <w:r w:rsidRPr="006B1B30">
        <w:t xml:space="preserve"> této Smlouvy; z tohoto důvodu nepovažují za souladné se zásadou poctivosti, pokud by se kterákoli ze Smluvních stran domáhala zrušení právního vztahu založeného touto Smlouvou s poukazem na ustanovení § 2000 Občanského zákoníku nebo jiné ustanovení právních předpisů.</w:t>
      </w:r>
    </w:p>
    <w:p w14:paraId="10E7D35F" w14:textId="77777777" w:rsidR="00802801" w:rsidRPr="006B1B30" w:rsidRDefault="003B7549" w:rsidP="006F0549">
      <w:pPr>
        <w:numPr>
          <w:ilvl w:val="1"/>
          <w:numId w:val="1"/>
        </w:numPr>
        <w:spacing w:before="240" w:after="60"/>
        <w:ind w:left="567" w:right="0" w:hanging="567"/>
        <w:jc w:val="both"/>
        <w:rPr>
          <w:rFonts w:eastAsia="Times New Roman" w:cs="Arial"/>
          <w:bCs/>
          <w:kern w:val="28"/>
          <w:lang w:eastAsia="cs-CZ"/>
        </w:rPr>
      </w:pPr>
      <w:r w:rsidRPr="006B1B30">
        <w:t xml:space="preserve">Objednatel a Poskytovatel se výslovně dohodli, že </w:t>
      </w:r>
      <w:r w:rsidR="00451CCA" w:rsidRPr="006B1B30">
        <w:t>tato Smlouva</w:t>
      </w:r>
      <w:r w:rsidRPr="006B1B30">
        <w:t xml:space="preserve"> může být ukončen</w:t>
      </w:r>
      <w:r w:rsidR="00451CCA" w:rsidRPr="006B1B30">
        <w:t>a</w:t>
      </w:r>
      <w:r w:rsidRPr="006B1B30">
        <w:t xml:space="preserve"> výlučně jedním z následujících způsobů:</w:t>
      </w:r>
    </w:p>
    <w:p w14:paraId="28A4944B" w14:textId="77777777" w:rsidR="003B7549" w:rsidRPr="006B1B30" w:rsidRDefault="00AB624D" w:rsidP="003B7549">
      <w:pPr>
        <w:pStyle w:val="Nadpis3-BS"/>
        <w:numPr>
          <w:ilvl w:val="2"/>
          <w:numId w:val="1"/>
        </w:numPr>
        <w:ind w:left="1276" w:hanging="709"/>
      </w:pPr>
      <w:r w:rsidRPr="006B1B30">
        <w:rPr>
          <w:rFonts w:cstheme="minorHAnsi"/>
        </w:rPr>
        <w:t>dohodou Smluvních stran; a/nebo</w:t>
      </w:r>
    </w:p>
    <w:p w14:paraId="4CD9BE3D" w14:textId="45749825" w:rsidR="00AB624D" w:rsidRPr="006B1B30" w:rsidRDefault="00AB624D" w:rsidP="003B7549">
      <w:pPr>
        <w:pStyle w:val="Nadpis3-BS"/>
        <w:numPr>
          <w:ilvl w:val="2"/>
          <w:numId w:val="1"/>
        </w:numPr>
        <w:ind w:left="1276" w:hanging="709"/>
      </w:pPr>
      <w:r w:rsidRPr="006B1B30">
        <w:rPr>
          <w:rFonts w:cstheme="minorHAnsi"/>
        </w:rPr>
        <w:t xml:space="preserve">odstoupením od </w:t>
      </w:r>
      <w:r w:rsidRPr="006B1B30">
        <w:t xml:space="preserve">této Smlouvy </w:t>
      </w:r>
      <w:r w:rsidRPr="006B1B30">
        <w:rPr>
          <w:rFonts w:cstheme="minorHAnsi"/>
        </w:rPr>
        <w:t xml:space="preserve">dle čl. </w:t>
      </w:r>
      <w:r w:rsidR="00515AD6" w:rsidRPr="006B1B30">
        <w:rPr>
          <w:rFonts w:cstheme="minorHAnsi"/>
        </w:rPr>
        <w:fldChar w:fldCharType="begin"/>
      </w:r>
      <w:r w:rsidR="00515AD6" w:rsidRPr="006B1B30">
        <w:rPr>
          <w:rFonts w:cstheme="minorHAnsi"/>
        </w:rPr>
        <w:instrText xml:space="preserve"> REF _Ref47349690 \r \h </w:instrText>
      </w:r>
      <w:r w:rsidR="00515AD6" w:rsidRPr="006B1B30">
        <w:rPr>
          <w:rFonts w:cstheme="minorHAnsi"/>
        </w:rPr>
      </w:r>
      <w:r w:rsidR="00515AD6" w:rsidRPr="006B1B30">
        <w:rPr>
          <w:rFonts w:cstheme="minorHAnsi"/>
        </w:rPr>
        <w:fldChar w:fldCharType="separate"/>
      </w:r>
      <w:r w:rsidR="00C9005D">
        <w:rPr>
          <w:rFonts w:cstheme="minorHAnsi"/>
        </w:rPr>
        <w:t>8.4</w:t>
      </w:r>
      <w:r w:rsidR="00515AD6" w:rsidRPr="006B1B30">
        <w:rPr>
          <w:rFonts w:cstheme="minorHAnsi"/>
        </w:rPr>
        <w:fldChar w:fldCharType="end"/>
      </w:r>
      <w:r w:rsidR="00515AD6" w:rsidRPr="006B1B30">
        <w:rPr>
          <w:rFonts w:cstheme="minorHAnsi"/>
        </w:rPr>
        <w:t xml:space="preserve"> a </w:t>
      </w:r>
      <w:r w:rsidR="00515AD6" w:rsidRPr="006B1B30">
        <w:rPr>
          <w:rFonts w:cstheme="minorHAnsi"/>
        </w:rPr>
        <w:fldChar w:fldCharType="begin"/>
      </w:r>
      <w:r w:rsidR="00515AD6" w:rsidRPr="006B1B30">
        <w:rPr>
          <w:rFonts w:cstheme="minorHAnsi"/>
        </w:rPr>
        <w:instrText xml:space="preserve"> REF _Ref47349693 \r \h </w:instrText>
      </w:r>
      <w:r w:rsidR="00515AD6" w:rsidRPr="006B1B30">
        <w:rPr>
          <w:rFonts w:cstheme="minorHAnsi"/>
        </w:rPr>
      </w:r>
      <w:r w:rsidR="00515AD6" w:rsidRPr="006B1B30">
        <w:rPr>
          <w:rFonts w:cstheme="minorHAnsi"/>
        </w:rPr>
        <w:fldChar w:fldCharType="separate"/>
      </w:r>
      <w:r w:rsidR="00C9005D">
        <w:rPr>
          <w:rFonts w:cstheme="minorHAnsi"/>
        </w:rPr>
        <w:t>8.5</w:t>
      </w:r>
      <w:r w:rsidR="00515AD6" w:rsidRPr="006B1B30">
        <w:rPr>
          <w:rFonts w:cstheme="minorHAnsi"/>
        </w:rPr>
        <w:fldChar w:fldCharType="end"/>
      </w:r>
      <w:r w:rsidRPr="006B1B30">
        <w:rPr>
          <w:rFonts w:cstheme="minorHAnsi"/>
        </w:rPr>
        <w:t xml:space="preserve"> této Smlouvy; a/nebo</w:t>
      </w:r>
    </w:p>
    <w:p w14:paraId="5863FE74" w14:textId="77777777" w:rsidR="00AB624D" w:rsidRPr="006B1B30" w:rsidRDefault="00AB624D" w:rsidP="003B7549">
      <w:pPr>
        <w:pStyle w:val="Nadpis3-BS"/>
        <w:numPr>
          <w:ilvl w:val="2"/>
          <w:numId w:val="1"/>
        </w:numPr>
        <w:ind w:left="1276" w:hanging="709"/>
      </w:pPr>
      <w:r w:rsidRPr="006B1B30">
        <w:rPr>
          <w:rFonts w:cstheme="minorHAnsi"/>
        </w:rPr>
        <w:t xml:space="preserve">výpovědí ze strany Poskytovatele, přičemž Poskytovatel je oprávněn tuto Smlouvu vypovědět výhradně tehdy, pokud dojde k zániku Akcionářské dohody z důvodů odstoupení SMP od Akcionářské dohody z důvodu kteréhokoli z Případů podstatného porušení Dohody Investorem </w:t>
      </w:r>
      <w:r w:rsidRPr="006B1B30">
        <w:rPr>
          <w:rFonts w:cstheme="minorHAnsi"/>
          <w:i/>
          <w:iCs/>
        </w:rPr>
        <w:t>(jak je tento pojem definován v čl. 13.3. Akcionářské dohody)</w:t>
      </w:r>
      <w:r w:rsidRPr="006B1B30">
        <w:rPr>
          <w:rFonts w:cstheme="minorHAnsi"/>
        </w:rPr>
        <w:t>, tj. poruší-li Investor Akcionářskou dohodu takovým způsobem, že naplní některý z důvodů podstatného porušení Akcionářské dohody uvedeného v čl. 13.3. Akcionářské dohody.</w:t>
      </w:r>
    </w:p>
    <w:p w14:paraId="0F258F3F" w14:textId="77777777" w:rsidR="00424F18" w:rsidRPr="006B1B30" w:rsidRDefault="00424F18" w:rsidP="00424F18">
      <w:pPr>
        <w:numPr>
          <w:ilvl w:val="1"/>
          <w:numId w:val="1"/>
        </w:numPr>
        <w:spacing w:before="240" w:after="60"/>
        <w:ind w:left="567" w:right="0" w:hanging="567"/>
        <w:jc w:val="both"/>
        <w:rPr>
          <w:rFonts w:eastAsia="Times New Roman" w:cs="Arial"/>
          <w:bCs/>
          <w:kern w:val="28"/>
          <w:lang w:eastAsia="cs-CZ"/>
        </w:rPr>
      </w:pPr>
      <w:bookmarkStart w:id="42" w:name="_Ref47349690"/>
      <w:r w:rsidRPr="006B1B30">
        <w:t xml:space="preserve">Objednatel </w:t>
      </w:r>
      <w:r w:rsidRPr="006B1B30">
        <w:rPr>
          <w:rFonts w:cstheme="minorHAnsi"/>
        </w:rPr>
        <w:t xml:space="preserve">je oprávněn od </w:t>
      </w:r>
      <w:r w:rsidRPr="006B1B30">
        <w:t xml:space="preserve">této Smlouvy </w:t>
      </w:r>
      <w:r w:rsidRPr="006B1B30">
        <w:rPr>
          <w:rFonts w:cstheme="minorHAnsi"/>
        </w:rPr>
        <w:t>odstoupit</w:t>
      </w:r>
      <w:r w:rsidRPr="006B1B30">
        <w:t xml:space="preserve"> i před uplynutím ujednané doby</w:t>
      </w:r>
      <w:r w:rsidRPr="006B1B30">
        <w:rPr>
          <w:rFonts w:cstheme="minorHAnsi"/>
        </w:rPr>
        <w:t xml:space="preserve"> výlučně v případě, kdy </w:t>
      </w:r>
      <w:r w:rsidR="00FC4D0C" w:rsidRPr="006B1B30">
        <w:rPr>
          <w:rFonts w:cstheme="minorHAnsi"/>
        </w:rPr>
        <w:t>Poskytovatel</w:t>
      </w:r>
      <w:r w:rsidRPr="006B1B30">
        <w:rPr>
          <w:rFonts w:cstheme="minorHAnsi"/>
        </w:rPr>
        <w:t xml:space="preserve"> poruší svou povinnost vyplývající z </w:t>
      </w:r>
      <w:r w:rsidRPr="006B1B30">
        <w:t xml:space="preserve">této Smlouvy </w:t>
      </w:r>
      <w:r w:rsidRPr="006B1B30">
        <w:rPr>
          <w:rFonts w:cstheme="minorHAnsi"/>
        </w:rPr>
        <w:t xml:space="preserve">podstatným způsobem, a zároveň v dodatečné šedesátidenní (60denní) lhůtě od doručení výzvy </w:t>
      </w:r>
      <w:r w:rsidR="00C93119" w:rsidRPr="006B1B30">
        <w:t xml:space="preserve">Objednatele </w:t>
      </w:r>
      <w:r w:rsidRPr="006B1B30">
        <w:rPr>
          <w:rFonts w:cstheme="minorHAnsi"/>
        </w:rPr>
        <w:t xml:space="preserve">nezjedná nápravu. Za porušení </w:t>
      </w:r>
      <w:r w:rsidRPr="006B1B30">
        <w:t xml:space="preserve">této Smlouvy </w:t>
      </w:r>
      <w:r w:rsidRPr="006B1B30">
        <w:rPr>
          <w:rFonts w:cstheme="minorHAnsi"/>
        </w:rPr>
        <w:t>podstatným způsobem se považují výlučně následující případy:</w:t>
      </w:r>
      <w:bookmarkEnd w:id="42"/>
    </w:p>
    <w:p w14:paraId="2EF514F7" w14:textId="77777777" w:rsidR="00424F18" w:rsidRPr="006B1B30" w:rsidRDefault="00C93119" w:rsidP="00424F18">
      <w:pPr>
        <w:pStyle w:val="Nadpis3-BS"/>
        <w:numPr>
          <w:ilvl w:val="2"/>
          <w:numId w:val="1"/>
        </w:numPr>
        <w:ind w:left="1276" w:hanging="709"/>
      </w:pPr>
      <w:r w:rsidRPr="006B1B30">
        <w:t>přestane-li být Poskytovatel z objektivních důvodů způsobilý k</w:t>
      </w:r>
      <w:r w:rsidR="005F502D" w:rsidRPr="006B1B30">
        <w:t> poskytování Služeb</w:t>
      </w:r>
      <w:r w:rsidRPr="006B1B30">
        <w:t>, a</w:t>
      </w:r>
      <w:r w:rsidR="005F502D" w:rsidRPr="006B1B30">
        <w:t xml:space="preserve"> Poskytovatel </w:t>
      </w:r>
      <w:r w:rsidRPr="006B1B30">
        <w:t xml:space="preserve">nezajistí </w:t>
      </w:r>
      <w:r w:rsidR="005F502D" w:rsidRPr="006B1B30">
        <w:t xml:space="preserve">Objednateli Služby </w:t>
      </w:r>
      <w:r w:rsidRPr="006B1B30">
        <w:t>náhradní</w:t>
      </w:r>
      <w:r w:rsidR="005F502D" w:rsidRPr="006B1B30">
        <w:t xml:space="preserve">m způsobem </w:t>
      </w:r>
      <w:r w:rsidRPr="006B1B30">
        <w:t xml:space="preserve">za obdobných smluvních podmínek, zejména stran </w:t>
      </w:r>
      <w:r w:rsidR="00CF646F" w:rsidRPr="006B1B30">
        <w:t>Odměny</w:t>
      </w:r>
      <w:r w:rsidRPr="006B1B30">
        <w:t>; a/nebo</w:t>
      </w:r>
    </w:p>
    <w:p w14:paraId="0B322099" w14:textId="77777777" w:rsidR="00424F18" w:rsidRPr="006B1B30" w:rsidRDefault="0012755D" w:rsidP="00424F18">
      <w:pPr>
        <w:pStyle w:val="Nadpis3-BS"/>
        <w:numPr>
          <w:ilvl w:val="2"/>
          <w:numId w:val="1"/>
        </w:numPr>
        <w:ind w:left="1276" w:hanging="709"/>
      </w:pPr>
      <w:r w:rsidRPr="006B1B30">
        <w:t>soud prohlásil úpadek Poskytovatele nebo bylo pravomocně zahájeno likvidační řízení ohledně Poskytovatele.</w:t>
      </w:r>
    </w:p>
    <w:p w14:paraId="1D195165" w14:textId="77777777" w:rsidR="00573DD3" w:rsidRPr="006B1B30" w:rsidRDefault="00573DD3" w:rsidP="00573DD3">
      <w:pPr>
        <w:numPr>
          <w:ilvl w:val="1"/>
          <w:numId w:val="1"/>
        </w:numPr>
        <w:spacing w:before="240" w:after="60"/>
        <w:ind w:left="567" w:right="0" w:hanging="567"/>
        <w:jc w:val="both"/>
        <w:rPr>
          <w:rFonts w:eastAsia="Times New Roman" w:cs="Arial"/>
          <w:bCs/>
          <w:kern w:val="28"/>
          <w:lang w:eastAsia="cs-CZ"/>
        </w:rPr>
      </w:pPr>
      <w:bookmarkStart w:id="43" w:name="_Ref47349693"/>
      <w:r w:rsidRPr="006B1B30">
        <w:t xml:space="preserve">Poskytovatel </w:t>
      </w:r>
      <w:r w:rsidRPr="006B1B30">
        <w:rPr>
          <w:rFonts w:cstheme="minorHAnsi"/>
        </w:rPr>
        <w:t xml:space="preserve">je oprávněn od </w:t>
      </w:r>
      <w:r w:rsidRPr="006B1B30">
        <w:t xml:space="preserve">této Smlouvy </w:t>
      </w:r>
      <w:r w:rsidRPr="006B1B30">
        <w:rPr>
          <w:rFonts w:cstheme="minorHAnsi"/>
        </w:rPr>
        <w:t>odstoupit</w:t>
      </w:r>
      <w:r w:rsidRPr="006B1B30">
        <w:t xml:space="preserve"> i před uplynutím ujednané doby</w:t>
      </w:r>
      <w:r w:rsidRPr="006B1B30">
        <w:rPr>
          <w:rFonts w:cstheme="minorHAnsi"/>
        </w:rPr>
        <w:t xml:space="preserve"> výlučně v případě, kdy </w:t>
      </w:r>
      <w:r w:rsidRPr="006B1B30">
        <w:t xml:space="preserve">Objednatel </w:t>
      </w:r>
      <w:r w:rsidRPr="006B1B30">
        <w:rPr>
          <w:rFonts w:cstheme="minorHAnsi"/>
        </w:rPr>
        <w:t xml:space="preserve">poruší svou povinnost vyplývající z </w:t>
      </w:r>
      <w:r w:rsidRPr="006B1B30">
        <w:t xml:space="preserve">této Smlouvy </w:t>
      </w:r>
      <w:r w:rsidRPr="006B1B30">
        <w:rPr>
          <w:rFonts w:cstheme="minorHAnsi"/>
        </w:rPr>
        <w:t xml:space="preserve">podstatným způsobem, a zároveň v dodatečné šedesátidenní (60denní) lhůtě od doručení výzvy </w:t>
      </w:r>
      <w:r w:rsidRPr="006B1B30">
        <w:t xml:space="preserve">Poskytovatele </w:t>
      </w:r>
      <w:r w:rsidRPr="006B1B30">
        <w:rPr>
          <w:rFonts w:cstheme="minorHAnsi"/>
        </w:rPr>
        <w:t xml:space="preserve">nezjedná nápravu. Za porušení </w:t>
      </w:r>
      <w:r w:rsidRPr="006B1B30">
        <w:t xml:space="preserve">této Smlouvy </w:t>
      </w:r>
      <w:r w:rsidRPr="006B1B30">
        <w:rPr>
          <w:rFonts w:cstheme="minorHAnsi"/>
        </w:rPr>
        <w:t>podstatným způsobem se považují výlučně následující případy:</w:t>
      </w:r>
      <w:bookmarkEnd w:id="43"/>
    </w:p>
    <w:p w14:paraId="6F5451ED" w14:textId="27D18C24" w:rsidR="00573DD3" w:rsidRPr="006B1B30" w:rsidRDefault="00BC3AA6" w:rsidP="00573DD3">
      <w:pPr>
        <w:pStyle w:val="Nadpis3-BS"/>
        <w:numPr>
          <w:ilvl w:val="2"/>
          <w:numId w:val="1"/>
        </w:numPr>
        <w:ind w:left="1276" w:hanging="709"/>
      </w:pPr>
      <w:r w:rsidRPr="006B1B30">
        <w:t>Objednatel je více než tři (3) měsíce v prodlení s úhradou Odměny</w:t>
      </w:r>
      <w:r w:rsidR="00C92D71" w:rsidRPr="006B1B30">
        <w:t xml:space="preserve"> (v rozsahu Odměny </w:t>
      </w:r>
      <w:r w:rsidR="00442BD4">
        <w:t>alespoň</w:t>
      </w:r>
      <w:r w:rsidR="00C92D71" w:rsidRPr="006B1B30">
        <w:t xml:space="preserve"> za tři (3) kalendářní měsíce)</w:t>
      </w:r>
      <w:r w:rsidRPr="006B1B30">
        <w:t>; a/nebo</w:t>
      </w:r>
    </w:p>
    <w:p w14:paraId="10D7E0D2" w14:textId="77777777" w:rsidR="00573DD3" w:rsidRPr="006B1B30" w:rsidRDefault="00573DD3" w:rsidP="00573DD3">
      <w:pPr>
        <w:pStyle w:val="Nadpis3-BS"/>
        <w:numPr>
          <w:ilvl w:val="2"/>
          <w:numId w:val="1"/>
        </w:numPr>
        <w:ind w:left="1276" w:hanging="709"/>
      </w:pPr>
      <w:r w:rsidRPr="006B1B30">
        <w:t xml:space="preserve">soud prohlásil úpadek </w:t>
      </w:r>
      <w:r w:rsidR="00BC3AA6" w:rsidRPr="006B1B30">
        <w:t xml:space="preserve">Objednatele </w:t>
      </w:r>
      <w:r w:rsidRPr="006B1B30">
        <w:t xml:space="preserve">nebo bylo pravomocně zahájeno likvidační řízení ohledně </w:t>
      </w:r>
      <w:r w:rsidR="00BC3AA6" w:rsidRPr="006B1B30">
        <w:t>Objednatele</w:t>
      </w:r>
      <w:r w:rsidRPr="006B1B30">
        <w:t>.</w:t>
      </w:r>
    </w:p>
    <w:p w14:paraId="44D8852C" w14:textId="77777777" w:rsidR="00303C31" w:rsidRPr="006B1B30" w:rsidRDefault="0037728B" w:rsidP="00CE31C6">
      <w:pPr>
        <w:pStyle w:val="Nadpisy"/>
        <w:keepNext/>
      </w:pPr>
      <w:bookmarkStart w:id="44" w:name="_Toc55934502"/>
      <w:r w:rsidRPr="006B1B30">
        <w:lastRenderedPageBreak/>
        <w:t>Oznamování</w:t>
      </w:r>
      <w:bookmarkEnd w:id="44"/>
    </w:p>
    <w:p w14:paraId="4179BB42" w14:textId="3F8335FE" w:rsidR="0037728B" w:rsidRPr="006B1B30" w:rsidRDefault="0037728B" w:rsidP="00CE31C6">
      <w:pPr>
        <w:keepNext/>
        <w:numPr>
          <w:ilvl w:val="1"/>
          <w:numId w:val="1"/>
        </w:numPr>
        <w:spacing w:before="240" w:after="60"/>
        <w:ind w:left="567" w:right="0" w:hanging="567"/>
        <w:jc w:val="both"/>
        <w:rPr>
          <w:rFonts w:eastAsia="Times New Roman" w:cs="Arial"/>
          <w:bCs/>
          <w:kern w:val="28"/>
          <w:lang w:eastAsia="cs-CZ"/>
        </w:rPr>
      </w:pPr>
      <w:r w:rsidRPr="006B1B30">
        <w:rPr>
          <w:rFonts w:asciiTheme="minorHAnsi" w:hAnsiTheme="minorHAnsi" w:cstheme="minorHAnsi"/>
        </w:rPr>
        <w:t xml:space="preserve">Oznámení nebo jiná sdělení podle této Smlouvy musí být učiněna písemně v českém jazyce, a to formou dopisu nebo e-mailu, není-li v této Smlouvě výslovně stanoveno jinak. Oznámení nebo jiná sdělení podle této Smlouvy se budou považovat za řádně učiněná, pokud budou doručena osobně, poštou či kurýrem nebo e-mailem na níže uvedené adresy nebo na jinou adresu, kterou příslušná Smluvní strana oznámí písemně druhé Smluvní straně, není-li v této Smlouvě výslovně stanoveno jinak. </w:t>
      </w:r>
      <w:r w:rsidRPr="006B1B30">
        <w:rPr>
          <w:rFonts w:asciiTheme="minorHAnsi" w:hAnsiTheme="minorHAnsi"/>
          <w:bCs/>
        </w:rPr>
        <w:t>Jakékoli úkony směřující k ukončení této Smlouvy musí být oznámeny druhé Smluvní straně formou doporučeného dopisu</w:t>
      </w:r>
      <w:r w:rsidR="00E438D0">
        <w:rPr>
          <w:rFonts w:asciiTheme="minorHAnsi" w:hAnsiTheme="minorHAnsi"/>
          <w:bCs/>
        </w:rPr>
        <w:t>.</w:t>
      </w:r>
    </w:p>
    <w:p w14:paraId="76119762" w14:textId="77777777" w:rsidR="00E87803" w:rsidRPr="006B1B30" w:rsidRDefault="00E87803" w:rsidP="00E41F90">
      <w:pPr>
        <w:pStyle w:val="Nadpis3-BS"/>
        <w:numPr>
          <w:ilvl w:val="2"/>
          <w:numId w:val="1"/>
        </w:numPr>
        <w:ind w:left="1276" w:hanging="709"/>
      </w:pPr>
      <w:r w:rsidRPr="006B1B30">
        <w:t>Objednatel:</w:t>
      </w:r>
    </w:p>
    <w:p w14:paraId="1BE98496" w14:textId="77777777" w:rsidR="007B00B4" w:rsidRPr="006B1B30" w:rsidRDefault="007B00B4" w:rsidP="00E41F90">
      <w:pPr>
        <w:pStyle w:val="Normlnodsazen-BS"/>
        <w:ind w:left="1418"/>
        <w:rPr>
          <w:highlight w:val="yellow"/>
        </w:rPr>
      </w:pPr>
      <w:r w:rsidRPr="006B1B30">
        <w:t>Adresa:</w:t>
      </w:r>
      <w:r w:rsidRPr="006B1B30">
        <w:tab/>
      </w:r>
      <w:r w:rsidRPr="006B1B30">
        <w:tab/>
        <w:t>Sukova třída 1735, Zelené Předměstí, 530 02 Pardubice</w:t>
      </w:r>
    </w:p>
    <w:p w14:paraId="68903D3D" w14:textId="36670077" w:rsidR="007B00B4" w:rsidRPr="006B1B30" w:rsidRDefault="007B00B4" w:rsidP="00E41F90">
      <w:pPr>
        <w:pStyle w:val="Normlnodsazen-BS"/>
        <w:ind w:left="1418"/>
      </w:pPr>
      <w:r w:rsidRPr="006B1B30">
        <w:t>K rukám:</w:t>
      </w:r>
      <w:r w:rsidRPr="006B1B30">
        <w:tab/>
      </w:r>
    </w:p>
    <w:p w14:paraId="008A49B2" w14:textId="2889B883" w:rsidR="007B00B4" w:rsidRPr="006B1B30" w:rsidRDefault="007B00B4" w:rsidP="00E41F90">
      <w:pPr>
        <w:pStyle w:val="Normlnodsazen-BS"/>
        <w:ind w:left="1418"/>
        <w:rPr>
          <w:highlight w:val="yellow"/>
        </w:rPr>
      </w:pPr>
      <w:r w:rsidRPr="006B1B30">
        <w:tab/>
      </w:r>
      <w:r w:rsidRPr="006B1B30">
        <w:tab/>
      </w:r>
    </w:p>
    <w:p w14:paraId="5439E0CB" w14:textId="467846EA" w:rsidR="007B00B4" w:rsidRPr="006B1B30" w:rsidRDefault="007B00B4" w:rsidP="00E41F90">
      <w:pPr>
        <w:pStyle w:val="Normlnodsazen-BS"/>
        <w:ind w:left="1418"/>
        <w:rPr>
          <w:highlight w:val="yellow"/>
        </w:rPr>
      </w:pPr>
      <w:r w:rsidRPr="006B1B30">
        <w:t>Telefon:</w:t>
      </w:r>
      <w:r w:rsidRPr="006B1B30">
        <w:tab/>
      </w:r>
    </w:p>
    <w:p w14:paraId="4B71AF40" w14:textId="0F456A3C" w:rsidR="007B00B4" w:rsidRPr="006B1B30" w:rsidRDefault="007B00B4" w:rsidP="00E41F90">
      <w:pPr>
        <w:pStyle w:val="Normlnodsazen-BS"/>
        <w:ind w:left="1418"/>
        <w:rPr>
          <w:highlight w:val="yellow"/>
        </w:rPr>
      </w:pPr>
      <w:r w:rsidRPr="006B1B30">
        <w:t>Email:</w:t>
      </w:r>
      <w:r w:rsidRPr="006B1B30">
        <w:tab/>
      </w:r>
      <w:r w:rsidRPr="006B1B30">
        <w:tab/>
      </w:r>
    </w:p>
    <w:p w14:paraId="635D17F1" w14:textId="77777777" w:rsidR="00E87803" w:rsidRPr="006B1B30" w:rsidRDefault="00E87803" w:rsidP="00E41F90">
      <w:pPr>
        <w:pStyle w:val="Nadpis3-BS"/>
        <w:numPr>
          <w:ilvl w:val="2"/>
          <w:numId w:val="1"/>
        </w:numPr>
        <w:ind w:left="1276" w:hanging="709"/>
      </w:pPr>
      <w:r w:rsidRPr="006B1B30">
        <w:t>Poskytovatel:</w:t>
      </w:r>
    </w:p>
    <w:p w14:paraId="056C75C3" w14:textId="77777777" w:rsidR="007B00B4" w:rsidRPr="006B1B30" w:rsidRDefault="007B00B4" w:rsidP="00E41F90">
      <w:pPr>
        <w:pStyle w:val="Normlnodsazen-BS"/>
        <w:ind w:left="1418"/>
        <w:rPr>
          <w:highlight w:val="yellow"/>
        </w:rPr>
      </w:pPr>
      <w:r w:rsidRPr="006B1B30">
        <w:t>Adresa:</w:t>
      </w:r>
      <w:r w:rsidRPr="006B1B30">
        <w:tab/>
      </w:r>
      <w:r w:rsidRPr="006B1B30">
        <w:tab/>
        <w:t>třída Míru 90, Zelené Předměstí, 530 02 Pardubice</w:t>
      </w:r>
    </w:p>
    <w:p w14:paraId="2CEE5AF6" w14:textId="77777777" w:rsidR="007B00B4" w:rsidRPr="006B1B30" w:rsidRDefault="007B00B4" w:rsidP="00E41F90">
      <w:pPr>
        <w:pStyle w:val="Normlnodsazen-BS"/>
        <w:ind w:left="1418"/>
        <w:rPr>
          <w:highlight w:val="yellow"/>
        </w:rPr>
      </w:pPr>
      <w:r w:rsidRPr="006B1B30">
        <w:t>K rukám:</w:t>
      </w:r>
      <w:r w:rsidRPr="006B1B30">
        <w:tab/>
        <w:t>místopředsedy představenstva</w:t>
      </w:r>
    </w:p>
    <w:p w14:paraId="4F244DC8" w14:textId="7509307F" w:rsidR="007B00B4" w:rsidRPr="006B1B30" w:rsidRDefault="007B00B4" w:rsidP="00E41F90">
      <w:pPr>
        <w:pStyle w:val="Normlnodsazen-BS"/>
        <w:ind w:left="1418"/>
        <w:rPr>
          <w:highlight w:val="yellow"/>
        </w:rPr>
      </w:pPr>
      <w:r w:rsidRPr="006B1B30">
        <w:t>Telefon:</w:t>
      </w:r>
      <w:r w:rsidRPr="006B1B30">
        <w:tab/>
      </w:r>
    </w:p>
    <w:p w14:paraId="3EC8D742" w14:textId="7C967AE2" w:rsidR="007B00B4" w:rsidRPr="006B1B30" w:rsidRDefault="007B00B4" w:rsidP="007B00B4">
      <w:pPr>
        <w:pStyle w:val="Normlnodsazen-BS"/>
        <w:ind w:left="1418"/>
      </w:pPr>
      <w:r w:rsidRPr="006B1B30">
        <w:t>Email:</w:t>
      </w:r>
      <w:r w:rsidRPr="006B1B30">
        <w:tab/>
      </w:r>
      <w:r w:rsidRPr="006B1B30">
        <w:tab/>
      </w:r>
    </w:p>
    <w:p w14:paraId="39F6E481" w14:textId="775102B9" w:rsidR="001A0398" w:rsidRPr="006B1B30" w:rsidRDefault="001A0398" w:rsidP="001A0398">
      <w:pPr>
        <w:numPr>
          <w:ilvl w:val="1"/>
          <w:numId w:val="1"/>
        </w:numPr>
        <w:spacing w:before="240" w:after="60"/>
        <w:ind w:left="567" w:hanging="567"/>
        <w:jc w:val="both"/>
      </w:pPr>
      <w:r w:rsidRPr="006B1B30">
        <w:rPr>
          <w:rFonts w:asciiTheme="minorHAnsi" w:hAnsiTheme="minorHAnsi"/>
          <w:bCs/>
        </w:rPr>
        <w:t>Jakékoli změny údajů pro oznamování je příslušná Smluvní strana povinna neprodleně oznámit druhé Smluvní straně formou dopisu nebo e-mailu. Účinnost oznámení nastává desátým (10.) dnem následujícím po dni doručení takového oznámení druhé Smluvní straně.</w:t>
      </w:r>
    </w:p>
    <w:p w14:paraId="4FA9076C" w14:textId="77777777" w:rsidR="00A7650B" w:rsidRPr="006B1B30" w:rsidRDefault="002D6ADA" w:rsidP="004F6CBC">
      <w:pPr>
        <w:pStyle w:val="Nadpisy"/>
      </w:pPr>
      <w:bookmarkStart w:id="45" w:name="_Ref55230216"/>
      <w:bookmarkStart w:id="46" w:name="_Toc55934503"/>
      <w:r w:rsidRPr="006B1B30">
        <w:t>Ochrana důvěrných informací</w:t>
      </w:r>
      <w:bookmarkEnd w:id="45"/>
      <w:bookmarkEnd w:id="46"/>
    </w:p>
    <w:p w14:paraId="228E9CEB" w14:textId="3ECDC9AA" w:rsidR="00A7650B" w:rsidRPr="006B1B30" w:rsidRDefault="004333D4" w:rsidP="004F6CBC">
      <w:pPr>
        <w:numPr>
          <w:ilvl w:val="1"/>
          <w:numId w:val="1"/>
        </w:numPr>
        <w:spacing w:before="240" w:after="60"/>
        <w:ind w:left="567" w:right="0" w:hanging="567"/>
        <w:jc w:val="both"/>
      </w:pPr>
      <w:r w:rsidRPr="006B1B30">
        <w:t>Smluvní strany se dohodly, že veškeré informace, které si poskytnou, nebo které obdrží na základě či v souvislosti s plněním této Smlouvy, budou považovány za důvěrné, přičemž Smluvní strany budou zachovávat o takovýchto důvěrných informacích mlčenlivost, a to s výjimkou (i) svých poradců vázaných povinností mlčenlivosti ve stejném rozsahu jako Smluvní strany a SMP, (</w:t>
      </w:r>
      <w:proofErr w:type="spellStart"/>
      <w:r w:rsidRPr="006B1B30">
        <w:t>ii</w:t>
      </w:r>
      <w:proofErr w:type="spellEnd"/>
      <w:r w:rsidRPr="006B1B30">
        <w:t>) příslušných státních a jiných správních úřadů a soudů, pokud jsou Smluvní strany povinny podle obecně závazných předpisů jim tyto informace poskytnout, (</w:t>
      </w:r>
      <w:proofErr w:type="spellStart"/>
      <w:r w:rsidRPr="006B1B30">
        <w:t>iii</w:t>
      </w:r>
      <w:proofErr w:type="spellEnd"/>
      <w:r w:rsidRPr="006B1B30">
        <w:t>) informací, které jsou nebo se stanou veřejně dostupnými jinak než porušením této Smlouvy a/nebo (</w:t>
      </w:r>
      <w:proofErr w:type="spellStart"/>
      <w:r w:rsidRPr="006B1B30">
        <w:t>iv</w:t>
      </w:r>
      <w:proofErr w:type="spellEnd"/>
      <w:r w:rsidRPr="006B1B30">
        <w:t>) plnění informační povinnosti vyplývající pro kteroukoli ze Smluvních stran z právních předpisů (např. zákon č. 106/1999 Sb., o svobodném přístupu k informacím, ve znění pozdějších předpisů atp.). V rozsahu, v jakém se vztahuje výjimka dle tohoto ustanovení na</w:t>
      </w:r>
      <w:r w:rsidR="00B919D9" w:rsidRPr="006B1B30">
        <w:t> </w:t>
      </w:r>
      <w:r w:rsidRPr="006B1B30">
        <w:t>kteroukoli ze Smluvních stran, platí takováto výjimka i pro druhou</w:t>
      </w:r>
      <w:r w:rsidR="00EE2973">
        <w:t xml:space="preserve"> Smluvní</w:t>
      </w:r>
      <w:r w:rsidRPr="006B1B30">
        <w:t xml:space="preserve"> stranu.</w:t>
      </w:r>
    </w:p>
    <w:p w14:paraId="54269F50" w14:textId="1E99337B" w:rsidR="006B30AB" w:rsidRPr="006B1B30" w:rsidRDefault="006B30AB" w:rsidP="006B30AB">
      <w:pPr>
        <w:numPr>
          <w:ilvl w:val="1"/>
          <w:numId w:val="1"/>
        </w:numPr>
        <w:spacing w:before="240" w:after="60"/>
        <w:ind w:left="567" w:right="0" w:hanging="567"/>
        <w:jc w:val="both"/>
      </w:pPr>
      <w:bookmarkStart w:id="47" w:name="_Ref36046855"/>
      <w:r w:rsidRPr="006B1B30">
        <w:rPr>
          <w:rFonts w:asciiTheme="minorHAnsi" w:hAnsiTheme="minorHAnsi" w:cstheme="minorHAnsi"/>
        </w:rPr>
        <w:t xml:space="preserve">Smluvní strany v každém případě zajistí vázanost povinností mlčenlivosti u veškerých svých zaměstnanců a dalších osob v pracovněprávních, služebních či jiných vztazích, členů svých orgánů, veškerých spolupracujících osob a dále veškerých třetích osob včetně poradců, které </w:t>
      </w:r>
      <w:r w:rsidRPr="006B1B30">
        <w:rPr>
          <w:rFonts w:asciiTheme="minorHAnsi" w:hAnsiTheme="minorHAnsi" w:cstheme="minorHAnsi"/>
        </w:rPr>
        <w:lastRenderedPageBreak/>
        <w:t>přijdou do styku s informacemi chráněnými tímto ustanovením o mlčenlivosti, a to ve stejném rozsahu, v jakém se k mlčenlivosti zavazují Smluvní strany dle této Smlouvy.</w:t>
      </w:r>
      <w:bookmarkEnd w:id="47"/>
      <w:r w:rsidRPr="006B1B30">
        <w:rPr>
          <w:rFonts w:asciiTheme="minorHAnsi" w:hAnsiTheme="minorHAnsi" w:cstheme="minorHAnsi"/>
        </w:rPr>
        <w:t xml:space="preserve"> Smluvní strany zajistí vázanost povinností mlčenlivosti v každém případě i členy orgánů, které nominovaly do orgánů Společnosti.</w:t>
      </w:r>
    </w:p>
    <w:p w14:paraId="68BAA5E3" w14:textId="2F1A9541" w:rsidR="006B30AB" w:rsidRPr="006B1B30" w:rsidRDefault="006B30AB" w:rsidP="006B30AB">
      <w:pPr>
        <w:numPr>
          <w:ilvl w:val="1"/>
          <w:numId w:val="1"/>
        </w:numPr>
        <w:spacing w:before="240" w:after="60"/>
        <w:ind w:left="567" w:right="0" w:hanging="567"/>
        <w:jc w:val="both"/>
      </w:pPr>
      <w:bookmarkStart w:id="48" w:name="_Ref47358865"/>
      <w:r w:rsidRPr="006B1B30">
        <w:t xml:space="preserve">Smluvní strany se dohodly, že povinnost mlčenlivosti (zachování důvěrnosti důvěrných informací) dle tohoto </w:t>
      </w:r>
      <w:r w:rsidR="00D53B1C" w:rsidRPr="006B1B30">
        <w:t xml:space="preserve">čl. </w:t>
      </w:r>
      <w:r w:rsidR="001374C6">
        <w:fldChar w:fldCharType="begin"/>
      </w:r>
      <w:r w:rsidR="001374C6">
        <w:instrText xml:space="preserve"> REF _Ref55230216 \r \h </w:instrText>
      </w:r>
      <w:r w:rsidR="001374C6">
        <w:fldChar w:fldCharType="separate"/>
      </w:r>
      <w:r w:rsidR="00C9005D">
        <w:t>10</w:t>
      </w:r>
      <w:r w:rsidR="001374C6">
        <w:fldChar w:fldCharType="end"/>
      </w:r>
      <w:r w:rsidR="00D53B1C" w:rsidRPr="006B1B30">
        <w:t xml:space="preserve"> této </w:t>
      </w:r>
      <w:r w:rsidRPr="006B1B30">
        <w:t>Smlouvy trvá i po zániku této Smlouvy. Smluvní strany dále prohlašují, že skutečnosti uvedené v této Smlouvě nepovažují za obchodní tajemství ve smyslu ustanovení § 504 Občanského zákoníku.</w:t>
      </w:r>
      <w:bookmarkEnd w:id="48"/>
    </w:p>
    <w:p w14:paraId="5B7AEFE5" w14:textId="77777777" w:rsidR="00AD3FFF" w:rsidRPr="006B1B30" w:rsidRDefault="00AD3FFF" w:rsidP="004F6CBC">
      <w:pPr>
        <w:pStyle w:val="Nadpisy"/>
      </w:pPr>
      <w:bookmarkStart w:id="49" w:name="_Toc55934504"/>
      <w:r w:rsidRPr="006B1B30">
        <w:t>Rozhodné právo</w:t>
      </w:r>
      <w:bookmarkEnd w:id="49"/>
    </w:p>
    <w:p w14:paraId="16521CC1" w14:textId="77777777" w:rsidR="00AD3FFF" w:rsidRPr="006B1B30" w:rsidRDefault="00AD3FFF" w:rsidP="004F6CBC">
      <w:pPr>
        <w:numPr>
          <w:ilvl w:val="1"/>
          <w:numId w:val="1"/>
        </w:numPr>
        <w:spacing w:before="240" w:after="60"/>
        <w:ind w:left="567" w:right="0" w:hanging="567"/>
        <w:jc w:val="both"/>
      </w:pPr>
      <w:r w:rsidRPr="006B1B30">
        <w:t xml:space="preserve">Tato Smlouva </w:t>
      </w:r>
      <w:r w:rsidRPr="006B1B30">
        <w:rPr>
          <w:rFonts w:asciiTheme="minorHAnsi" w:hAnsiTheme="minorHAnsi" w:cstheme="minorHAnsi"/>
        </w:rPr>
        <w:t>a veškeré dodatky k ní</w:t>
      </w:r>
      <w:r w:rsidRPr="006B1B30">
        <w:t xml:space="preserve"> se řídí právním řádem České republiky a je vykládána v souladu s n</w:t>
      </w:r>
      <w:r w:rsidR="003F1CD3" w:rsidRPr="006B1B30">
        <w:t>í</w:t>
      </w:r>
      <w:r w:rsidRPr="006B1B30">
        <w:t>m.</w:t>
      </w:r>
    </w:p>
    <w:p w14:paraId="6725D58D" w14:textId="77777777" w:rsidR="00AD3FFF" w:rsidRPr="006B1B30" w:rsidRDefault="00AD3FFF" w:rsidP="00AE189D">
      <w:pPr>
        <w:numPr>
          <w:ilvl w:val="1"/>
          <w:numId w:val="1"/>
        </w:numPr>
        <w:spacing w:before="240" w:after="60"/>
        <w:ind w:left="567" w:right="0" w:hanging="567"/>
        <w:jc w:val="both"/>
      </w:pPr>
      <w:r w:rsidRPr="006B1B30">
        <w:t>Další práva a povinnosti Smluvních stran, které tato Smlouva výslovně neupravuje, se řídí ustanoveními Občanského zákoníku, s výjimkou ustanovení vyloučených touto Smlouvou.</w:t>
      </w:r>
    </w:p>
    <w:p w14:paraId="317E8054" w14:textId="77777777" w:rsidR="00AD3FFF" w:rsidRPr="006B1B30" w:rsidRDefault="006829C3">
      <w:pPr>
        <w:pStyle w:val="Nadpisy"/>
      </w:pPr>
      <w:bookmarkStart w:id="50" w:name="_Toc55934505"/>
      <w:r w:rsidRPr="006B1B30">
        <w:t>Řešení sporů</w:t>
      </w:r>
      <w:bookmarkEnd w:id="50"/>
    </w:p>
    <w:p w14:paraId="5D0DE4E4" w14:textId="77777777" w:rsidR="006829C3" w:rsidRPr="006B1B30" w:rsidRDefault="006829C3" w:rsidP="006829C3">
      <w:pPr>
        <w:numPr>
          <w:ilvl w:val="1"/>
          <w:numId w:val="1"/>
        </w:numPr>
        <w:spacing w:before="240" w:after="60"/>
        <w:ind w:left="567" w:right="0" w:hanging="567"/>
        <w:jc w:val="both"/>
      </w:pPr>
      <w:r w:rsidRPr="006B1B30">
        <w:t xml:space="preserve">Smluvní strany se dohodly, že jakékoli spory vyplývající z této </w:t>
      </w:r>
      <w:r w:rsidR="00793AAB" w:rsidRPr="006B1B30">
        <w:t>Smlouvy</w:t>
      </w:r>
      <w:r w:rsidRPr="006B1B30">
        <w:t xml:space="preserve"> nebo vzniklé v souvislosti s ní se pokusí nejprve vyřešit smírnou cestou. Pokud se Smluvní strany nedohodnou na smírném řešení, může se kterákoli ze Smluvních stran obrátit na soud a podat příslušný návrh na zahájení řízení.</w:t>
      </w:r>
    </w:p>
    <w:p w14:paraId="7912D884" w14:textId="77777777" w:rsidR="00AD3FFF" w:rsidRPr="006B1B30" w:rsidRDefault="007766DE">
      <w:pPr>
        <w:pStyle w:val="Nadpisy"/>
      </w:pPr>
      <w:bookmarkStart w:id="51" w:name="_Toc55934506"/>
      <w:r w:rsidRPr="006B1B30">
        <w:t>Vymezení vůči Občanskému zákoníku</w:t>
      </w:r>
      <w:bookmarkEnd w:id="51"/>
    </w:p>
    <w:p w14:paraId="63092A0D" w14:textId="2955B273" w:rsidR="007766DE" w:rsidRPr="006B1B30" w:rsidRDefault="007766DE" w:rsidP="007766DE">
      <w:pPr>
        <w:numPr>
          <w:ilvl w:val="1"/>
          <w:numId w:val="1"/>
        </w:numPr>
        <w:spacing w:before="240" w:after="60"/>
        <w:ind w:left="567" w:right="0" w:hanging="567"/>
        <w:jc w:val="both"/>
      </w:pPr>
      <w:r w:rsidRPr="006B1B30">
        <w:t xml:space="preserve">Smluvní strany se výslovně dohodly, že nad rámec všech jinde v této Smlouvě uvedených vyloučených ustanovení Občanského zákoníku dále vylučují v rozsahu maximálně přípustném dle kogentních ustanovení právních předpisů aplikaci ustanovení </w:t>
      </w:r>
      <w:r w:rsidRPr="006B1B30">
        <w:rPr>
          <w:rFonts w:cstheme="minorHAnsi"/>
        </w:rPr>
        <w:t>§ 1765, § 1766, § 1793</w:t>
      </w:r>
      <w:r w:rsidR="007F52CB">
        <w:rPr>
          <w:rFonts w:cstheme="minorHAnsi"/>
        </w:rPr>
        <w:t xml:space="preserve"> a</w:t>
      </w:r>
      <w:r w:rsidRPr="006B1B30">
        <w:rPr>
          <w:rFonts w:cstheme="minorHAnsi"/>
        </w:rPr>
        <w:t xml:space="preserve"> § 2050 </w:t>
      </w:r>
      <w:r w:rsidRPr="006B1B30">
        <w:t>Občanského zákoníku, na jejich smluvní vztah založený touto Smlouvou.</w:t>
      </w:r>
    </w:p>
    <w:p w14:paraId="719F165A" w14:textId="77777777" w:rsidR="007766DE" w:rsidRPr="006B1B30" w:rsidRDefault="004E4B9B">
      <w:pPr>
        <w:pStyle w:val="Nadpisy"/>
      </w:pPr>
      <w:bookmarkStart w:id="52" w:name="_Toc55934507"/>
      <w:r w:rsidRPr="006B1B30">
        <w:t>Vyšší moc</w:t>
      </w:r>
      <w:bookmarkEnd w:id="52"/>
    </w:p>
    <w:p w14:paraId="7F296E88" w14:textId="77777777" w:rsidR="007766DE" w:rsidRPr="006B1B30" w:rsidRDefault="004E4B9B" w:rsidP="00D513E4">
      <w:pPr>
        <w:numPr>
          <w:ilvl w:val="1"/>
          <w:numId w:val="1"/>
        </w:numPr>
        <w:spacing w:before="240" w:after="60"/>
        <w:ind w:left="567" w:right="0" w:hanging="567"/>
        <w:jc w:val="both"/>
      </w:pPr>
      <w:r w:rsidRPr="006B1B30">
        <w:t>Smluvní strany sjednávají, že v případě nastání případu vyšší moci vynaloží veškeré úsilí, které po nich lze spravedlivě požadovat, k tomu, aby byl</w:t>
      </w:r>
      <w:r w:rsidR="00D314DC" w:rsidRPr="006B1B30">
        <w:t>o</w:t>
      </w:r>
      <w:r w:rsidRPr="006B1B30">
        <w:t xml:space="preserve"> zabezpečen</w:t>
      </w:r>
      <w:r w:rsidR="00D314DC" w:rsidRPr="006B1B30">
        <w:t>o</w:t>
      </w:r>
      <w:r w:rsidRPr="006B1B30">
        <w:t xml:space="preserve"> </w:t>
      </w:r>
      <w:r w:rsidR="00D314DC" w:rsidRPr="006B1B30">
        <w:t>řádné a včasné poskytování Služeb</w:t>
      </w:r>
      <w:r w:rsidRPr="006B1B30">
        <w:t>, a to za podmínek co nejbližších podmínkám dle této Smlouvy. Za tímto účelem Smluvní strany v dobré víře projednají a po vzájemné dohodě přijmou příslušná opatření a učiní veškeré další potřebné kroky, a to v rovině faktické i smluvní.</w:t>
      </w:r>
    </w:p>
    <w:p w14:paraId="738250B6" w14:textId="77777777" w:rsidR="007766DE" w:rsidRPr="006B1B30" w:rsidRDefault="0095420C">
      <w:pPr>
        <w:pStyle w:val="Nadpisy"/>
      </w:pPr>
      <w:bookmarkStart w:id="53" w:name="_Toc55934508"/>
      <w:r w:rsidRPr="006B1B30">
        <w:t>Vzdání se práva</w:t>
      </w:r>
      <w:bookmarkEnd w:id="53"/>
    </w:p>
    <w:p w14:paraId="695F5950" w14:textId="77777777" w:rsidR="007766DE" w:rsidRPr="006B1B30" w:rsidRDefault="00991B3B" w:rsidP="00D513E4">
      <w:pPr>
        <w:numPr>
          <w:ilvl w:val="1"/>
          <w:numId w:val="1"/>
        </w:numPr>
        <w:spacing w:before="240" w:after="60"/>
        <w:ind w:left="567" w:right="0" w:hanging="567"/>
        <w:jc w:val="both"/>
      </w:pPr>
      <w:r w:rsidRPr="006B1B30">
        <w:rPr>
          <w:rFonts w:asciiTheme="minorHAnsi" w:hAnsiTheme="minorHAnsi" w:cstheme="minorHAnsi"/>
        </w:rPr>
        <w:t xml:space="preserve">Jestliže kterákoli ze Smluvních stran neuplatní nárok nebo nevykoná právo podle této Smlouvy, nebo je vykoná se zpožděním či pouze částečně, nebude to znamenat vzdání se těchto nároků nebo práv. </w:t>
      </w:r>
      <w:bookmarkStart w:id="54" w:name="_DV_M207"/>
      <w:bookmarkEnd w:id="54"/>
      <w:r w:rsidRPr="006B1B30">
        <w:rPr>
          <w:rFonts w:asciiTheme="minorHAnsi" w:hAnsiTheme="minorHAnsi" w:cstheme="minorHAnsi"/>
        </w:rPr>
        <w:t>Vzdání se práva z titulu porušení této Smlouvy nebo práva na nápravu anebo jakéhokoli jiného práva podle této Smlouvy musí být vyhotoveno písemně a podepsáno Smluvní stranou, která takové vzdání se činí.</w:t>
      </w:r>
    </w:p>
    <w:p w14:paraId="09F2545E" w14:textId="77777777" w:rsidR="007766DE" w:rsidRPr="006B1B30" w:rsidRDefault="00281AF9" w:rsidP="00CE31C6">
      <w:pPr>
        <w:pStyle w:val="Nadpisy"/>
      </w:pPr>
      <w:bookmarkStart w:id="55" w:name="_Toc55934509"/>
      <w:r w:rsidRPr="006B1B30">
        <w:t>Oddělitelnost</w:t>
      </w:r>
      <w:bookmarkEnd w:id="55"/>
    </w:p>
    <w:p w14:paraId="309B48C1" w14:textId="5401AB28" w:rsidR="00281AF9" w:rsidRPr="006B1B30" w:rsidRDefault="00281AF9" w:rsidP="00CE31C6">
      <w:pPr>
        <w:numPr>
          <w:ilvl w:val="1"/>
          <w:numId w:val="1"/>
        </w:numPr>
        <w:spacing w:before="240" w:after="60"/>
        <w:ind w:left="567" w:right="0" w:hanging="567"/>
        <w:jc w:val="both"/>
      </w:pPr>
      <w:r w:rsidRPr="006B1B30">
        <w:rPr>
          <w:rFonts w:asciiTheme="minorHAnsi" w:hAnsiTheme="minorHAnsi" w:cstheme="minorHAnsi"/>
        </w:rPr>
        <w:t>Stane-li se kterékoli ujednání této Smlouvy neplatným, neúčinným nebo nevykonatelným, zůstává platnost, účinnost a vykonatelnost ostatních ujednání</w:t>
      </w:r>
      <w:r w:rsidRPr="006B1B30" w:rsidDel="007D528E">
        <w:rPr>
          <w:rFonts w:asciiTheme="minorHAnsi" w:hAnsiTheme="minorHAnsi" w:cstheme="minorHAnsi"/>
        </w:rPr>
        <w:t xml:space="preserve"> </w:t>
      </w:r>
      <w:r w:rsidRPr="006B1B30">
        <w:rPr>
          <w:rFonts w:asciiTheme="minorHAnsi" w:hAnsiTheme="minorHAnsi" w:cstheme="minorHAnsi"/>
        </w:rPr>
        <w:t xml:space="preserve">této Smlouvy neovlivněna a nedotčena, nevyplývá-li z povahy daného ujednání, obsahu Smlouvy nebo okolností, za nichž </w:t>
      </w:r>
      <w:r w:rsidRPr="006B1B30">
        <w:rPr>
          <w:rFonts w:asciiTheme="minorHAnsi" w:hAnsiTheme="minorHAnsi" w:cstheme="minorHAnsi"/>
        </w:rPr>
        <w:lastRenderedPageBreak/>
        <w:t>bylo toto ujednání vytvořeno, že toto ujednání nelze oddělit od ostatního obsahu Smlouvy. S</w:t>
      </w:r>
      <w:r w:rsidR="00F80D76">
        <w:rPr>
          <w:rFonts w:asciiTheme="minorHAnsi" w:hAnsiTheme="minorHAnsi" w:cstheme="minorHAnsi"/>
        </w:rPr>
        <w:t>mluvní s</w:t>
      </w:r>
      <w:r w:rsidRPr="006B1B30">
        <w:rPr>
          <w:rFonts w:asciiTheme="minorHAnsi" w:hAnsiTheme="minorHAnsi" w:cstheme="minorHAnsi"/>
        </w:rPr>
        <w:t>trany v takovém případě bez zbytečného odkladu, nejpozději do patnácti (15) dnů od</w:t>
      </w:r>
      <w:r w:rsidR="00AC6CC3">
        <w:rPr>
          <w:rFonts w:asciiTheme="minorHAnsi" w:hAnsiTheme="minorHAnsi" w:cstheme="minorHAnsi"/>
        </w:rPr>
        <w:t> </w:t>
      </w:r>
      <w:r w:rsidRPr="006B1B30">
        <w:rPr>
          <w:rFonts w:asciiTheme="minorHAnsi" w:hAnsiTheme="minorHAnsi" w:cstheme="minorHAnsi"/>
        </w:rPr>
        <w:t>doručení výzvy jedné Smluvní strany druhé Smluvní straně, uzavřou novou smlouvu či</w:t>
      </w:r>
      <w:r w:rsidR="00AC6CC3">
        <w:rPr>
          <w:rFonts w:asciiTheme="minorHAnsi" w:hAnsiTheme="minorHAnsi" w:cstheme="minorHAnsi"/>
        </w:rPr>
        <w:t> </w:t>
      </w:r>
      <w:r w:rsidRPr="006B1B30">
        <w:rPr>
          <w:rFonts w:asciiTheme="minorHAnsi" w:hAnsiTheme="minorHAnsi" w:cstheme="minorHAnsi"/>
        </w:rPr>
        <w:t>dodatek k této Smlouvě, které umožní dosažení výsledku stejného, a pokud to není možné, pak co nejbližšího tomu, jakého mělo být dosaženo neplatným, neúčinným nebo nevymahatelným ujednáním.</w:t>
      </w:r>
    </w:p>
    <w:p w14:paraId="5042ED34" w14:textId="77777777" w:rsidR="00D513E4" w:rsidRPr="006B1B30" w:rsidRDefault="00D513E4" w:rsidP="00A16ABA">
      <w:pPr>
        <w:pStyle w:val="Nadpisy"/>
      </w:pPr>
      <w:bookmarkStart w:id="56" w:name="_Toc55934510"/>
      <w:r w:rsidRPr="006B1B30">
        <w:t>Postoupení</w:t>
      </w:r>
      <w:bookmarkEnd w:id="56"/>
    </w:p>
    <w:p w14:paraId="3292BC9B" w14:textId="77777777" w:rsidR="00D513E4" w:rsidRPr="006B1B30" w:rsidRDefault="002F5C20" w:rsidP="00A16ABA">
      <w:pPr>
        <w:numPr>
          <w:ilvl w:val="1"/>
          <w:numId w:val="1"/>
        </w:numPr>
        <w:spacing w:before="240" w:after="60"/>
        <w:ind w:left="567" w:right="0" w:hanging="567"/>
        <w:jc w:val="both"/>
      </w:pPr>
      <w:r w:rsidRPr="006B1B30">
        <w:rPr>
          <w:rFonts w:asciiTheme="minorHAnsi" w:hAnsiTheme="minorHAnsi" w:cstheme="minorHAnsi"/>
        </w:rPr>
        <w:t>Práva a povinnosti vyplývající z této Smlouvy přecházejí na právní nástupce jednotlivých Smluvních stran, ať již na základě singulární nebo univerzální sukcese.</w:t>
      </w:r>
    </w:p>
    <w:p w14:paraId="425A628C" w14:textId="77777777" w:rsidR="002F5C20" w:rsidRPr="006B1B30" w:rsidRDefault="002F5C20" w:rsidP="00D36F2F">
      <w:pPr>
        <w:numPr>
          <w:ilvl w:val="1"/>
          <w:numId w:val="1"/>
        </w:numPr>
        <w:spacing w:before="240" w:after="60"/>
        <w:ind w:left="567" w:right="0" w:hanging="567"/>
        <w:jc w:val="both"/>
      </w:pPr>
      <w:r w:rsidRPr="006B1B30">
        <w:rPr>
          <w:rFonts w:asciiTheme="minorHAnsi" w:hAnsiTheme="minorHAnsi" w:cstheme="minorHAnsi"/>
        </w:rPr>
        <w:t>Smluvní strany nejsou oprávněny postoupit jakékoli pohledávky vůči druhé Smluvní straně vzniklé z této Smlouvy či v souvislosti s ní třetím osobám bez předchozího písemného souhlasu druhé Smluvní strany. Smluvní strany nejsou oprávněny postoupit tuto Smlouvu či její část a/nebo jakákoli práva a povinnosti z ní na třetí osoby bez předchozího písemného souhlasu druhé Smluvní strany.</w:t>
      </w:r>
    </w:p>
    <w:p w14:paraId="20835F57" w14:textId="77777777" w:rsidR="00A7650B" w:rsidRPr="006B1B30" w:rsidRDefault="00A7650B">
      <w:pPr>
        <w:pStyle w:val="Nadpisy"/>
      </w:pPr>
      <w:bookmarkStart w:id="57" w:name="_Toc55934511"/>
      <w:r w:rsidRPr="006B1B30">
        <w:t>Závěrečná ustanovení</w:t>
      </w:r>
      <w:bookmarkEnd w:id="57"/>
    </w:p>
    <w:p w14:paraId="6AED5535" w14:textId="77777777" w:rsidR="00A7650B" w:rsidRPr="006B1B30" w:rsidRDefault="00754249" w:rsidP="00F779AF">
      <w:pPr>
        <w:numPr>
          <w:ilvl w:val="1"/>
          <w:numId w:val="1"/>
        </w:numPr>
        <w:spacing w:before="240" w:after="60"/>
        <w:ind w:left="567" w:right="0" w:hanging="567"/>
        <w:jc w:val="both"/>
        <w:rPr>
          <w:rFonts w:eastAsia="Times New Roman" w:cs="Arial"/>
          <w:kern w:val="28"/>
          <w:lang w:eastAsia="cs-CZ"/>
        </w:rPr>
      </w:pPr>
      <w:r w:rsidRPr="006B1B30">
        <w:rPr>
          <w:rFonts w:asciiTheme="minorHAnsi" w:hAnsiTheme="minorHAnsi" w:cstheme="minorHAnsi"/>
        </w:rPr>
        <w:t>Tato Smlouva obsahuje úplné ujednání o předmětu této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ujednáními této Smlouvy a nezakládá žádný závazek žádné ze Smluvních stran.</w:t>
      </w:r>
    </w:p>
    <w:p w14:paraId="2DEAD2D5" w14:textId="32C6FD1E" w:rsidR="00754249" w:rsidRPr="006B1B30" w:rsidRDefault="00B918FF" w:rsidP="00F779AF">
      <w:pPr>
        <w:numPr>
          <w:ilvl w:val="1"/>
          <w:numId w:val="1"/>
        </w:numPr>
        <w:spacing w:before="240" w:after="60"/>
        <w:ind w:left="567" w:right="0" w:hanging="567"/>
        <w:jc w:val="both"/>
        <w:rPr>
          <w:rFonts w:eastAsia="Times New Roman" w:cs="Arial"/>
          <w:kern w:val="28"/>
          <w:lang w:eastAsia="cs-CZ"/>
        </w:rPr>
      </w:pPr>
      <w:r w:rsidRPr="006B1B30">
        <w:rPr>
          <w:rFonts w:asciiTheme="minorHAnsi" w:hAnsiTheme="minorHAnsi" w:cstheme="minorHAnsi"/>
        </w:rPr>
        <w:t xml:space="preserve">Smluvní strany si tímto vzájemně potvrzují, že tato Smlouva </w:t>
      </w:r>
      <w:r w:rsidR="000048CE">
        <w:rPr>
          <w:rFonts w:asciiTheme="minorHAnsi" w:hAnsiTheme="minorHAnsi" w:cstheme="minorHAnsi"/>
        </w:rPr>
        <w:t>vychází z</w:t>
      </w:r>
      <w:r w:rsidRPr="006B1B30">
        <w:rPr>
          <w:rFonts w:asciiTheme="minorHAnsi" w:hAnsiTheme="minorHAnsi" w:cstheme="minorHAnsi"/>
        </w:rPr>
        <w:t>e závazný</w:t>
      </w:r>
      <w:r w:rsidR="000048CE">
        <w:rPr>
          <w:rFonts w:asciiTheme="minorHAnsi" w:hAnsiTheme="minorHAnsi" w:cstheme="minorHAnsi"/>
        </w:rPr>
        <w:t>ch</w:t>
      </w:r>
      <w:r w:rsidRPr="006B1B30">
        <w:rPr>
          <w:rFonts w:asciiTheme="minorHAnsi" w:hAnsiTheme="minorHAnsi" w:cstheme="minorHAnsi"/>
        </w:rPr>
        <w:t xml:space="preserve"> podmín</w:t>
      </w:r>
      <w:r w:rsidR="000048CE">
        <w:rPr>
          <w:rFonts w:asciiTheme="minorHAnsi" w:hAnsiTheme="minorHAnsi" w:cstheme="minorHAnsi"/>
        </w:rPr>
        <w:t>e</w:t>
      </w:r>
      <w:r w:rsidRPr="006B1B30">
        <w:rPr>
          <w:rFonts w:asciiTheme="minorHAnsi" w:hAnsiTheme="minorHAnsi" w:cstheme="minorHAnsi"/>
        </w:rPr>
        <w:t xml:space="preserve">k </w:t>
      </w:r>
      <w:r w:rsidR="000048CE" w:rsidRPr="006B1B30">
        <w:rPr>
          <w:rFonts w:asciiTheme="minorHAnsi" w:hAnsiTheme="minorHAnsi" w:cstheme="minorHAnsi"/>
        </w:rPr>
        <w:t>uvedený</w:t>
      </w:r>
      <w:r w:rsidR="000048CE">
        <w:rPr>
          <w:rFonts w:asciiTheme="minorHAnsi" w:hAnsiTheme="minorHAnsi" w:cstheme="minorHAnsi"/>
        </w:rPr>
        <w:t>ch</w:t>
      </w:r>
      <w:r w:rsidR="000048CE" w:rsidRPr="006B1B30">
        <w:rPr>
          <w:rFonts w:asciiTheme="minorHAnsi" w:hAnsiTheme="minorHAnsi" w:cstheme="minorHAnsi"/>
        </w:rPr>
        <w:t xml:space="preserve"> </w:t>
      </w:r>
      <w:r w:rsidRPr="006B1B30">
        <w:rPr>
          <w:rFonts w:asciiTheme="minorHAnsi" w:hAnsiTheme="minorHAnsi" w:cstheme="minorHAnsi"/>
        </w:rPr>
        <w:t>v příloze č. 9 Akcionářské dohody.</w:t>
      </w:r>
    </w:p>
    <w:p w14:paraId="24A70388" w14:textId="77777777" w:rsidR="00B918FF" w:rsidRPr="006B1B30" w:rsidRDefault="00B918FF" w:rsidP="00F779AF">
      <w:pPr>
        <w:numPr>
          <w:ilvl w:val="1"/>
          <w:numId w:val="1"/>
        </w:numPr>
        <w:spacing w:before="240" w:after="60"/>
        <w:ind w:left="567" w:right="0" w:hanging="567"/>
        <w:jc w:val="both"/>
        <w:rPr>
          <w:rFonts w:eastAsia="Times New Roman" w:cs="Arial"/>
          <w:kern w:val="28"/>
          <w:lang w:eastAsia="cs-CZ"/>
        </w:rPr>
      </w:pPr>
      <w:r w:rsidRPr="006B1B30">
        <w:rPr>
          <w:rFonts w:asciiTheme="minorHAnsi" w:hAnsiTheme="minorHAnsi" w:cstheme="minorHAnsi"/>
        </w:rPr>
        <w:t>Tato Smlouva není závislá na žádné jiné smlouvě či dohodě uzavírané současně s touto Smlouvou nebo na jejím základě či v souvislosti s ní, pokud není v této Smlouvě či v takovýchto smlouvách nebo dohodách výslovně stanoveno jinak.</w:t>
      </w:r>
    </w:p>
    <w:p w14:paraId="363F3D31" w14:textId="0AC0018A" w:rsidR="00B918FF" w:rsidRPr="006B1B30" w:rsidRDefault="00FD261B" w:rsidP="00F779AF">
      <w:pPr>
        <w:numPr>
          <w:ilvl w:val="1"/>
          <w:numId w:val="1"/>
        </w:numPr>
        <w:spacing w:before="240" w:after="60"/>
        <w:ind w:left="567" w:right="0" w:hanging="567"/>
        <w:jc w:val="both"/>
        <w:rPr>
          <w:rFonts w:eastAsia="Times New Roman" w:cs="Arial"/>
          <w:kern w:val="28"/>
          <w:lang w:eastAsia="cs-CZ"/>
        </w:rPr>
      </w:pPr>
      <w:r w:rsidRPr="006B1B30">
        <w:rPr>
          <w:rFonts w:asciiTheme="minorHAnsi" w:hAnsiTheme="minorHAnsi" w:cstheme="minorHAnsi"/>
        </w:rPr>
        <w:t xml:space="preserve">Smluvní strany prohlašují, že si jsou </w:t>
      </w:r>
      <w:r w:rsidR="00E538DE" w:rsidRPr="006B1B30">
        <w:rPr>
          <w:rFonts w:asciiTheme="minorHAnsi" w:hAnsiTheme="minorHAnsi" w:cstheme="minorHAnsi"/>
        </w:rPr>
        <w:t>vědom</w:t>
      </w:r>
      <w:r w:rsidR="00C65225" w:rsidRPr="006B1B30">
        <w:rPr>
          <w:rFonts w:asciiTheme="minorHAnsi" w:hAnsiTheme="minorHAnsi" w:cstheme="minorHAnsi"/>
        </w:rPr>
        <w:t>y</w:t>
      </w:r>
      <w:r w:rsidR="00E538DE" w:rsidRPr="006B1B30">
        <w:rPr>
          <w:rFonts w:asciiTheme="minorHAnsi" w:hAnsiTheme="minorHAnsi" w:cstheme="minorHAnsi"/>
        </w:rPr>
        <w:t xml:space="preserve"> </w:t>
      </w:r>
      <w:r w:rsidRPr="006B1B30">
        <w:rPr>
          <w:rFonts w:asciiTheme="minorHAnsi" w:hAnsiTheme="minorHAnsi" w:cstheme="minorHAnsi"/>
        </w:rPr>
        <w:t>všech skutečností, které uzavření této Smlouvy provázejí a nemají zájem v souvislosti se změnou těchto skutečností či podmínek, na základě kterých byla Smlouva uzavřena, z takovéto změny pro sebe dovozovat jakékoli výhody.</w:t>
      </w:r>
    </w:p>
    <w:p w14:paraId="39FB6810" w14:textId="77777777" w:rsidR="00805FBB" w:rsidRPr="006B1B30" w:rsidRDefault="00805FBB" w:rsidP="00F779AF">
      <w:pPr>
        <w:numPr>
          <w:ilvl w:val="1"/>
          <w:numId w:val="1"/>
        </w:numPr>
        <w:spacing w:before="240" w:after="60"/>
        <w:ind w:left="567" w:right="0" w:hanging="567"/>
        <w:jc w:val="both"/>
        <w:rPr>
          <w:rFonts w:eastAsia="Times New Roman" w:cs="Arial"/>
          <w:kern w:val="28"/>
          <w:lang w:eastAsia="cs-CZ"/>
        </w:rPr>
      </w:pPr>
      <w:r w:rsidRPr="006B1B30">
        <w:t>Smluvní strany si tímto potvrzují, že veškerá ujednání této Smlouvy jsou platná a účinná již pro období aktuálně probíhající hokejové sezóny 2020/2021 s tím, že zůstanou platná a účinná po celou dobu trvání této Smlouvy.</w:t>
      </w:r>
    </w:p>
    <w:p w14:paraId="7CD405DA" w14:textId="22E29E55" w:rsidR="00D16A56" w:rsidRPr="00A00BB6" w:rsidRDefault="00D16A56" w:rsidP="00F779AF">
      <w:pPr>
        <w:numPr>
          <w:ilvl w:val="1"/>
          <w:numId w:val="1"/>
        </w:numPr>
        <w:spacing w:before="240" w:after="60"/>
        <w:ind w:left="567" w:right="0" w:hanging="567"/>
        <w:jc w:val="both"/>
        <w:rPr>
          <w:rFonts w:eastAsia="Times New Roman" w:cs="Arial"/>
          <w:kern w:val="28"/>
          <w:lang w:eastAsia="cs-CZ"/>
        </w:rPr>
      </w:pPr>
      <w:r w:rsidRPr="006B1B30">
        <w:t>Smluvní strany si tímto výslovně potvrzují, že Původní smlouva, včetně všech jej</w:t>
      </w:r>
      <w:r w:rsidR="00EA30AE" w:rsidRPr="006B1B30">
        <w:t>í</w:t>
      </w:r>
      <w:r w:rsidRPr="006B1B30">
        <w:t>ch dodatků a</w:t>
      </w:r>
      <w:r w:rsidR="00357E07" w:rsidRPr="006B1B30">
        <w:t> </w:t>
      </w:r>
      <w:r w:rsidRPr="006B1B30">
        <w:t>změn, jakož i jiné dohody na Původní smlouvě závislé, uzavřením této Smlouvy v celém svém rozsahu zanikají, a to ke dni nabytí účinnosti této Smlouvy, přičemž si Smluvní strany tímto výslovně potvrzují, že na základě Původní smlouvy, jakož i jiných dohod na Původní smlouvě závislých, nemá kterákoli ze Smluvních stran za druhou Smluvní stranou žádnou pohledávkou, nárok či jiná práva (včetně příslušenství), a že současně žádná ze</w:t>
      </w:r>
      <w:r w:rsidR="00567DB3">
        <w:t> </w:t>
      </w:r>
      <w:r w:rsidRPr="006B1B30">
        <w:t>Smluvních stran nepostoupila jakoukoli pohledávku vzniklou z Původní smlouvy, či jiných dohod na Původní smlouvě závislých, na jakoukoli třetí osobu; pro případ, že by jakékoli pohledávky Smluvních stran, popřípadě práva, nároky či zajištění, Smluvních stran existovaly, pak se jich Smluvní strany ke</w:t>
      </w:r>
      <w:r w:rsidR="007D2D87" w:rsidRPr="006B1B30">
        <w:t> </w:t>
      </w:r>
      <w:r w:rsidRPr="006B1B30">
        <w:t>dni účinnosti této Smlouvy tímto výslovně vzdávají.</w:t>
      </w:r>
    </w:p>
    <w:p w14:paraId="3C408533" w14:textId="1F4B9AEF" w:rsidR="00AF1CB8" w:rsidRPr="006B1B30" w:rsidRDefault="00AF1CB8" w:rsidP="00F779AF">
      <w:pPr>
        <w:numPr>
          <w:ilvl w:val="1"/>
          <w:numId w:val="1"/>
        </w:numPr>
        <w:spacing w:before="240" w:after="60"/>
        <w:ind w:left="567" w:right="0" w:hanging="567"/>
        <w:jc w:val="both"/>
        <w:rPr>
          <w:rFonts w:eastAsia="Times New Roman" w:cs="Arial"/>
          <w:kern w:val="28"/>
          <w:lang w:eastAsia="cs-CZ"/>
        </w:rPr>
      </w:pPr>
      <w:r>
        <w:lastRenderedPageBreak/>
        <w:t>Ukáže-li se po uzavření této Smlouvy, že jakékoli ujednání v ní obsažené bylo sjednáno v rozporu s principy či podmínkami obsaženými v Akcionářské dohodě (včetně jejích příloh, zejména přílohy č. 9), má kterákoli ze Smluvních stran právo na takový rozpor bez zbytečného odkladu upozornit a vyzvat druhou Smluvní stranu k jednání za účelem uvedení příslušného ujednání (ustanovení) této Smlouvy, které takový rozpor zakládá, do souladu s principy či</w:t>
      </w:r>
      <w:r w:rsidR="00A26C0A">
        <w:t> </w:t>
      </w:r>
      <w:r>
        <w:t>podmínkami obsaženými v Akcionářské dohodě (včetně jejích příloh, zejména přílohy č. 9). V</w:t>
      </w:r>
      <w:r w:rsidR="00A26C0A">
        <w:t> </w:t>
      </w:r>
      <w:r>
        <w:t>případě, že se Smluvní strany neshodnou na tom, zda příslušné ujednání je v rozporu s principy či podmínkami obsaženými v Akcionářské dohodě (včetně jejich příloh, zejména přílohy č. 9) či nikoli, má kterákoli ze Smluvních stran právo za účelem nalezení společného konsensu iniciovat jednání Smluvních stran za účasti zplnomocněných zástupců smluvních stran Akcionářské dohody, tj. SMP a Investora, přičemž pro jednání Poskytovatele je v takovém případě závazné stanovisko SMP (jakožto jediného akcionáře Poskytovatele).</w:t>
      </w:r>
    </w:p>
    <w:p w14:paraId="6CF16671" w14:textId="77777777" w:rsidR="004029F2" w:rsidRPr="006B1B30" w:rsidRDefault="004029F2" w:rsidP="00231CC9">
      <w:pPr>
        <w:pStyle w:val="Nadpisy"/>
      </w:pPr>
      <w:bookmarkStart w:id="58" w:name="_Toc55934512"/>
      <w:r w:rsidRPr="006B1B30">
        <w:t>Změny</w:t>
      </w:r>
      <w:bookmarkEnd w:id="58"/>
    </w:p>
    <w:p w14:paraId="03F3ECC6" w14:textId="77777777" w:rsidR="004029F2" w:rsidRPr="006B1B30" w:rsidRDefault="004029F2" w:rsidP="00231CC9">
      <w:pPr>
        <w:numPr>
          <w:ilvl w:val="1"/>
          <w:numId w:val="1"/>
        </w:numPr>
        <w:spacing w:before="240" w:after="60"/>
        <w:ind w:left="567" w:right="0" w:hanging="567"/>
        <w:jc w:val="both"/>
      </w:pPr>
      <w:r w:rsidRPr="006B1B30">
        <w:rPr>
          <w:rFonts w:asciiTheme="minorHAnsi" w:hAnsiTheme="minorHAnsi" w:cstheme="minorHAnsi"/>
        </w:rPr>
        <w:t>Tato Smlouva může být měněna nebo zrušena pouze písemně, a to v případě změn této Smlouvy číslovanými dodatky, které musí být podepsány oběma Smluvními stranami. Pro tyto účely nebude Smluvními stranami za písemnou formu uznána výměna e-mailových ani jiných elektronických zpráv.</w:t>
      </w:r>
    </w:p>
    <w:p w14:paraId="3FCF14D0" w14:textId="77777777" w:rsidR="004029F2" w:rsidRPr="006B1B30" w:rsidRDefault="00DF0311">
      <w:pPr>
        <w:pStyle w:val="Nadpisy"/>
      </w:pPr>
      <w:bookmarkStart w:id="59" w:name="_Toc55934513"/>
      <w:r w:rsidRPr="006B1B30">
        <w:t>Vyhotovení</w:t>
      </w:r>
      <w:bookmarkEnd w:id="59"/>
    </w:p>
    <w:p w14:paraId="065E41D6" w14:textId="1F93A047" w:rsidR="004029F2" w:rsidRPr="006B1B30" w:rsidRDefault="00DF0311" w:rsidP="00F779AF">
      <w:pPr>
        <w:numPr>
          <w:ilvl w:val="1"/>
          <w:numId w:val="1"/>
        </w:numPr>
        <w:spacing w:before="240" w:after="60"/>
        <w:ind w:left="567" w:right="0" w:hanging="567"/>
        <w:jc w:val="both"/>
      </w:pPr>
      <w:r w:rsidRPr="006B1B30">
        <w:t>Tato Smlouva je vyhotovena v</w:t>
      </w:r>
      <w:r w:rsidR="00C517F1">
        <w:t xml:space="preserve"> pěti</w:t>
      </w:r>
      <w:r w:rsidR="00C517F1" w:rsidRPr="006B1B30">
        <w:t xml:space="preserve"> </w:t>
      </w:r>
      <w:r w:rsidRPr="006B1B30">
        <w:t>(</w:t>
      </w:r>
      <w:r w:rsidR="00C517F1">
        <w:rPr>
          <w:rFonts w:asciiTheme="minorHAnsi" w:hAnsiTheme="minorHAnsi" w:cstheme="minorHAnsi"/>
        </w:rPr>
        <w:t>5</w:t>
      </w:r>
      <w:r w:rsidRPr="006B1B30">
        <w:rPr>
          <w:rFonts w:asciiTheme="minorHAnsi" w:hAnsiTheme="minorHAnsi" w:cstheme="minorHAnsi"/>
        </w:rPr>
        <w:t>)</w:t>
      </w:r>
      <w:r w:rsidRPr="006B1B30">
        <w:t xml:space="preserve"> stejnopisech, z nichž každá Smluvní strana obdrží po </w:t>
      </w:r>
      <w:r w:rsidR="00C517F1">
        <w:rPr>
          <w:rFonts w:asciiTheme="minorHAnsi" w:hAnsiTheme="minorHAnsi" w:cstheme="minorHAnsi"/>
        </w:rPr>
        <w:t>dvou</w:t>
      </w:r>
      <w:r w:rsidR="00C517F1" w:rsidRPr="006B1B30">
        <w:rPr>
          <w:rFonts w:asciiTheme="minorHAnsi" w:hAnsiTheme="minorHAnsi" w:cstheme="minorHAnsi"/>
        </w:rPr>
        <w:t xml:space="preserve"> </w:t>
      </w:r>
      <w:r w:rsidRPr="006B1B30">
        <w:rPr>
          <w:rFonts w:asciiTheme="minorHAnsi" w:hAnsiTheme="minorHAnsi" w:cstheme="minorHAnsi"/>
        </w:rPr>
        <w:t>(</w:t>
      </w:r>
      <w:r w:rsidR="00C517F1">
        <w:rPr>
          <w:rFonts w:asciiTheme="minorHAnsi" w:hAnsiTheme="minorHAnsi" w:cstheme="minorHAnsi"/>
        </w:rPr>
        <w:t>2</w:t>
      </w:r>
      <w:r w:rsidRPr="006B1B30">
        <w:rPr>
          <w:rFonts w:asciiTheme="minorHAnsi" w:hAnsiTheme="minorHAnsi" w:cstheme="minorHAnsi"/>
        </w:rPr>
        <w:t>)</w:t>
      </w:r>
      <w:r w:rsidRPr="006B1B30">
        <w:t xml:space="preserve"> vyhotovení</w:t>
      </w:r>
      <w:r w:rsidR="00C517F1">
        <w:t>ch a jedno (1) vyhotovení obdrží SMP</w:t>
      </w:r>
      <w:r w:rsidRPr="006B1B30">
        <w:t>.</w:t>
      </w:r>
    </w:p>
    <w:p w14:paraId="69107326" w14:textId="77777777" w:rsidR="004029F2" w:rsidRPr="006B1B30" w:rsidRDefault="00727492">
      <w:pPr>
        <w:pStyle w:val="Nadpisy"/>
      </w:pPr>
      <w:bookmarkStart w:id="60" w:name="_Toc55934514"/>
      <w:r w:rsidRPr="006B1B30">
        <w:t>Prohlášení o přístupnosti Smlouvy</w:t>
      </w:r>
      <w:bookmarkEnd w:id="60"/>
    </w:p>
    <w:p w14:paraId="371E72CA" w14:textId="77777777" w:rsidR="004029F2" w:rsidRPr="006B1B30" w:rsidRDefault="00727492" w:rsidP="00F779AF">
      <w:pPr>
        <w:numPr>
          <w:ilvl w:val="1"/>
          <w:numId w:val="1"/>
        </w:numPr>
        <w:spacing w:before="240" w:after="60"/>
        <w:ind w:left="567" w:right="0" w:hanging="567"/>
        <w:jc w:val="both"/>
      </w:pPr>
      <w:r w:rsidRPr="006B1B30">
        <w:t>Smluvní strany berou na vědomí a souhlasí s tím, aby tato Smlouva včetně jejích příloh byla způsobem požadovaným platnými a účinnými právními předpisy, zejména zákonem</w:t>
      </w:r>
      <w:r w:rsidRPr="006B1B30">
        <w:rPr>
          <w:spacing w:val="53"/>
        </w:rPr>
        <w:t xml:space="preserve"> </w:t>
      </w:r>
      <w:r w:rsidRPr="006B1B30">
        <w:t>č.</w:t>
      </w:r>
      <w:r w:rsidRPr="006B1B30">
        <w:rPr>
          <w:spacing w:val="20"/>
        </w:rPr>
        <w:t> </w:t>
      </w:r>
      <w:r w:rsidRPr="006B1B30">
        <w:t>340/20</w:t>
      </w:r>
      <w:r w:rsidRPr="006B1B30">
        <w:rPr>
          <w:spacing w:val="-24"/>
        </w:rPr>
        <w:t>1</w:t>
      </w:r>
      <w:r w:rsidRPr="006B1B30">
        <w:t>5</w:t>
      </w:r>
      <w:r w:rsidRPr="006B1B30">
        <w:rPr>
          <w:w w:val="104"/>
        </w:rPr>
        <w:t> </w:t>
      </w:r>
      <w:r w:rsidRPr="006B1B30">
        <w:rPr>
          <w:spacing w:val="-3"/>
        </w:rPr>
        <w:t>Sb.</w:t>
      </w:r>
      <w:r w:rsidRPr="006B1B30">
        <w:rPr>
          <w:spacing w:val="-1"/>
        </w:rPr>
        <w:t xml:space="preserve">, </w:t>
      </w:r>
      <w:r w:rsidRPr="006B1B30">
        <w:t>o</w:t>
      </w:r>
      <w:r w:rsidRPr="006B1B30">
        <w:rPr>
          <w:spacing w:val="19"/>
        </w:rPr>
        <w:t xml:space="preserve"> </w:t>
      </w:r>
      <w:r w:rsidRPr="006B1B30">
        <w:t>zvláštních</w:t>
      </w:r>
      <w:r w:rsidRPr="006B1B30">
        <w:rPr>
          <w:spacing w:val="49"/>
        </w:rPr>
        <w:t xml:space="preserve"> </w:t>
      </w:r>
      <w:r w:rsidRPr="006B1B30">
        <w:t>podmínkách</w:t>
      </w:r>
      <w:r w:rsidRPr="006B1B30">
        <w:rPr>
          <w:spacing w:val="37"/>
        </w:rPr>
        <w:t xml:space="preserve"> </w:t>
      </w:r>
      <w:r w:rsidRPr="006B1B30">
        <w:rPr>
          <w:spacing w:val="-1"/>
        </w:rPr>
        <w:t>účinnosti</w:t>
      </w:r>
      <w:r w:rsidRPr="006B1B30">
        <w:rPr>
          <w:spacing w:val="18"/>
        </w:rPr>
        <w:t xml:space="preserve"> </w:t>
      </w:r>
      <w:r w:rsidRPr="006B1B30">
        <w:t>některých</w:t>
      </w:r>
      <w:r w:rsidRPr="006B1B30">
        <w:rPr>
          <w:spacing w:val="27"/>
        </w:rPr>
        <w:t xml:space="preserve"> </w:t>
      </w:r>
      <w:r w:rsidRPr="006B1B30">
        <w:rPr>
          <w:spacing w:val="1"/>
        </w:rPr>
        <w:t>smluv, uveřejňování těchto smluv</w:t>
      </w:r>
      <w:r w:rsidRPr="006B1B30">
        <w:rPr>
          <w:spacing w:val="20"/>
        </w:rPr>
        <w:t xml:space="preserve"> </w:t>
      </w:r>
      <w:r w:rsidRPr="006B1B30">
        <w:t>a</w:t>
      </w:r>
      <w:r w:rsidRPr="006B1B30">
        <w:rPr>
          <w:spacing w:val="28"/>
        </w:rPr>
        <w:t xml:space="preserve"> </w:t>
      </w:r>
      <w:r w:rsidRPr="006B1B30">
        <w:t>o</w:t>
      </w:r>
      <w:r w:rsidRPr="006B1B30">
        <w:rPr>
          <w:spacing w:val="33"/>
        </w:rPr>
        <w:t xml:space="preserve"> </w:t>
      </w:r>
      <w:r w:rsidRPr="006B1B30">
        <w:rPr>
          <w:spacing w:val="-2"/>
        </w:rPr>
        <w:t>registru</w:t>
      </w:r>
      <w:r w:rsidRPr="006B1B30">
        <w:rPr>
          <w:spacing w:val="25"/>
        </w:rPr>
        <w:t xml:space="preserve"> </w:t>
      </w:r>
      <w:r w:rsidRPr="006B1B30">
        <w:t>smluv</w:t>
      </w:r>
      <w:r w:rsidRPr="006B1B30">
        <w:rPr>
          <w:spacing w:val="33"/>
        </w:rPr>
        <w:t xml:space="preserve"> </w:t>
      </w:r>
      <w:r w:rsidRPr="006B1B30">
        <w:t>(zákon</w:t>
      </w:r>
      <w:r w:rsidRPr="006B1B30">
        <w:rPr>
          <w:spacing w:val="19"/>
        </w:rPr>
        <w:t xml:space="preserve"> </w:t>
      </w:r>
      <w:r w:rsidRPr="006B1B30">
        <w:t>o</w:t>
      </w:r>
      <w:r w:rsidRPr="006B1B30">
        <w:rPr>
          <w:spacing w:val="33"/>
        </w:rPr>
        <w:t xml:space="preserve"> </w:t>
      </w:r>
      <w:r w:rsidRPr="006B1B30">
        <w:rPr>
          <w:spacing w:val="-1"/>
        </w:rPr>
        <w:t>registru</w:t>
      </w:r>
      <w:r w:rsidRPr="006B1B30">
        <w:rPr>
          <w:spacing w:val="23"/>
          <w:w w:val="103"/>
        </w:rPr>
        <w:t xml:space="preserve"> </w:t>
      </w:r>
      <w:r w:rsidRPr="006B1B30">
        <w:t>smluv), ve znění pozdějších předpisů, zveřejněna v registru smluv vedeném Ministerstvem vnitra ČR (dále jen „</w:t>
      </w:r>
      <w:r w:rsidRPr="006B1B30">
        <w:rPr>
          <w:b/>
          <w:bCs/>
        </w:rPr>
        <w:t>Registr Smluv</w:t>
      </w:r>
      <w:r w:rsidRPr="006B1B30">
        <w:t>“)</w:t>
      </w:r>
      <w:r w:rsidRPr="006B1B30">
        <w:rPr>
          <w:bCs/>
        </w:rPr>
        <w:t>.</w:t>
      </w:r>
    </w:p>
    <w:p w14:paraId="26267E22" w14:textId="0667B4E3" w:rsidR="00727492" w:rsidRPr="006B1B30" w:rsidRDefault="00727492" w:rsidP="00F779AF">
      <w:pPr>
        <w:numPr>
          <w:ilvl w:val="1"/>
          <w:numId w:val="1"/>
        </w:numPr>
        <w:spacing w:before="240" w:after="60"/>
        <w:ind w:left="567" w:right="0" w:hanging="567"/>
        <w:jc w:val="both"/>
      </w:pPr>
      <w:r w:rsidRPr="006B1B30">
        <w:rPr>
          <w:bCs/>
        </w:rPr>
        <w:t>Z</w:t>
      </w:r>
      <w:r w:rsidRPr="006B1B30">
        <w:t xml:space="preserve">veřejnění této Smlouvy, jakož i smluv souvisejících a uzavíraných v souvislosti s ní, v Registru smluv včetně zajištění veškerých kroků a potřebných jednání zajistí </w:t>
      </w:r>
      <w:r w:rsidR="00271F99" w:rsidRPr="006B1B30">
        <w:t xml:space="preserve">Poskytovatel </w:t>
      </w:r>
      <w:r w:rsidRPr="006B1B30">
        <w:t xml:space="preserve">bez zbytečného odkladu, nejpozději do </w:t>
      </w:r>
      <w:r w:rsidR="00FE6482">
        <w:t>pěti</w:t>
      </w:r>
      <w:r w:rsidR="00FE6482" w:rsidRPr="006B1B30">
        <w:t xml:space="preserve"> </w:t>
      </w:r>
      <w:r w:rsidRPr="006B1B30">
        <w:t>(</w:t>
      </w:r>
      <w:r w:rsidR="00FE6482">
        <w:t>5</w:t>
      </w:r>
      <w:r w:rsidRPr="006B1B30">
        <w:t>) dnů po uzavření této Smlouvy a bude o něm bezodkladně, nejpozději do tří (3) dnů od jejího zveřejnění</w:t>
      </w:r>
      <w:r w:rsidR="008765F7">
        <w:t>,</w:t>
      </w:r>
      <w:r w:rsidRPr="006B1B30">
        <w:t xml:space="preserve"> informovat </w:t>
      </w:r>
      <w:r w:rsidR="00271F99" w:rsidRPr="006B1B30">
        <w:t>Objednatele</w:t>
      </w:r>
      <w:r w:rsidRPr="006B1B30">
        <w:t>.</w:t>
      </w:r>
    </w:p>
    <w:p w14:paraId="2DC1B485" w14:textId="77777777" w:rsidR="00727492" w:rsidRPr="006B1B30" w:rsidRDefault="00727492" w:rsidP="00F779AF">
      <w:pPr>
        <w:numPr>
          <w:ilvl w:val="1"/>
          <w:numId w:val="1"/>
        </w:numPr>
        <w:spacing w:before="240" w:after="60"/>
        <w:ind w:left="567" w:right="0" w:hanging="567"/>
        <w:jc w:val="both"/>
      </w:pPr>
      <w:r w:rsidRPr="006B1B30">
        <w:rPr>
          <w:bCs/>
        </w:rPr>
        <w:t xml:space="preserve">Pro případ, kdy je v této Smlouvě uvedeno rodné číslo, e-mailová adresa, telefonní číslo, číslo bankovního účtu, bydliště, sídlo či podpis kterékoli ze Smluvních stran, se Smluvní strany dohodly, že tato </w:t>
      </w:r>
      <w:r w:rsidRPr="006B1B30">
        <w:t xml:space="preserve">Smlouva </w:t>
      </w:r>
      <w:r w:rsidRPr="006B1B30">
        <w:rPr>
          <w:bCs/>
        </w:rPr>
        <w:t>bude v Registru smluv uveřejněna bez těchto údajů (popřípadě budou tyto údaje anonymizovány).</w:t>
      </w:r>
    </w:p>
    <w:p w14:paraId="7B3727CE" w14:textId="77777777" w:rsidR="004029F2" w:rsidRPr="006B1B30" w:rsidRDefault="00727492">
      <w:pPr>
        <w:pStyle w:val="Nadpisy"/>
      </w:pPr>
      <w:bookmarkStart w:id="61" w:name="_Toc55934515"/>
      <w:r w:rsidRPr="006B1B30">
        <w:t>Účinnost</w:t>
      </w:r>
      <w:bookmarkEnd w:id="61"/>
    </w:p>
    <w:p w14:paraId="0DFF13B5" w14:textId="773FA453" w:rsidR="004029F2" w:rsidRPr="001A392C" w:rsidRDefault="00727492" w:rsidP="00F779AF">
      <w:pPr>
        <w:numPr>
          <w:ilvl w:val="1"/>
          <w:numId w:val="1"/>
        </w:numPr>
        <w:spacing w:before="240" w:after="60"/>
        <w:ind w:left="567" w:right="0" w:hanging="567"/>
        <w:jc w:val="both"/>
      </w:pPr>
      <w:r w:rsidRPr="006B1B30">
        <w:t xml:space="preserve">Tato Smlouva nabývá platnosti dnem jejího </w:t>
      </w:r>
      <w:r w:rsidRPr="001A392C">
        <w:t xml:space="preserve">podpisu oběma Smluvními stranami a účinnosti </w:t>
      </w:r>
      <w:r w:rsidR="001A392C" w:rsidRPr="001A392C">
        <w:t>dne 16.11.2020</w:t>
      </w:r>
      <w:r w:rsidRPr="001A392C">
        <w:t xml:space="preserve">, či dnem jejího uveřejnění v Registru smluv, pokud by tento den uveřejnění následoval po </w:t>
      </w:r>
      <w:r w:rsidR="001A392C" w:rsidRPr="001A392C">
        <w:t>dni 16.11.2020</w:t>
      </w:r>
      <w:r w:rsidRPr="001A392C">
        <w:t>.</w:t>
      </w:r>
    </w:p>
    <w:p w14:paraId="33CB2816" w14:textId="5F8FF4D8" w:rsidR="005F1263" w:rsidRDefault="00652643" w:rsidP="001A392C">
      <w:pPr>
        <w:spacing w:before="240" w:after="60"/>
        <w:ind w:left="0" w:right="0"/>
        <w:jc w:val="both"/>
        <w:rPr>
          <w:rFonts w:asciiTheme="minorHAnsi" w:hAnsiTheme="minorHAnsi" w:cstheme="minorHAnsi"/>
          <w:i/>
        </w:rPr>
      </w:pPr>
      <w:r w:rsidRPr="006B1B30">
        <w:rPr>
          <w:rFonts w:asciiTheme="minorHAnsi" w:hAnsiTheme="minorHAnsi" w:cstheme="minorHAnsi"/>
          <w:i/>
        </w:rPr>
        <w:t xml:space="preserve">NA DŮKAZ TOHO Smluvní strany prohlašují, že s obsahem této </w:t>
      </w:r>
      <w:r w:rsidR="00BD0045" w:rsidRPr="006B1B30">
        <w:rPr>
          <w:rFonts w:asciiTheme="minorHAnsi" w:hAnsiTheme="minorHAnsi" w:cstheme="minorHAnsi"/>
          <w:i/>
        </w:rPr>
        <w:t>Smlouvy</w:t>
      </w:r>
      <w:r w:rsidRPr="006B1B30">
        <w:rPr>
          <w:rFonts w:asciiTheme="minorHAnsi" w:hAnsiTheme="minorHAnsi" w:cstheme="minorHAnsi"/>
          <w:i/>
        </w:rPr>
        <w:t xml:space="preserve"> souhlasí, rozumí jí a zavazují se k jejímu plnění, připojují své podpisy a prohlašují, že tato </w:t>
      </w:r>
      <w:r w:rsidR="00BD0045" w:rsidRPr="006B1B30">
        <w:rPr>
          <w:rFonts w:asciiTheme="minorHAnsi" w:hAnsiTheme="minorHAnsi" w:cstheme="minorHAnsi"/>
          <w:i/>
        </w:rPr>
        <w:t xml:space="preserve">Smlouva </w:t>
      </w:r>
      <w:r w:rsidRPr="006B1B30">
        <w:rPr>
          <w:rFonts w:asciiTheme="minorHAnsi" w:hAnsiTheme="minorHAnsi" w:cstheme="minorHAnsi"/>
          <w:i/>
        </w:rPr>
        <w:t>byla uzavřena podle jejich svobodné a vážné vůle prosté tísně, zejména tísně finanční.</w:t>
      </w:r>
      <w:r w:rsidR="005F1263">
        <w:rPr>
          <w:rFonts w:asciiTheme="minorHAnsi" w:hAnsiTheme="minorHAnsi" w:cstheme="minorHAnsi"/>
          <w:i/>
        </w:rPr>
        <w:br w:type="page"/>
      </w:r>
    </w:p>
    <w:p w14:paraId="41BD6051" w14:textId="77777777" w:rsidR="00652643" w:rsidRPr="006B1B30" w:rsidRDefault="00652643" w:rsidP="00652643">
      <w:pPr>
        <w:spacing w:before="240" w:after="60"/>
        <w:ind w:left="0" w:right="0"/>
        <w:jc w:val="both"/>
        <w:rPr>
          <w:rFonts w:asciiTheme="minorHAnsi" w:hAnsiTheme="minorHAnsi" w:cstheme="minorHAnsi"/>
          <w:i/>
        </w:rPr>
      </w:pPr>
    </w:p>
    <w:p w14:paraId="63B2E50F" w14:textId="6CA4DF29" w:rsidR="001675C3" w:rsidRPr="005F1263" w:rsidRDefault="005F1263" w:rsidP="005F1263">
      <w:pPr>
        <w:spacing w:after="160" w:line="259" w:lineRule="auto"/>
        <w:ind w:left="0" w:right="0"/>
        <w:jc w:val="center"/>
        <w:rPr>
          <w:rFonts w:asciiTheme="minorHAnsi" w:hAnsiTheme="minorHAnsi" w:cstheme="minorHAnsi"/>
          <w:b/>
          <w:bCs/>
          <w:i/>
        </w:rPr>
      </w:pPr>
      <w:r w:rsidRPr="005F1263">
        <w:rPr>
          <w:rFonts w:asciiTheme="minorHAnsi" w:hAnsiTheme="minorHAnsi" w:cstheme="minorHAnsi"/>
          <w:b/>
          <w:bCs/>
          <w:i/>
        </w:rPr>
        <w:t>PODPISOVÁ STRANA</w:t>
      </w:r>
    </w:p>
    <w:p w14:paraId="0C1209AE" w14:textId="77777777" w:rsidR="005F1263" w:rsidRPr="006B1B30" w:rsidRDefault="005F1263" w:rsidP="009876CB">
      <w:pPr>
        <w:spacing w:after="160" w:line="259" w:lineRule="auto"/>
        <w:ind w:left="0" w:right="0"/>
        <w:rPr>
          <w:rFonts w:asciiTheme="minorHAnsi" w:hAnsiTheme="minorHAnsi" w:cstheme="minorHAnsi"/>
          <w:i/>
        </w:rPr>
      </w:pPr>
    </w:p>
    <w:tbl>
      <w:tblPr>
        <w:tblW w:w="9072" w:type="dxa"/>
        <w:tblInd w:w="108" w:type="dxa"/>
        <w:tblLayout w:type="fixed"/>
        <w:tblCellMar>
          <w:left w:w="0" w:type="dxa"/>
          <w:right w:w="0" w:type="dxa"/>
        </w:tblCellMar>
        <w:tblLook w:val="04A0" w:firstRow="1" w:lastRow="0" w:firstColumn="1" w:lastColumn="0" w:noHBand="0" w:noVBand="1"/>
      </w:tblPr>
      <w:tblGrid>
        <w:gridCol w:w="4003"/>
        <w:gridCol w:w="993"/>
        <w:gridCol w:w="4076"/>
      </w:tblGrid>
      <w:tr w:rsidR="00694C10" w:rsidRPr="006B1B30" w14:paraId="1AB65F99" w14:textId="77777777" w:rsidTr="006140F7">
        <w:trPr>
          <w:trHeight w:val="294"/>
        </w:trPr>
        <w:tc>
          <w:tcPr>
            <w:tcW w:w="4003" w:type="dxa"/>
          </w:tcPr>
          <w:p w14:paraId="25DB3975" w14:textId="5F18AC68" w:rsidR="001675C3" w:rsidRPr="006B1B30" w:rsidRDefault="001675C3" w:rsidP="004D4357">
            <w:pPr>
              <w:rPr>
                <w:rFonts w:cs="Calibri"/>
                <w:bCs/>
              </w:rPr>
            </w:pPr>
            <w:r w:rsidRPr="006B1B30">
              <w:rPr>
                <w:rFonts w:cs="Calibri"/>
              </w:rPr>
              <w:t xml:space="preserve">V Pardubicích dne </w:t>
            </w:r>
            <w:r w:rsidR="004F69FE">
              <w:rPr>
                <w:rFonts w:cs="Calibri"/>
              </w:rPr>
              <w:t>11.11.2020</w:t>
            </w:r>
          </w:p>
          <w:p w14:paraId="66381073" w14:textId="77777777" w:rsidR="001675C3" w:rsidRPr="006B1B30" w:rsidRDefault="001675C3" w:rsidP="004D4357">
            <w:pPr>
              <w:spacing w:before="120"/>
              <w:rPr>
                <w:rFonts w:cs="Calibri"/>
                <w:i/>
                <w:iCs/>
              </w:rPr>
            </w:pPr>
          </w:p>
        </w:tc>
        <w:tc>
          <w:tcPr>
            <w:tcW w:w="993" w:type="dxa"/>
          </w:tcPr>
          <w:p w14:paraId="0FDBE88B" w14:textId="77777777" w:rsidR="001675C3" w:rsidRPr="006B1B30" w:rsidRDefault="001675C3" w:rsidP="004D4357">
            <w:pPr>
              <w:rPr>
                <w:rFonts w:cs="Calibri"/>
              </w:rPr>
            </w:pPr>
          </w:p>
        </w:tc>
        <w:tc>
          <w:tcPr>
            <w:tcW w:w="4076" w:type="dxa"/>
          </w:tcPr>
          <w:p w14:paraId="0274CB08" w14:textId="1F95811A" w:rsidR="001675C3" w:rsidRPr="006B1B30" w:rsidRDefault="001675C3" w:rsidP="004D4357">
            <w:pPr>
              <w:rPr>
                <w:rFonts w:cs="Calibri"/>
                <w:bCs/>
              </w:rPr>
            </w:pPr>
            <w:r w:rsidRPr="006B1B30">
              <w:rPr>
                <w:rFonts w:cs="Calibri"/>
              </w:rPr>
              <w:t xml:space="preserve">V Pardubicích dne </w:t>
            </w:r>
            <w:r w:rsidR="004F69FE">
              <w:rPr>
                <w:rFonts w:cs="Calibri"/>
              </w:rPr>
              <w:t>11.11.2020</w:t>
            </w:r>
          </w:p>
          <w:p w14:paraId="559D9DAA" w14:textId="77777777" w:rsidR="001675C3" w:rsidRPr="006B1B30" w:rsidRDefault="001675C3" w:rsidP="004D4357">
            <w:pPr>
              <w:spacing w:before="120"/>
              <w:rPr>
                <w:rFonts w:cs="Calibri"/>
                <w:i/>
                <w:iCs/>
              </w:rPr>
            </w:pPr>
          </w:p>
        </w:tc>
      </w:tr>
      <w:tr w:rsidR="00694C10" w:rsidRPr="006B1B30" w14:paraId="235D5FF4" w14:textId="77777777" w:rsidTr="006140F7">
        <w:trPr>
          <w:trHeight w:val="903"/>
        </w:trPr>
        <w:tc>
          <w:tcPr>
            <w:tcW w:w="4003" w:type="dxa"/>
            <w:tcBorders>
              <w:bottom w:val="single" w:sz="4" w:space="0" w:color="auto"/>
            </w:tcBorders>
          </w:tcPr>
          <w:p w14:paraId="617E3D15" w14:textId="77777777" w:rsidR="001675C3" w:rsidRPr="006B1B30" w:rsidRDefault="001675C3" w:rsidP="004D4357">
            <w:pPr>
              <w:rPr>
                <w:rFonts w:cs="Calibri"/>
              </w:rPr>
            </w:pPr>
          </w:p>
          <w:p w14:paraId="42FA39ED" w14:textId="77777777" w:rsidR="001675C3" w:rsidRPr="006B1B30" w:rsidRDefault="001675C3" w:rsidP="004D4357">
            <w:pPr>
              <w:rPr>
                <w:rFonts w:cs="Calibri"/>
              </w:rPr>
            </w:pPr>
          </w:p>
          <w:p w14:paraId="148D1723" w14:textId="77777777" w:rsidR="001675C3" w:rsidRPr="006B1B30" w:rsidRDefault="001675C3" w:rsidP="004D4357">
            <w:pPr>
              <w:rPr>
                <w:rFonts w:cs="Calibri"/>
              </w:rPr>
            </w:pPr>
          </w:p>
        </w:tc>
        <w:tc>
          <w:tcPr>
            <w:tcW w:w="993" w:type="dxa"/>
          </w:tcPr>
          <w:p w14:paraId="03BD4B9F" w14:textId="77777777" w:rsidR="001675C3" w:rsidRPr="006B1B30" w:rsidRDefault="001675C3" w:rsidP="004D4357">
            <w:pPr>
              <w:rPr>
                <w:rFonts w:cs="Calibri"/>
              </w:rPr>
            </w:pPr>
          </w:p>
        </w:tc>
        <w:tc>
          <w:tcPr>
            <w:tcW w:w="4076" w:type="dxa"/>
            <w:tcBorders>
              <w:bottom w:val="single" w:sz="4" w:space="0" w:color="auto"/>
            </w:tcBorders>
          </w:tcPr>
          <w:p w14:paraId="100AC531" w14:textId="77777777" w:rsidR="001675C3" w:rsidRPr="006B1B30" w:rsidRDefault="001675C3" w:rsidP="004D4357">
            <w:pPr>
              <w:rPr>
                <w:rFonts w:cs="Calibri"/>
              </w:rPr>
            </w:pPr>
          </w:p>
          <w:p w14:paraId="083BA5A5" w14:textId="77777777" w:rsidR="001675C3" w:rsidRPr="006B1B30" w:rsidRDefault="001675C3" w:rsidP="004D4357">
            <w:pPr>
              <w:rPr>
                <w:rFonts w:cs="Calibri"/>
              </w:rPr>
            </w:pPr>
          </w:p>
          <w:p w14:paraId="734E714C" w14:textId="77777777" w:rsidR="001675C3" w:rsidRPr="006B1B30" w:rsidRDefault="001675C3" w:rsidP="004D4357">
            <w:pPr>
              <w:rPr>
                <w:rFonts w:cs="Calibri"/>
              </w:rPr>
            </w:pPr>
          </w:p>
        </w:tc>
      </w:tr>
      <w:tr w:rsidR="00276CE1" w:rsidRPr="006B1B30" w14:paraId="17C79893" w14:textId="77777777" w:rsidTr="006140F7">
        <w:trPr>
          <w:trHeight w:val="70"/>
        </w:trPr>
        <w:tc>
          <w:tcPr>
            <w:tcW w:w="4003" w:type="dxa"/>
            <w:tcBorders>
              <w:top w:val="single" w:sz="4" w:space="0" w:color="auto"/>
            </w:tcBorders>
          </w:tcPr>
          <w:p w14:paraId="5036EA7B" w14:textId="77777777" w:rsidR="001675C3" w:rsidRPr="006B1B30" w:rsidRDefault="001675C3" w:rsidP="004D4357">
            <w:pPr>
              <w:jc w:val="center"/>
              <w:rPr>
                <w:rFonts w:cs="Calibri"/>
                <w:b/>
                <w:bCs/>
              </w:rPr>
            </w:pPr>
            <w:r w:rsidRPr="006B1B30">
              <w:rPr>
                <w:rFonts w:cs="Calibri"/>
                <w:b/>
              </w:rPr>
              <w:t>Rozvojový fond Pardubice a.s.</w:t>
            </w:r>
          </w:p>
          <w:p w14:paraId="65CE5E87" w14:textId="77777777" w:rsidR="001675C3" w:rsidRPr="006B1B30" w:rsidRDefault="001675C3" w:rsidP="004D4357">
            <w:pPr>
              <w:jc w:val="center"/>
              <w:rPr>
                <w:rFonts w:cs="Calibri"/>
                <w:b/>
              </w:rPr>
            </w:pPr>
            <w:r w:rsidRPr="006B1B30">
              <w:rPr>
                <w:rFonts w:cs="Calibri"/>
              </w:rPr>
              <w:t>Ing. Alexandr Krejčíř</w:t>
            </w:r>
          </w:p>
          <w:p w14:paraId="390D45D3" w14:textId="77777777" w:rsidR="001675C3" w:rsidRPr="006B1B30" w:rsidRDefault="001675C3" w:rsidP="004D4357">
            <w:pPr>
              <w:jc w:val="center"/>
              <w:rPr>
                <w:rFonts w:cs="Calibri"/>
                <w:bCs/>
              </w:rPr>
            </w:pPr>
            <w:r w:rsidRPr="006B1B30">
              <w:rPr>
                <w:rFonts w:cs="Calibri"/>
              </w:rPr>
              <w:t>předseda představenstva</w:t>
            </w:r>
          </w:p>
        </w:tc>
        <w:tc>
          <w:tcPr>
            <w:tcW w:w="993" w:type="dxa"/>
          </w:tcPr>
          <w:p w14:paraId="4D3C6EE4" w14:textId="77777777" w:rsidR="001675C3" w:rsidRPr="006B1B30" w:rsidRDefault="001675C3" w:rsidP="004D4357">
            <w:pPr>
              <w:jc w:val="center"/>
              <w:rPr>
                <w:rFonts w:cs="Calibri"/>
              </w:rPr>
            </w:pPr>
          </w:p>
        </w:tc>
        <w:tc>
          <w:tcPr>
            <w:tcW w:w="4076" w:type="dxa"/>
            <w:tcBorders>
              <w:top w:val="single" w:sz="4" w:space="0" w:color="auto"/>
            </w:tcBorders>
          </w:tcPr>
          <w:p w14:paraId="2277065C" w14:textId="77777777" w:rsidR="001675C3" w:rsidRPr="006B1B30" w:rsidRDefault="001675C3" w:rsidP="004D4357">
            <w:pPr>
              <w:jc w:val="center"/>
              <w:rPr>
                <w:rFonts w:cs="Calibri"/>
                <w:b/>
                <w:bCs/>
              </w:rPr>
            </w:pPr>
            <w:r w:rsidRPr="006B1B30">
              <w:rPr>
                <w:rFonts w:cs="Calibri"/>
                <w:b/>
              </w:rPr>
              <w:t>Rozvojový fond Pardubice a.s.</w:t>
            </w:r>
          </w:p>
          <w:p w14:paraId="4B3BAF9E" w14:textId="77777777" w:rsidR="001675C3" w:rsidRPr="006B1B30" w:rsidRDefault="001675C3" w:rsidP="004D4357">
            <w:pPr>
              <w:jc w:val="center"/>
              <w:rPr>
                <w:rFonts w:cs="Calibri"/>
                <w:b/>
              </w:rPr>
            </w:pPr>
            <w:r w:rsidRPr="006B1B30">
              <w:rPr>
                <w:rFonts w:cs="Calibri"/>
              </w:rPr>
              <w:t>Mgr. Ondřej Šebek</w:t>
            </w:r>
          </w:p>
          <w:p w14:paraId="4BCD2314" w14:textId="77777777" w:rsidR="001675C3" w:rsidRPr="006B1B30" w:rsidRDefault="001675C3" w:rsidP="004D4357">
            <w:pPr>
              <w:jc w:val="center"/>
              <w:rPr>
                <w:rFonts w:cs="Calibri"/>
              </w:rPr>
            </w:pPr>
            <w:r w:rsidRPr="006B1B30">
              <w:rPr>
                <w:rFonts w:cs="Calibri"/>
              </w:rPr>
              <w:t>místopředseda představenstva</w:t>
            </w:r>
          </w:p>
        </w:tc>
      </w:tr>
    </w:tbl>
    <w:p w14:paraId="5F34FEDD" w14:textId="77777777" w:rsidR="001675C3" w:rsidRPr="006B1B30" w:rsidRDefault="001675C3" w:rsidP="001675C3">
      <w:pPr>
        <w:jc w:val="both"/>
        <w:rPr>
          <w:rFonts w:asciiTheme="minorHAnsi" w:hAnsiTheme="minorHAnsi"/>
          <w:i/>
        </w:rPr>
      </w:pPr>
    </w:p>
    <w:p w14:paraId="0F225EB9" w14:textId="77777777" w:rsidR="001675C3" w:rsidRPr="006B1B30" w:rsidRDefault="001675C3" w:rsidP="001675C3">
      <w:pPr>
        <w:jc w:val="both"/>
        <w:rPr>
          <w:rFonts w:asciiTheme="minorHAnsi" w:hAnsiTheme="minorHAnsi"/>
          <w:i/>
        </w:rPr>
      </w:pPr>
    </w:p>
    <w:tbl>
      <w:tblPr>
        <w:tblW w:w="9072" w:type="dxa"/>
        <w:tblInd w:w="108" w:type="dxa"/>
        <w:tblLayout w:type="fixed"/>
        <w:tblCellMar>
          <w:left w:w="0" w:type="dxa"/>
          <w:right w:w="0" w:type="dxa"/>
        </w:tblCellMar>
        <w:tblLook w:val="04A0" w:firstRow="1" w:lastRow="0" w:firstColumn="1" w:lastColumn="0" w:noHBand="0" w:noVBand="1"/>
      </w:tblPr>
      <w:tblGrid>
        <w:gridCol w:w="4003"/>
        <w:gridCol w:w="993"/>
        <w:gridCol w:w="4076"/>
      </w:tblGrid>
      <w:tr w:rsidR="00694C10" w:rsidRPr="006B1B30" w14:paraId="63879C8F" w14:textId="77777777" w:rsidTr="00B8400C">
        <w:trPr>
          <w:trHeight w:val="294"/>
        </w:trPr>
        <w:tc>
          <w:tcPr>
            <w:tcW w:w="4003" w:type="dxa"/>
          </w:tcPr>
          <w:p w14:paraId="34988B0B" w14:textId="4554B560" w:rsidR="001675C3" w:rsidRPr="006B1B30" w:rsidRDefault="001675C3" w:rsidP="004D4357">
            <w:pPr>
              <w:rPr>
                <w:rFonts w:cs="Calibri"/>
                <w:bCs/>
              </w:rPr>
            </w:pPr>
            <w:r w:rsidRPr="006B1B30">
              <w:rPr>
                <w:rFonts w:cs="Calibri"/>
              </w:rPr>
              <w:t xml:space="preserve">V Pardubicích dne </w:t>
            </w:r>
            <w:r w:rsidR="004F69FE">
              <w:rPr>
                <w:rFonts w:cs="Calibri"/>
              </w:rPr>
              <w:t>11.11.2020</w:t>
            </w:r>
          </w:p>
          <w:p w14:paraId="5B1AE270" w14:textId="77777777" w:rsidR="001675C3" w:rsidRPr="006B1B30" w:rsidRDefault="001675C3" w:rsidP="004D4357">
            <w:pPr>
              <w:spacing w:before="120"/>
              <w:rPr>
                <w:rFonts w:cs="Calibri"/>
                <w:i/>
                <w:iCs/>
              </w:rPr>
            </w:pPr>
          </w:p>
        </w:tc>
        <w:tc>
          <w:tcPr>
            <w:tcW w:w="993" w:type="dxa"/>
          </w:tcPr>
          <w:p w14:paraId="316DBA6E" w14:textId="77777777" w:rsidR="001675C3" w:rsidRPr="006B1B30" w:rsidRDefault="001675C3" w:rsidP="004D4357">
            <w:pPr>
              <w:rPr>
                <w:rFonts w:cs="Calibri"/>
              </w:rPr>
            </w:pPr>
          </w:p>
        </w:tc>
        <w:tc>
          <w:tcPr>
            <w:tcW w:w="4076" w:type="dxa"/>
          </w:tcPr>
          <w:p w14:paraId="5995DC56" w14:textId="531328A5" w:rsidR="001675C3" w:rsidRPr="006B1B30" w:rsidRDefault="001675C3" w:rsidP="004D4357">
            <w:pPr>
              <w:rPr>
                <w:rFonts w:cs="Calibri"/>
                <w:bCs/>
              </w:rPr>
            </w:pPr>
            <w:r w:rsidRPr="006B1B30">
              <w:rPr>
                <w:rFonts w:cs="Calibri"/>
              </w:rPr>
              <w:t xml:space="preserve">V Pardubicích dne </w:t>
            </w:r>
            <w:r w:rsidR="004F69FE">
              <w:rPr>
                <w:rFonts w:cs="Calibri"/>
              </w:rPr>
              <w:t>11.11.2020</w:t>
            </w:r>
          </w:p>
          <w:p w14:paraId="6532A8EE" w14:textId="77777777" w:rsidR="001675C3" w:rsidRPr="006B1B30" w:rsidRDefault="001675C3" w:rsidP="004D4357">
            <w:pPr>
              <w:spacing w:before="120"/>
              <w:rPr>
                <w:rFonts w:cs="Calibri"/>
                <w:i/>
                <w:iCs/>
              </w:rPr>
            </w:pPr>
          </w:p>
        </w:tc>
      </w:tr>
      <w:tr w:rsidR="00694C10" w:rsidRPr="006B1B30" w14:paraId="13752CDF" w14:textId="77777777" w:rsidTr="00B8400C">
        <w:trPr>
          <w:trHeight w:val="903"/>
        </w:trPr>
        <w:tc>
          <w:tcPr>
            <w:tcW w:w="4003" w:type="dxa"/>
            <w:tcBorders>
              <w:bottom w:val="single" w:sz="4" w:space="0" w:color="auto"/>
            </w:tcBorders>
          </w:tcPr>
          <w:p w14:paraId="648DFB94" w14:textId="77777777" w:rsidR="001675C3" w:rsidRPr="006B1B30" w:rsidRDefault="001675C3" w:rsidP="004D4357">
            <w:pPr>
              <w:rPr>
                <w:rFonts w:cs="Calibri"/>
              </w:rPr>
            </w:pPr>
          </w:p>
          <w:p w14:paraId="35F9509B" w14:textId="77777777" w:rsidR="001675C3" w:rsidRPr="006B1B30" w:rsidRDefault="001675C3" w:rsidP="004D4357">
            <w:pPr>
              <w:rPr>
                <w:rFonts w:cs="Calibri"/>
              </w:rPr>
            </w:pPr>
          </w:p>
          <w:p w14:paraId="38961D1B" w14:textId="77777777" w:rsidR="001675C3" w:rsidRPr="006B1B30" w:rsidRDefault="001675C3" w:rsidP="004D4357">
            <w:pPr>
              <w:rPr>
                <w:rFonts w:cs="Calibri"/>
              </w:rPr>
            </w:pPr>
          </w:p>
        </w:tc>
        <w:tc>
          <w:tcPr>
            <w:tcW w:w="993" w:type="dxa"/>
          </w:tcPr>
          <w:p w14:paraId="71E763A1" w14:textId="77777777" w:rsidR="001675C3" w:rsidRPr="006B1B30" w:rsidRDefault="001675C3" w:rsidP="004D4357">
            <w:pPr>
              <w:rPr>
                <w:rFonts w:cs="Calibri"/>
              </w:rPr>
            </w:pPr>
          </w:p>
        </w:tc>
        <w:tc>
          <w:tcPr>
            <w:tcW w:w="4076" w:type="dxa"/>
            <w:tcBorders>
              <w:bottom w:val="single" w:sz="4" w:space="0" w:color="auto"/>
            </w:tcBorders>
          </w:tcPr>
          <w:p w14:paraId="54E61AFD" w14:textId="77777777" w:rsidR="001675C3" w:rsidRPr="006B1B30" w:rsidRDefault="001675C3" w:rsidP="004D4357">
            <w:pPr>
              <w:rPr>
                <w:rFonts w:cs="Calibri"/>
              </w:rPr>
            </w:pPr>
          </w:p>
          <w:p w14:paraId="1AA62D5C" w14:textId="77777777" w:rsidR="001675C3" w:rsidRPr="006B1B30" w:rsidRDefault="001675C3" w:rsidP="004D4357">
            <w:pPr>
              <w:rPr>
                <w:rFonts w:cs="Calibri"/>
              </w:rPr>
            </w:pPr>
          </w:p>
          <w:p w14:paraId="7426E6E7" w14:textId="77777777" w:rsidR="001675C3" w:rsidRPr="006B1B30" w:rsidRDefault="001675C3" w:rsidP="004D4357">
            <w:pPr>
              <w:rPr>
                <w:rFonts w:cs="Calibri"/>
              </w:rPr>
            </w:pPr>
          </w:p>
        </w:tc>
      </w:tr>
      <w:tr w:rsidR="00F2198C" w:rsidRPr="006B1B30" w14:paraId="650E2A30" w14:textId="77777777" w:rsidTr="00F2198C">
        <w:trPr>
          <w:trHeight w:val="70"/>
        </w:trPr>
        <w:tc>
          <w:tcPr>
            <w:tcW w:w="4003" w:type="dxa"/>
            <w:tcBorders>
              <w:top w:val="single" w:sz="4" w:space="0" w:color="auto"/>
            </w:tcBorders>
          </w:tcPr>
          <w:p w14:paraId="114731B8" w14:textId="77777777" w:rsidR="001675C3" w:rsidRPr="006B1B30" w:rsidRDefault="001675C3" w:rsidP="004D4357">
            <w:pPr>
              <w:jc w:val="center"/>
              <w:rPr>
                <w:rFonts w:cs="Calibri"/>
                <w:b/>
                <w:bCs/>
              </w:rPr>
            </w:pPr>
            <w:r w:rsidRPr="006B1B30">
              <w:rPr>
                <w:rFonts w:asciiTheme="minorHAnsi" w:hAnsiTheme="minorHAnsi" w:cstheme="minorHAnsi"/>
                <w:b/>
              </w:rPr>
              <w:t>HOCKEY CLUB DYNAMO PARDUBICE a.s.</w:t>
            </w:r>
          </w:p>
          <w:p w14:paraId="734B16FD" w14:textId="77777777" w:rsidR="001675C3" w:rsidRPr="006B1B30" w:rsidRDefault="001675C3" w:rsidP="004D4357">
            <w:pPr>
              <w:jc w:val="center"/>
              <w:rPr>
                <w:rFonts w:cs="Calibri"/>
                <w:b/>
              </w:rPr>
            </w:pPr>
            <w:r w:rsidRPr="006B1B30">
              <w:rPr>
                <w:rFonts w:cs="Calibri"/>
              </w:rPr>
              <w:t>Mgr. Ondřej Heřman</w:t>
            </w:r>
          </w:p>
          <w:p w14:paraId="22BDDC20" w14:textId="77777777" w:rsidR="001675C3" w:rsidRPr="006B1B30" w:rsidRDefault="001675C3" w:rsidP="004D4357">
            <w:pPr>
              <w:jc w:val="center"/>
              <w:rPr>
                <w:rFonts w:cs="Calibri"/>
                <w:bCs/>
              </w:rPr>
            </w:pPr>
            <w:r w:rsidRPr="006B1B30">
              <w:rPr>
                <w:rFonts w:cs="Calibri"/>
              </w:rPr>
              <w:t>předseda představenstva</w:t>
            </w:r>
          </w:p>
        </w:tc>
        <w:tc>
          <w:tcPr>
            <w:tcW w:w="993" w:type="dxa"/>
          </w:tcPr>
          <w:p w14:paraId="68B286F9" w14:textId="77777777" w:rsidR="001675C3" w:rsidRPr="006B1B30" w:rsidRDefault="001675C3" w:rsidP="004D4357">
            <w:pPr>
              <w:jc w:val="center"/>
              <w:rPr>
                <w:rFonts w:cs="Calibri"/>
              </w:rPr>
            </w:pPr>
          </w:p>
        </w:tc>
        <w:tc>
          <w:tcPr>
            <w:tcW w:w="4076" w:type="dxa"/>
            <w:tcBorders>
              <w:top w:val="single" w:sz="4" w:space="0" w:color="auto"/>
            </w:tcBorders>
          </w:tcPr>
          <w:p w14:paraId="23F0E603" w14:textId="77777777" w:rsidR="001675C3" w:rsidRPr="006B1B30" w:rsidRDefault="001675C3" w:rsidP="004D4357">
            <w:pPr>
              <w:jc w:val="center"/>
              <w:rPr>
                <w:rFonts w:cs="Calibri"/>
                <w:b/>
                <w:bCs/>
              </w:rPr>
            </w:pPr>
            <w:r w:rsidRPr="006B1B30">
              <w:rPr>
                <w:rFonts w:asciiTheme="minorHAnsi" w:hAnsiTheme="minorHAnsi" w:cstheme="minorHAnsi"/>
                <w:b/>
              </w:rPr>
              <w:t>HOCKEY CLUB DYNAMO PARDUBICE a.s.</w:t>
            </w:r>
          </w:p>
          <w:p w14:paraId="6BB4B59D" w14:textId="77777777" w:rsidR="001675C3" w:rsidRPr="006B1B30" w:rsidRDefault="001675C3" w:rsidP="004D4357">
            <w:pPr>
              <w:jc w:val="center"/>
              <w:rPr>
                <w:rFonts w:cs="Calibri"/>
                <w:b/>
              </w:rPr>
            </w:pPr>
            <w:r w:rsidRPr="006B1B30">
              <w:rPr>
                <w:rFonts w:cs="Calibri"/>
              </w:rPr>
              <w:t>Mgr. Ivan Čonka</w:t>
            </w:r>
          </w:p>
          <w:p w14:paraId="0EA82E8A" w14:textId="7905AA0F" w:rsidR="004122B7" w:rsidRPr="006B1B30" w:rsidRDefault="001675C3" w:rsidP="004122B7">
            <w:pPr>
              <w:jc w:val="center"/>
              <w:rPr>
                <w:rFonts w:cs="Calibri"/>
              </w:rPr>
            </w:pPr>
            <w:r w:rsidRPr="006B1B30">
              <w:rPr>
                <w:rFonts w:cs="Calibri"/>
              </w:rPr>
              <w:t>místopředseda představenstva</w:t>
            </w:r>
          </w:p>
        </w:tc>
      </w:tr>
    </w:tbl>
    <w:p w14:paraId="6B756D45" w14:textId="77777777" w:rsidR="001675C3" w:rsidRPr="006B1B30" w:rsidRDefault="001675C3" w:rsidP="001675C3">
      <w:pPr>
        <w:jc w:val="both"/>
        <w:rPr>
          <w:rFonts w:asciiTheme="minorHAnsi" w:hAnsiTheme="minorHAnsi"/>
          <w:i/>
        </w:rPr>
      </w:pPr>
    </w:p>
    <w:sectPr w:rsidR="001675C3" w:rsidRPr="006B1B30" w:rsidSect="001D1AB3">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5" w:left="1418" w:header="510"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67B65" w14:textId="77777777" w:rsidR="003C3BB5" w:rsidRDefault="003C3BB5">
      <w:r>
        <w:separator/>
      </w:r>
    </w:p>
  </w:endnote>
  <w:endnote w:type="continuationSeparator" w:id="0">
    <w:p w14:paraId="6DF511E0" w14:textId="77777777" w:rsidR="003C3BB5" w:rsidRDefault="003C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1FC" w14:textId="77777777" w:rsidR="00654081" w:rsidRDefault="00654081">
    <w:pPr>
      <w:pStyle w:val="Zpat"/>
    </w:pPr>
  </w:p>
  <w:p w14:paraId="4C80E568" w14:textId="77777777" w:rsidR="00654081" w:rsidRDefault="00654081"/>
  <w:p w14:paraId="07ED9DDA" w14:textId="77777777" w:rsidR="00654081" w:rsidRDefault="00654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EC3" w14:textId="77777777" w:rsidR="00654081" w:rsidRPr="003529F5" w:rsidRDefault="00654081" w:rsidP="001D02BC">
    <w:pPr>
      <w:pStyle w:val="Zpat"/>
      <w:tabs>
        <w:tab w:val="center" w:pos="3756"/>
        <w:tab w:val="left" w:pos="4918"/>
      </w:tabs>
    </w:pPr>
    <w:r>
      <w:tab/>
    </w:r>
    <w:r>
      <w:tab/>
    </w:r>
  </w:p>
  <w:p w14:paraId="0052FF35" w14:textId="77777777" w:rsidR="00654081" w:rsidRDefault="006540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93FD" w14:textId="77777777" w:rsidR="00654081" w:rsidRDefault="0065408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F681" w14:textId="77777777" w:rsidR="00654081" w:rsidRPr="009C5B37" w:rsidRDefault="00654081" w:rsidP="001D02BC">
    <w:pPr>
      <w:pStyle w:val="Zpat"/>
      <w:jc w:val="center"/>
      <w:rPr>
        <w:bCs/>
        <w:szCs w:val="24"/>
      </w:rPr>
    </w:pPr>
    <w:r w:rsidRPr="009C5B37">
      <w:rPr>
        <w:bCs/>
        <w:szCs w:val="24"/>
      </w:rPr>
      <w:fldChar w:fldCharType="begin"/>
    </w:r>
    <w:r w:rsidRPr="009C5B37">
      <w:rPr>
        <w:bCs/>
        <w:szCs w:val="24"/>
      </w:rPr>
      <w:instrText>PAGE</w:instrText>
    </w:r>
    <w:r w:rsidRPr="009C5B37">
      <w:rPr>
        <w:bCs/>
        <w:szCs w:val="24"/>
      </w:rPr>
      <w:fldChar w:fldCharType="separate"/>
    </w:r>
    <w:r>
      <w:rPr>
        <w:bCs/>
        <w:noProof/>
        <w:szCs w:val="24"/>
      </w:rPr>
      <w:t>18</w:t>
    </w:r>
    <w:r w:rsidRPr="009C5B37">
      <w:rPr>
        <w:bCs/>
        <w:szCs w:val="24"/>
      </w:rPr>
      <w:fldChar w:fldCharType="end"/>
    </w:r>
    <w:r w:rsidRPr="009C5B37">
      <w:rPr>
        <w:szCs w:val="24"/>
      </w:rPr>
      <w:t>/</w:t>
    </w:r>
    <w:r w:rsidRPr="009C5B37">
      <w:rPr>
        <w:bCs/>
        <w:szCs w:val="24"/>
      </w:rPr>
      <w:fldChar w:fldCharType="begin"/>
    </w:r>
    <w:r w:rsidRPr="009C5B37">
      <w:rPr>
        <w:bCs/>
        <w:szCs w:val="24"/>
      </w:rPr>
      <w:instrText>NUMPAGES</w:instrText>
    </w:r>
    <w:r w:rsidRPr="009C5B37">
      <w:rPr>
        <w:bCs/>
        <w:szCs w:val="24"/>
      </w:rPr>
      <w:fldChar w:fldCharType="separate"/>
    </w:r>
    <w:r>
      <w:rPr>
        <w:bCs/>
        <w:noProof/>
        <w:szCs w:val="24"/>
      </w:rPr>
      <w:t>18</w:t>
    </w:r>
    <w:r w:rsidRPr="009C5B37">
      <w:rPr>
        <w:bCs/>
        <w:szCs w:val="24"/>
      </w:rPr>
      <w:fldChar w:fldCharType="end"/>
    </w:r>
  </w:p>
  <w:p w14:paraId="231E8C1B" w14:textId="77777777" w:rsidR="00654081" w:rsidRPr="00B135B0" w:rsidRDefault="00654081" w:rsidP="001D02BC">
    <w:pPr>
      <w:pStyle w:val="Zpa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217F" w14:textId="797EC224" w:rsidR="00654081" w:rsidRPr="00E71668" w:rsidRDefault="00DE3814" w:rsidP="001D02BC">
    <w:pPr>
      <w:tabs>
        <w:tab w:val="center" w:pos="4536"/>
        <w:tab w:val="left" w:pos="6772"/>
        <w:tab w:val="right" w:pos="9072"/>
      </w:tabs>
      <w:spacing w:after="200" w:line="252" w:lineRule="auto"/>
      <w:ind w:left="0" w:right="0"/>
      <w:jc w:val="center"/>
      <w:rPr>
        <w:rFonts w:ascii="Cambria" w:eastAsia="Times New Roman" w:hAnsi="Cambria"/>
        <w:color w:val="000000"/>
        <w:lang w:eastAsia="cs-CZ"/>
      </w:rPr>
    </w:pPr>
    <w:sdt>
      <w:sdtPr>
        <w:rPr>
          <w:rFonts w:ascii="Cambria" w:eastAsia="Times New Roman" w:hAnsi="Cambria"/>
          <w:color w:val="000000"/>
          <w:lang w:eastAsia="cs-CZ"/>
        </w:rPr>
        <w:id w:val="-1550605035"/>
        <w:docPartObj>
          <w:docPartGallery w:val="Page Numbers (Bottom of Page)"/>
          <w:docPartUnique/>
        </w:docPartObj>
      </w:sdtPr>
      <w:sdtEndPr/>
      <w:sdtContent>
        <w:sdt>
          <w:sdtPr>
            <w:rPr>
              <w:rFonts w:ascii="Cambria" w:eastAsia="Times New Roman" w:hAnsi="Cambria"/>
              <w:color w:val="000000"/>
              <w:lang w:eastAsia="cs-CZ"/>
            </w:rPr>
            <w:id w:val="-2099783018"/>
            <w:docPartObj>
              <w:docPartGallery w:val="Page Numbers (Top of Page)"/>
              <w:docPartUnique/>
            </w:docPartObj>
          </w:sdtPr>
          <w:sdtEndPr/>
          <w:sdtContent>
            <w:r w:rsidR="00654081" w:rsidRPr="00E71668">
              <w:rPr>
                <w:rFonts w:eastAsia="Times New Roman"/>
                <w:bCs/>
                <w:color w:val="000000"/>
                <w:lang w:eastAsia="cs-CZ"/>
              </w:rPr>
              <w:fldChar w:fldCharType="begin"/>
            </w:r>
            <w:r w:rsidR="00654081" w:rsidRPr="00E71668">
              <w:rPr>
                <w:rFonts w:eastAsia="Times New Roman"/>
                <w:bCs/>
                <w:color w:val="000000"/>
                <w:lang w:eastAsia="cs-CZ"/>
              </w:rPr>
              <w:instrText>PAGE</w:instrText>
            </w:r>
            <w:r w:rsidR="00654081" w:rsidRPr="00E71668">
              <w:rPr>
                <w:rFonts w:eastAsia="Times New Roman"/>
                <w:bCs/>
                <w:color w:val="000000"/>
                <w:lang w:eastAsia="cs-CZ"/>
              </w:rPr>
              <w:fldChar w:fldCharType="separate"/>
            </w:r>
            <w:r w:rsidR="00654081">
              <w:rPr>
                <w:rFonts w:eastAsia="Times New Roman"/>
                <w:bCs/>
                <w:noProof/>
                <w:color w:val="000000"/>
                <w:lang w:eastAsia="cs-CZ"/>
              </w:rPr>
              <w:t>2</w:t>
            </w:r>
            <w:r w:rsidR="00654081" w:rsidRPr="00E71668">
              <w:rPr>
                <w:rFonts w:eastAsia="Times New Roman"/>
                <w:bCs/>
                <w:color w:val="000000"/>
                <w:lang w:eastAsia="cs-CZ"/>
              </w:rPr>
              <w:fldChar w:fldCharType="end"/>
            </w:r>
            <w:r w:rsidR="00654081" w:rsidRPr="00E71668">
              <w:rPr>
                <w:rFonts w:eastAsia="Times New Roman"/>
                <w:bCs/>
                <w:color w:val="000000"/>
                <w:lang w:eastAsia="cs-CZ"/>
              </w:rPr>
              <w:t>/</w:t>
            </w:r>
            <w:r w:rsidR="00C9005D">
              <w:rPr>
                <w:rFonts w:eastAsia="Times New Roman"/>
                <w:bCs/>
                <w:color w:val="000000"/>
                <w:lang w:eastAsia="cs-CZ"/>
              </w:rPr>
              <w:t>17</w:t>
            </w:r>
          </w:sdtContent>
        </w:sdt>
      </w:sdtContent>
    </w:sdt>
  </w:p>
  <w:p w14:paraId="7253CB0B" w14:textId="77777777" w:rsidR="00654081" w:rsidRDefault="006540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AFE4" w14:textId="77777777" w:rsidR="003C3BB5" w:rsidRDefault="003C3BB5">
      <w:r>
        <w:separator/>
      </w:r>
    </w:p>
  </w:footnote>
  <w:footnote w:type="continuationSeparator" w:id="0">
    <w:p w14:paraId="3AA99774" w14:textId="77777777" w:rsidR="003C3BB5" w:rsidRDefault="003C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2D57" w14:textId="77777777" w:rsidR="00654081" w:rsidRDefault="00654081">
    <w:pPr>
      <w:pStyle w:val="Zhlav"/>
    </w:pPr>
  </w:p>
  <w:p w14:paraId="64972BA9" w14:textId="77777777" w:rsidR="00654081" w:rsidRDefault="00654081" w:rsidP="001D02BC">
    <w:r>
      <w:tab/>
    </w:r>
    <w:r w:rsidRPr="009D1D9B">
      <w:rPr>
        <w:rFonts w:asciiTheme="minorHAnsi" w:hAnsiTheme="minorHAnsi" w:cstheme="minorHAnsi"/>
        <w:noProof/>
        <w:sz w:val="16"/>
        <w:szCs w:val="16"/>
        <w:lang w:eastAsia="cs-CZ"/>
      </w:rPr>
      <w:drawing>
        <wp:anchor distT="0" distB="0" distL="114300" distR="114300" simplePos="0" relativeHeight="251656704" behindDoc="0" locked="0" layoutInCell="1" allowOverlap="1" wp14:anchorId="2AC6908C" wp14:editId="1EA426A6">
          <wp:simplePos x="0" y="0"/>
          <wp:positionH relativeFrom="column">
            <wp:posOffset>4714240</wp:posOffset>
          </wp:positionH>
          <wp:positionV relativeFrom="paragraph">
            <wp:posOffset>-52070</wp:posOffset>
          </wp:positionV>
          <wp:extent cx="1057910" cy="467995"/>
          <wp:effectExtent l="0" t="0" r="8890" b="8255"/>
          <wp:wrapNone/>
          <wp:docPr id="9" name="Obrázek 9"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2D00F" w14:textId="77777777" w:rsidR="00654081" w:rsidRDefault="00654081" w:rsidP="001D02BC">
    <w:pPr>
      <w:pBdr>
        <w:bottom w:val="single" w:sz="4" w:space="1" w:color="auto"/>
      </w:pBdr>
      <w:jc w:val="center"/>
    </w:pPr>
    <w:r>
      <w:rPr>
        <w:rFonts w:asciiTheme="minorHAnsi" w:hAnsiTheme="minorHAnsi" w:cstheme="minorHAnsi"/>
        <w:szCs w:val="18"/>
      </w:rPr>
      <w:t>Smlouva o nájmu prostor sloužících podnikání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4C68" w14:textId="77777777" w:rsidR="00654081" w:rsidRDefault="00654081" w:rsidP="001D02BC">
    <w:pPr>
      <w:pStyle w:val="Zhlav"/>
    </w:pPr>
  </w:p>
  <w:p w14:paraId="43A2131D" w14:textId="77777777" w:rsidR="00654081" w:rsidRDefault="00654081" w:rsidP="001D02BC">
    <w:r w:rsidRPr="009D1D9B">
      <w:rPr>
        <w:rFonts w:asciiTheme="minorHAnsi" w:hAnsiTheme="minorHAnsi" w:cstheme="minorHAnsi"/>
        <w:noProof/>
        <w:sz w:val="16"/>
        <w:szCs w:val="16"/>
        <w:lang w:eastAsia="cs-CZ"/>
      </w:rPr>
      <w:drawing>
        <wp:anchor distT="0" distB="0" distL="114300" distR="114300" simplePos="0" relativeHeight="251658752" behindDoc="0" locked="0" layoutInCell="1" allowOverlap="1" wp14:anchorId="1A6B7557" wp14:editId="27814593">
          <wp:simplePos x="0" y="0"/>
          <wp:positionH relativeFrom="column">
            <wp:posOffset>4714240</wp:posOffset>
          </wp:positionH>
          <wp:positionV relativeFrom="paragraph">
            <wp:posOffset>-52070</wp:posOffset>
          </wp:positionV>
          <wp:extent cx="1057910" cy="467995"/>
          <wp:effectExtent l="0" t="0" r="8890" b="8255"/>
          <wp:wrapNone/>
          <wp:docPr id="10" name="Obrázek 10"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41780" w14:textId="77777777" w:rsidR="00654081" w:rsidRPr="00495981" w:rsidRDefault="00654081" w:rsidP="001D02BC">
    <w:pPr>
      <w:pBdr>
        <w:bottom w:val="single" w:sz="4" w:space="1" w:color="auto"/>
      </w:pBdr>
      <w:jc w:val="center"/>
      <w:rPr>
        <w:sz w:val="18"/>
        <w:szCs w:val="18"/>
      </w:rPr>
    </w:pPr>
    <w:r w:rsidRPr="00495981">
      <w:rPr>
        <w:rFonts w:asciiTheme="minorHAnsi" w:hAnsiTheme="minorHAnsi" w:cstheme="minorHAnsi"/>
        <w:sz w:val="18"/>
        <w:szCs w:val="18"/>
      </w:rPr>
      <w:t>Smlouva o nájmu prostor sloužících podnikání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CC2A" w14:textId="77777777" w:rsidR="00654081" w:rsidRDefault="0065408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1E3C" w14:textId="77777777" w:rsidR="00654081" w:rsidRDefault="00654081" w:rsidP="001D1AB3">
    <w:pPr>
      <w:pStyle w:val="Zhlav"/>
    </w:pPr>
  </w:p>
  <w:p w14:paraId="0E44C163" w14:textId="77777777" w:rsidR="00654081" w:rsidRDefault="00654081" w:rsidP="001D1AB3">
    <w:r w:rsidRPr="009D1D9B">
      <w:rPr>
        <w:rFonts w:asciiTheme="minorHAnsi" w:hAnsiTheme="minorHAnsi" w:cstheme="minorHAnsi"/>
        <w:noProof/>
        <w:sz w:val="16"/>
        <w:szCs w:val="16"/>
        <w:lang w:eastAsia="cs-CZ"/>
      </w:rPr>
      <w:drawing>
        <wp:anchor distT="0" distB="0" distL="114300" distR="114300" simplePos="0" relativeHeight="251660800" behindDoc="0" locked="0" layoutInCell="1" allowOverlap="1" wp14:anchorId="2556F05F" wp14:editId="1350296E">
          <wp:simplePos x="0" y="0"/>
          <wp:positionH relativeFrom="column">
            <wp:posOffset>4714240</wp:posOffset>
          </wp:positionH>
          <wp:positionV relativeFrom="paragraph">
            <wp:posOffset>-52070</wp:posOffset>
          </wp:positionV>
          <wp:extent cx="1057910" cy="467995"/>
          <wp:effectExtent l="0" t="0" r="8890" b="8255"/>
          <wp:wrapNone/>
          <wp:docPr id="7" name="Obrázek 7"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BA16B" w14:textId="77777777" w:rsidR="00654081" w:rsidRDefault="00654081" w:rsidP="001D1AB3">
    <w:pPr>
      <w:pBdr>
        <w:bottom w:val="single" w:sz="4" w:space="1" w:color="auto"/>
      </w:pBdr>
      <w:jc w:val="center"/>
      <w:rPr>
        <w:rFonts w:asciiTheme="minorHAnsi" w:hAnsiTheme="minorHAnsi" w:cstheme="minorHAnsi"/>
        <w:sz w:val="18"/>
        <w:szCs w:val="18"/>
      </w:rPr>
    </w:pPr>
  </w:p>
  <w:p w14:paraId="7F2C7762" w14:textId="77777777" w:rsidR="00654081" w:rsidRPr="00495981" w:rsidRDefault="00654081" w:rsidP="001D1AB3">
    <w:pPr>
      <w:pBdr>
        <w:bottom w:val="single" w:sz="4" w:space="1" w:color="auto"/>
      </w:pBdr>
      <w:jc w:val="center"/>
      <w:rPr>
        <w:sz w:val="18"/>
        <w:szCs w:val="18"/>
      </w:rPr>
    </w:pPr>
    <w:r w:rsidRPr="00495981">
      <w:rPr>
        <w:rFonts w:asciiTheme="minorHAnsi" w:hAnsiTheme="minorHAnsi" w:cstheme="minorHAnsi"/>
        <w:sz w:val="18"/>
        <w:szCs w:val="18"/>
      </w:rPr>
      <w:t xml:space="preserve">Smlouva o </w:t>
    </w:r>
    <w:r>
      <w:rPr>
        <w:rFonts w:asciiTheme="minorHAnsi" w:hAnsiTheme="minorHAnsi" w:cstheme="minorHAnsi"/>
        <w:sz w:val="18"/>
        <w:szCs w:val="18"/>
      </w:rPr>
      <w:t>poskytování služeb</w:t>
    </w:r>
  </w:p>
  <w:p w14:paraId="67ECF1FF" w14:textId="77777777" w:rsidR="00654081" w:rsidRDefault="00654081" w:rsidP="001D1AB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9B15" w14:textId="77777777" w:rsidR="00654081" w:rsidRDefault="00654081" w:rsidP="001D02BC">
    <w:pPr>
      <w:pStyle w:val="Zhlav"/>
    </w:pPr>
  </w:p>
  <w:p w14:paraId="31AC197F" w14:textId="77777777" w:rsidR="00654081" w:rsidRDefault="00654081" w:rsidP="001D02BC">
    <w:r w:rsidRPr="009D1D9B">
      <w:rPr>
        <w:rFonts w:asciiTheme="minorHAnsi" w:hAnsiTheme="minorHAnsi" w:cstheme="minorHAnsi"/>
        <w:noProof/>
        <w:sz w:val="16"/>
        <w:szCs w:val="16"/>
        <w:lang w:eastAsia="cs-CZ"/>
      </w:rPr>
      <w:drawing>
        <wp:anchor distT="0" distB="0" distL="114300" distR="114300" simplePos="0" relativeHeight="251657728" behindDoc="0" locked="0" layoutInCell="1" allowOverlap="1" wp14:anchorId="05522E4A" wp14:editId="3CC691BE">
          <wp:simplePos x="0" y="0"/>
          <wp:positionH relativeFrom="column">
            <wp:posOffset>4714240</wp:posOffset>
          </wp:positionH>
          <wp:positionV relativeFrom="paragraph">
            <wp:posOffset>-52070</wp:posOffset>
          </wp:positionV>
          <wp:extent cx="1057910" cy="467995"/>
          <wp:effectExtent l="0" t="0" r="8890" b="8255"/>
          <wp:wrapNone/>
          <wp:docPr id="6" name="Obrázek 6" descr="log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91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ADEB4" w14:textId="77777777" w:rsidR="00654081" w:rsidRDefault="00654081" w:rsidP="001D02BC">
    <w:pPr>
      <w:pBdr>
        <w:bottom w:val="single" w:sz="4" w:space="1" w:color="auto"/>
      </w:pBdr>
      <w:jc w:val="center"/>
      <w:rPr>
        <w:rFonts w:asciiTheme="minorHAnsi" w:hAnsiTheme="minorHAnsi" w:cstheme="minorHAnsi"/>
        <w:sz w:val="18"/>
        <w:szCs w:val="18"/>
      </w:rPr>
    </w:pPr>
  </w:p>
  <w:p w14:paraId="631E6765" w14:textId="77777777" w:rsidR="00654081" w:rsidRPr="00495981" w:rsidRDefault="00654081" w:rsidP="001D02BC">
    <w:pPr>
      <w:pBdr>
        <w:bottom w:val="single" w:sz="4" w:space="1" w:color="auto"/>
      </w:pBdr>
      <w:jc w:val="center"/>
      <w:rPr>
        <w:sz w:val="18"/>
        <w:szCs w:val="18"/>
      </w:rPr>
    </w:pPr>
    <w:r w:rsidRPr="00495981">
      <w:rPr>
        <w:rFonts w:asciiTheme="minorHAnsi" w:hAnsiTheme="minorHAnsi" w:cstheme="minorHAnsi"/>
        <w:sz w:val="18"/>
        <w:szCs w:val="18"/>
      </w:rPr>
      <w:t xml:space="preserve">Smlouva o </w:t>
    </w:r>
    <w:r>
      <w:rPr>
        <w:rFonts w:asciiTheme="minorHAnsi" w:hAnsiTheme="minorHAnsi" w:cstheme="minorHAnsi"/>
        <w:sz w:val="18"/>
        <w:szCs w:val="18"/>
      </w:rPr>
      <w:t>poskytování služeb</w:t>
    </w:r>
  </w:p>
  <w:p w14:paraId="20717CE3" w14:textId="77777777" w:rsidR="00654081" w:rsidRDefault="006540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587B"/>
    <w:multiLevelType w:val="multilevel"/>
    <w:tmpl w:val="C06A180C"/>
    <w:lvl w:ilvl="0">
      <w:start w:val="1"/>
      <w:numFmt w:val="decimal"/>
      <w:lvlText w:val="%1."/>
      <w:lvlJc w:val="left"/>
      <w:pPr>
        <w:tabs>
          <w:tab w:val="num" w:pos="3828"/>
        </w:tabs>
        <w:ind w:left="3261" w:hanging="567"/>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34"/>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0" w:firstLine="567"/>
      </w:pPr>
      <w:rPr>
        <w:rFonts w:ascii="Calibri"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567" w:hanging="27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 w15:restartNumberingAfterBreak="0">
    <w:nsid w:val="0A395110"/>
    <w:multiLevelType w:val="multilevel"/>
    <w:tmpl w:val="54D4B37E"/>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val="0"/>
        <w:sz w:val="22"/>
        <w:szCs w:val="22"/>
      </w:rPr>
    </w:lvl>
    <w:lvl w:ilvl="2">
      <w:start w:val="1"/>
      <w:numFmt w:val="decimal"/>
      <w:lvlText w:val="%1.%2.%3."/>
      <w:lvlJc w:val="left"/>
      <w:pPr>
        <w:ind w:left="1921" w:hanging="504"/>
      </w:pPr>
      <w:rPr>
        <w:rFonts w:hint="default"/>
      </w:rPr>
    </w:lvl>
    <w:lvl w:ilvl="3">
      <w:start w:val="1"/>
      <w:numFmt w:val="decimal"/>
      <w:lvlText w:val="1.1.2.%4."/>
      <w:lvlJc w:val="left"/>
      <w:pPr>
        <w:ind w:left="206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C65665"/>
    <w:multiLevelType w:val="multilevel"/>
    <w:tmpl w:val="B5B684D8"/>
    <w:lvl w:ilvl="0">
      <w:start w:val="1"/>
      <w:numFmt w:val="decimal"/>
      <w:lvlText w:val="%1."/>
      <w:lvlJc w:val="left"/>
      <w:pPr>
        <w:ind w:left="360" w:hanging="360"/>
      </w:pPr>
      <w:rPr>
        <w:rFonts w:hint="default"/>
      </w:rPr>
    </w:lvl>
    <w:lvl w:ilvl="1">
      <w:start w:val="1"/>
      <w:numFmt w:val="ordinal"/>
      <w:lvlText w:val="%2%1"/>
      <w:lvlJc w:val="left"/>
      <w:pPr>
        <w:ind w:left="567" w:firstLine="0"/>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0C0C38"/>
    <w:multiLevelType w:val="multilevel"/>
    <w:tmpl w:val="B5B684D8"/>
    <w:lvl w:ilvl="0">
      <w:start w:val="1"/>
      <w:numFmt w:val="decimal"/>
      <w:lvlText w:val="%1."/>
      <w:lvlJc w:val="left"/>
      <w:pPr>
        <w:ind w:left="360" w:hanging="360"/>
      </w:pPr>
      <w:rPr>
        <w:rFonts w:hint="default"/>
      </w:rPr>
    </w:lvl>
    <w:lvl w:ilvl="1">
      <w:start w:val="1"/>
      <w:numFmt w:val="ordinal"/>
      <w:lvlText w:val="%2%1"/>
      <w:lvlJc w:val="left"/>
      <w:pPr>
        <w:ind w:left="567" w:firstLine="0"/>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763BD7"/>
    <w:multiLevelType w:val="hybridMultilevel"/>
    <w:tmpl w:val="2690C9C0"/>
    <w:lvl w:ilvl="0" w:tplc="795C3700">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2C112D"/>
    <w:multiLevelType w:val="multilevel"/>
    <w:tmpl w:val="62385FB8"/>
    <w:lvl w:ilvl="0">
      <w:start w:val="1"/>
      <w:numFmt w:val="decimal"/>
      <w:pStyle w:val="lnek"/>
      <w:lvlText w:val="%1."/>
      <w:lvlJc w:val="left"/>
      <w:pPr>
        <w:ind w:left="360" w:hanging="360"/>
      </w:pPr>
      <w:rPr>
        <w:rFonts w:hint="default"/>
        <w:b/>
        <w:bCs/>
      </w:rPr>
    </w:lvl>
    <w:lvl w:ilvl="1">
      <w:start w:val="1"/>
      <w:numFmt w:val="decimal"/>
      <w:pStyle w:val="Odstavec"/>
      <w:lvlText w:val="%1.%2."/>
      <w:lvlJc w:val="left"/>
      <w:pPr>
        <w:ind w:left="432" w:hanging="432"/>
      </w:pPr>
      <w:rPr>
        <w:rFonts w:hint="default"/>
        <w:b w:val="0"/>
        <w:bCs w:val="0"/>
        <w:sz w:val="22"/>
        <w:szCs w:val="22"/>
      </w:rPr>
    </w:lvl>
    <w:lvl w:ilvl="2">
      <w:start w:val="1"/>
      <w:numFmt w:val="decimal"/>
      <w:pStyle w:val="Pododstavec"/>
      <w:lvlText w:val="%1.%2.%3."/>
      <w:lvlJc w:val="left"/>
      <w:pPr>
        <w:ind w:left="1921" w:hanging="504"/>
      </w:pPr>
      <w:rPr>
        <w:rFonts w:hint="default"/>
      </w:rPr>
    </w:lvl>
    <w:lvl w:ilvl="3">
      <w:start w:val="1"/>
      <w:numFmt w:val="decimal"/>
      <w:lvlRestart w:val="0"/>
      <w:pStyle w:val="411X"/>
      <w:lvlText w:val="4.1.1.%4."/>
      <w:lvlJc w:val="left"/>
      <w:pPr>
        <w:ind w:left="709" w:firstLine="567"/>
      </w:pPr>
      <w:rPr>
        <w:rFonts w:hint="default"/>
      </w:rPr>
    </w:lvl>
    <w:lvl w:ilvl="4">
      <w:start w:val="1"/>
      <w:numFmt w:val="decimal"/>
      <w:pStyle w:val="Nadpis5-BS"/>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5611F8"/>
    <w:multiLevelType w:val="hybridMultilevel"/>
    <w:tmpl w:val="3544DD38"/>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7" w15:restartNumberingAfterBreak="0">
    <w:nsid w:val="5C4D4556"/>
    <w:multiLevelType w:val="multilevel"/>
    <w:tmpl w:val="163E9FAA"/>
    <w:lvl w:ilvl="0">
      <w:start w:val="1"/>
      <w:numFmt w:val="decimal"/>
      <w:pStyle w:val="Nadpisy"/>
      <w:lvlText w:val="%1."/>
      <w:lvlJc w:val="left"/>
      <w:pPr>
        <w:ind w:left="567" w:hanging="567"/>
      </w:pPr>
      <w:rPr>
        <w:rFonts w:hint="default"/>
      </w:rPr>
    </w:lvl>
    <w:lvl w:ilvl="1">
      <w:start w:val="1"/>
      <w:numFmt w:val="decimal"/>
      <w:lvlText w:val="%1.%2."/>
      <w:lvlJc w:val="left"/>
      <w:pPr>
        <w:ind w:left="999" w:hanging="432"/>
      </w:pPr>
      <w:rPr>
        <w:rFonts w:hint="default"/>
        <w:b w:val="0"/>
        <w:sz w:val="22"/>
        <w:szCs w:val="22"/>
      </w:rPr>
    </w:lvl>
    <w:lvl w:ilvl="2">
      <w:start w:val="1"/>
      <w:numFmt w:val="decimal"/>
      <w:lvlText w:val="%1.%2.%3."/>
      <w:lvlJc w:val="left"/>
      <w:pPr>
        <w:ind w:left="1224" w:hanging="504"/>
      </w:pPr>
      <w:rPr>
        <w:rFonts w:hint="default"/>
        <w:b w:val="0"/>
        <w:strike w:val="0"/>
      </w:rPr>
    </w:lvl>
    <w:lvl w:ilvl="3">
      <w:start w:val="1"/>
      <w:numFmt w:val="decimal"/>
      <w:pStyle w:val="412X"/>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3A4FD6"/>
    <w:multiLevelType w:val="multilevel"/>
    <w:tmpl w:val="D24C3C0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2A7731"/>
    <w:multiLevelType w:val="multilevel"/>
    <w:tmpl w:val="9A9A6C9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val="0"/>
        <w:sz w:val="22"/>
        <w:szCs w:val="22"/>
      </w:rPr>
    </w:lvl>
    <w:lvl w:ilvl="2">
      <w:start w:val="1"/>
      <w:numFmt w:val="decimal"/>
      <w:lvlText w:val="%1.%2.%3."/>
      <w:lvlJc w:val="left"/>
      <w:pPr>
        <w:ind w:left="1921" w:hanging="504"/>
      </w:pPr>
      <w:rPr>
        <w:rFonts w:hint="default"/>
      </w:rPr>
    </w:lvl>
    <w:lvl w:ilvl="3">
      <w:start w:val="1"/>
      <w:numFmt w:val="decimal"/>
      <w:lvlText w:val="1.1.2.%4."/>
      <w:lvlJc w:val="left"/>
      <w:pPr>
        <w:ind w:left="206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B6532D"/>
    <w:multiLevelType w:val="multilevel"/>
    <w:tmpl w:val="65249E1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val="0"/>
        <w:sz w:val="22"/>
        <w:szCs w:val="22"/>
      </w:rPr>
    </w:lvl>
    <w:lvl w:ilvl="2">
      <w:start w:val="1"/>
      <w:numFmt w:val="decimal"/>
      <w:lvlText w:val="%1.%2.%3."/>
      <w:lvlJc w:val="left"/>
      <w:pPr>
        <w:ind w:left="1921" w:hanging="504"/>
      </w:pPr>
      <w:rPr>
        <w:rFonts w:hint="default"/>
      </w:rPr>
    </w:lvl>
    <w:lvl w:ilvl="3">
      <w:start w:val="1"/>
      <w:numFmt w:val="decimal"/>
      <w:pStyle w:val="Oddl"/>
      <w:lvlText w:val="1.2.2.%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9E1A17"/>
    <w:multiLevelType w:val="multilevel"/>
    <w:tmpl w:val="8B1E9FD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val="0"/>
        <w:sz w:val="22"/>
        <w:szCs w:val="22"/>
      </w:rPr>
    </w:lvl>
    <w:lvl w:ilvl="2">
      <w:start w:val="1"/>
      <w:numFmt w:val="decimal"/>
      <w:lvlText w:val="%1.%2.%3."/>
      <w:lvlJc w:val="left"/>
      <w:pPr>
        <w:ind w:left="1921" w:hanging="504"/>
      </w:pPr>
      <w:rPr>
        <w:rFonts w:hint="default"/>
      </w:rPr>
    </w:lvl>
    <w:lvl w:ilvl="3">
      <w:start w:val="1"/>
      <w:numFmt w:val="decimal"/>
      <w:lvlText w:val="4.1.1.%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0B"/>
    <w:rsid w:val="00004556"/>
    <w:rsid w:val="000048CE"/>
    <w:rsid w:val="00011B3B"/>
    <w:rsid w:val="00013B45"/>
    <w:rsid w:val="0001552C"/>
    <w:rsid w:val="00015BF0"/>
    <w:rsid w:val="00033734"/>
    <w:rsid w:val="000358F6"/>
    <w:rsid w:val="00036043"/>
    <w:rsid w:val="00041526"/>
    <w:rsid w:val="000419F0"/>
    <w:rsid w:val="000452F9"/>
    <w:rsid w:val="0005339C"/>
    <w:rsid w:val="00053B41"/>
    <w:rsid w:val="00055964"/>
    <w:rsid w:val="000619E8"/>
    <w:rsid w:val="00063E3D"/>
    <w:rsid w:val="00066000"/>
    <w:rsid w:val="0007010D"/>
    <w:rsid w:val="000706E2"/>
    <w:rsid w:val="00070DC4"/>
    <w:rsid w:val="00071030"/>
    <w:rsid w:val="000727B8"/>
    <w:rsid w:val="000727BA"/>
    <w:rsid w:val="00076E0B"/>
    <w:rsid w:val="00080B83"/>
    <w:rsid w:val="00080C0E"/>
    <w:rsid w:val="00081CBF"/>
    <w:rsid w:val="000822CB"/>
    <w:rsid w:val="000825D2"/>
    <w:rsid w:val="00090C3D"/>
    <w:rsid w:val="00091F2B"/>
    <w:rsid w:val="0009238F"/>
    <w:rsid w:val="000931C8"/>
    <w:rsid w:val="000949D6"/>
    <w:rsid w:val="00095A8D"/>
    <w:rsid w:val="0009699E"/>
    <w:rsid w:val="00096A62"/>
    <w:rsid w:val="000970D5"/>
    <w:rsid w:val="000A374B"/>
    <w:rsid w:val="000A5857"/>
    <w:rsid w:val="000A59B5"/>
    <w:rsid w:val="000A7693"/>
    <w:rsid w:val="000A7727"/>
    <w:rsid w:val="000A776B"/>
    <w:rsid w:val="000B0A61"/>
    <w:rsid w:val="000B57D9"/>
    <w:rsid w:val="000B588D"/>
    <w:rsid w:val="000C4EAB"/>
    <w:rsid w:val="000C50A9"/>
    <w:rsid w:val="000D028F"/>
    <w:rsid w:val="000D2C5B"/>
    <w:rsid w:val="000D4572"/>
    <w:rsid w:val="000D4866"/>
    <w:rsid w:val="000D7F1C"/>
    <w:rsid w:val="000E0320"/>
    <w:rsid w:val="000E0A0E"/>
    <w:rsid w:val="000E2F67"/>
    <w:rsid w:val="000E380D"/>
    <w:rsid w:val="000E6F9F"/>
    <w:rsid w:val="000F32D8"/>
    <w:rsid w:val="000F581D"/>
    <w:rsid w:val="000F672D"/>
    <w:rsid w:val="000F68AC"/>
    <w:rsid w:val="00103CA2"/>
    <w:rsid w:val="00104B15"/>
    <w:rsid w:val="00104D6D"/>
    <w:rsid w:val="00106F8B"/>
    <w:rsid w:val="00107922"/>
    <w:rsid w:val="00111122"/>
    <w:rsid w:val="00113C28"/>
    <w:rsid w:val="00123766"/>
    <w:rsid w:val="001274FA"/>
    <w:rsid w:val="0012755D"/>
    <w:rsid w:val="00134E8C"/>
    <w:rsid w:val="001374C6"/>
    <w:rsid w:val="0014026D"/>
    <w:rsid w:val="001409E0"/>
    <w:rsid w:val="001451D6"/>
    <w:rsid w:val="001549E1"/>
    <w:rsid w:val="001557A8"/>
    <w:rsid w:val="00157092"/>
    <w:rsid w:val="00163ADA"/>
    <w:rsid w:val="001675C3"/>
    <w:rsid w:val="0016795D"/>
    <w:rsid w:val="00167C57"/>
    <w:rsid w:val="0017266E"/>
    <w:rsid w:val="001733DD"/>
    <w:rsid w:val="00176289"/>
    <w:rsid w:val="00177749"/>
    <w:rsid w:val="00177B2B"/>
    <w:rsid w:val="00180527"/>
    <w:rsid w:val="0018143C"/>
    <w:rsid w:val="001856DF"/>
    <w:rsid w:val="001859F5"/>
    <w:rsid w:val="0019333C"/>
    <w:rsid w:val="00194CC3"/>
    <w:rsid w:val="00195A6B"/>
    <w:rsid w:val="001969AF"/>
    <w:rsid w:val="001A0398"/>
    <w:rsid w:val="001A09C4"/>
    <w:rsid w:val="001A2356"/>
    <w:rsid w:val="001A24D4"/>
    <w:rsid w:val="001A2D3C"/>
    <w:rsid w:val="001A3426"/>
    <w:rsid w:val="001A392C"/>
    <w:rsid w:val="001A4736"/>
    <w:rsid w:val="001A4B6A"/>
    <w:rsid w:val="001A7E72"/>
    <w:rsid w:val="001B0F1D"/>
    <w:rsid w:val="001B2C22"/>
    <w:rsid w:val="001B2F1A"/>
    <w:rsid w:val="001B4FC3"/>
    <w:rsid w:val="001B56BB"/>
    <w:rsid w:val="001B6D8F"/>
    <w:rsid w:val="001C3DB7"/>
    <w:rsid w:val="001C4602"/>
    <w:rsid w:val="001C6F1E"/>
    <w:rsid w:val="001D02BC"/>
    <w:rsid w:val="001D1AB3"/>
    <w:rsid w:val="001D399E"/>
    <w:rsid w:val="001E431E"/>
    <w:rsid w:val="001E76A0"/>
    <w:rsid w:val="00200D66"/>
    <w:rsid w:val="00203BD0"/>
    <w:rsid w:val="00213754"/>
    <w:rsid w:val="00213F21"/>
    <w:rsid w:val="0021423C"/>
    <w:rsid w:val="002151C1"/>
    <w:rsid w:val="00216502"/>
    <w:rsid w:val="00222CED"/>
    <w:rsid w:val="0022364B"/>
    <w:rsid w:val="00223FC0"/>
    <w:rsid w:val="002256CB"/>
    <w:rsid w:val="00225A91"/>
    <w:rsid w:val="00225D5A"/>
    <w:rsid w:val="002309BE"/>
    <w:rsid w:val="002312BE"/>
    <w:rsid w:val="00231CC9"/>
    <w:rsid w:val="00236275"/>
    <w:rsid w:val="002448AF"/>
    <w:rsid w:val="002525C7"/>
    <w:rsid w:val="00253568"/>
    <w:rsid w:val="0025491C"/>
    <w:rsid w:val="0025723F"/>
    <w:rsid w:val="00261330"/>
    <w:rsid w:val="00262D18"/>
    <w:rsid w:val="00267F50"/>
    <w:rsid w:val="00271F99"/>
    <w:rsid w:val="0027392C"/>
    <w:rsid w:val="00274DCC"/>
    <w:rsid w:val="00276CE1"/>
    <w:rsid w:val="00277BAE"/>
    <w:rsid w:val="00281AF9"/>
    <w:rsid w:val="0028264B"/>
    <w:rsid w:val="002828AB"/>
    <w:rsid w:val="002833F1"/>
    <w:rsid w:val="00284D7E"/>
    <w:rsid w:val="0028639B"/>
    <w:rsid w:val="002911DA"/>
    <w:rsid w:val="00291E0A"/>
    <w:rsid w:val="00292DCA"/>
    <w:rsid w:val="0029599A"/>
    <w:rsid w:val="002968E7"/>
    <w:rsid w:val="00296B76"/>
    <w:rsid w:val="002A0A8F"/>
    <w:rsid w:val="002A2628"/>
    <w:rsid w:val="002A3746"/>
    <w:rsid w:val="002A462D"/>
    <w:rsid w:val="002A4B34"/>
    <w:rsid w:val="002B3208"/>
    <w:rsid w:val="002B60D3"/>
    <w:rsid w:val="002D4405"/>
    <w:rsid w:val="002D572C"/>
    <w:rsid w:val="002D6ADA"/>
    <w:rsid w:val="002D724E"/>
    <w:rsid w:val="002E3ADF"/>
    <w:rsid w:val="002E496A"/>
    <w:rsid w:val="002E6C0D"/>
    <w:rsid w:val="002E7066"/>
    <w:rsid w:val="002E71A6"/>
    <w:rsid w:val="002F2BC7"/>
    <w:rsid w:val="002F5C20"/>
    <w:rsid w:val="002F627E"/>
    <w:rsid w:val="003004A1"/>
    <w:rsid w:val="003020AF"/>
    <w:rsid w:val="00303C31"/>
    <w:rsid w:val="00307097"/>
    <w:rsid w:val="00317FC4"/>
    <w:rsid w:val="003212F5"/>
    <w:rsid w:val="00321A2F"/>
    <w:rsid w:val="0032351C"/>
    <w:rsid w:val="003339B1"/>
    <w:rsid w:val="00336D1F"/>
    <w:rsid w:val="00340589"/>
    <w:rsid w:val="003412B5"/>
    <w:rsid w:val="00341A1B"/>
    <w:rsid w:val="003457B0"/>
    <w:rsid w:val="0034590A"/>
    <w:rsid w:val="00346676"/>
    <w:rsid w:val="003470E1"/>
    <w:rsid w:val="00347D32"/>
    <w:rsid w:val="003503E5"/>
    <w:rsid w:val="0035142F"/>
    <w:rsid w:val="0035382F"/>
    <w:rsid w:val="003551DA"/>
    <w:rsid w:val="00357DF1"/>
    <w:rsid w:val="00357E07"/>
    <w:rsid w:val="00362CBA"/>
    <w:rsid w:val="00365089"/>
    <w:rsid w:val="00365F86"/>
    <w:rsid w:val="00370C4B"/>
    <w:rsid w:val="003714B4"/>
    <w:rsid w:val="00376501"/>
    <w:rsid w:val="0037728B"/>
    <w:rsid w:val="003779F7"/>
    <w:rsid w:val="003816E4"/>
    <w:rsid w:val="003835A3"/>
    <w:rsid w:val="003860F8"/>
    <w:rsid w:val="0038679D"/>
    <w:rsid w:val="0039195A"/>
    <w:rsid w:val="00394CB8"/>
    <w:rsid w:val="003A1498"/>
    <w:rsid w:val="003A445D"/>
    <w:rsid w:val="003A473C"/>
    <w:rsid w:val="003A5AC5"/>
    <w:rsid w:val="003A63D7"/>
    <w:rsid w:val="003A6484"/>
    <w:rsid w:val="003B181D"/>
    <w:rsid w:val="003B68C4"/>
    <w:rsid w:val="003B7549"/>
    <w:rsid w:val="003B7997"/>
    <w:rsid w:val="003C3BB5"/>
    <w:rsid w:val="003C57EB"/>
    <w:rsid w:val="003C6B35"/>
    <w:rsid w:val="003D0531"/>
    <w:rsid w:val="003D5184"/>
    <w:rsid w:val="003D5F47"/>
    <w:rsid w:val="003E1C2B"/>
    <w:rsid w:val="003E274C"/>
    <w:rsid w:val="003E42C7"/>
    <w:rsid w:val="003E7DE6"/>
    <w:rsid w:val="003F0AB8"/>
    <w:rsid w:val="003F1CD3"/>
    <w:rsid w:val="003F1F03"/>
    <w:rsid w:val="003F6782"/>
    <w:rsid w:val="004029F2"/>
    <w:rsid w:val="004122B7"/>
    <w:rsid w:val="00413FB5"/>
    <w:rsid w:val="004169A3"/>
    <w:rsid w:val="00416EB6"/>
    <w:rsid w:val="00421189"/>
    <w:rsid w:val="00422B4A"/>
    <w:rsid w:val="00424F18"/>
    <w:rsid w:val="00425DBA"/>
    <w:rsid w:val="00427C8F"/>
    <w:rsid w:val="004319E5"/>
    <w:rsid w:val="0043281B"/>
    <w:rsid w:val="004333D4"/>
    <w:rsid w:val="0043351A"/>
    <w:rsid w:val="0044066A"/>
    <w:rsid w:val="00442A71"/>
    <w:rsid w:val="00442BD4"/>
    <w:rsid w:val="0044409A"/>
    <w:rsid w:val="00444E73"/>
    <w:rsid w:val="00451CCA"/>
    <w:rsid w:val="00451D54"/>
    <w:rsid w:val="004529B9"/>
    <w:rsid w:val="004532F1"/>
    <w:rsid w:val="004540B7"/>
    <w:rsid w:val="00455359"/>
    <w:rsid w:val="00456674"/>
    <w:rsid w:val="0046643F"/>
    <w:rsid w:val="00467EB7"/>
    <w:rsid w:val="00472E0F"/>
    <w:rsid w:val="00473055"/>
    <w:rsid w:val="0047589D"/>
    <w:rsid w:val="0047589E"/>
    <w:rsid w:val="0047653E"/>
    <w:rsid w:val="00477CFD"/>
    <w:rsid w:val="0048061E"/>
    <w:rsid w:val="0048224E"/>
    <w:rsid w:val="00483B50"/>
    <w:rsid w:val="0048485D"/>
    <w:rsid w:val="004933EC"/>
    <w:rsid w:val="00493661"/>
    <w:rsid w:val="00494738"/>
    <w:rsid w:val="0049633D"/>
    <w:rsid w:val="004978C0"/>
    <w:rsid w:val="004A43E2"/>
    <w:rsid w:val="004A5879"/>
    <w:rsid w:val="004A5BE3"/>
    <w:rsid w:val="004B4CA2"/>
    <w:rsid w:val="004C377A"/>
    <w:rsid w:val="004D23AF"/>
    <w:rsid w:val="004D4357"/>
    <w:rsid w:val="004D5F5D"/>
    <w:rsid w:val="004E0B07"/>
    <w:rsid w:val="004E1C1B"/>
    <w:rsid w:val="004E38D9"/>
    <w:rsid w:val="004E3C20"/>
    <w:rsid w:val="004E48D4"/>
    <w:rsid w:val="004E4B9B"/>
    <w:rsid w:val="004E4BA4"/>
    <w:rsid w:val="004E59F1"/>
    <w:rsid w:val="004E5D5F"/>
    <w:rsid w:val="004F0560"/>
    <w:rsid w:val="004F078D"/>
    <w:rsid w:val="004F653E"/>
    <w:rsid w:val="004F69FE"/>
    <w:rsid w:val="004F6CBC"/>
    <w:rsid w:val="005020FD"/>
    <w:rsid w:val="00506C8E"/>
    <w:rsid w:val="00506DBC"/>
    <w:rsid w:val="00510274"/>
    <w:rsid w:val="00512223"/>
    <w:rsid w:val="005135A4"/>
    <w:rsid w:val="00513ADE"/>
    <w:rsid w:val="005147E0"/>
    <w:rsid w:val="00515AD6"/>
    <w:rsid w:val="0051703E"/>
    <w:rsid w:val="00523F6E"/>
    <w:rsid w:val="00524B98"/>
    <w:rsid w:val="00525369"/>
    <w:rsid w:val="005263A7"/>
    <w:rsid w:val="00531BCE"/>
    <w:rsid w:val="005334EB"/>
    <w:rsid w:val="00533582"/>
    <w:rsid w:val="00535FA7"/>
    <w:rsid w:val="00543489"/>
    <w:rsid w:val="005434CA"/>
    <w:rsid w:val="005477B5"/>
    <w:rsid w:val="00547CD3"/>
    <w:rsid w:val="00557F57"/>
    <w:rsid w:val="00560A7E"/>
    <w:rsid w:val="005633E6"/>
    <w:rsid w:val="00563C6E"/>
    <w:rsid w:val="00567DB3"/>
    <w:rsid w:val="00571C36"/>
    <w:rsid w:val="00573990"/>
    <w:rsid w:val="00573DD3"/>
    <w:rsid w:val="005740B7"/>
    <w:rsid w:val="00574697"/>
    <w:rsid w:val="005760F0"/>
    <w:rsid w:val="005824C1"/>
    <w:rsid w:val="00582DAD"/>
    <w:rsid w:val="005918E0"/>
    <w:rsid w:val="00592109"/>
    <w:rsid w:val="005924BA"/>
    <w:rsid w:val="00592526"/>
    <w:rsid w:val="00594EA3"/>
    <w:rsid w:val="005A685C"/>
    <w:rsid w:val="005B3D6A"/>
    <w:rsid w:val="005B591E"/>
    <w:rsid w:val="005B70F5"/>
    <w:rsid w:val="005C4B72"/>
    <w:rsid w:val="005C4FFB"/>
    <w:rsid w:val="005C72F5"/>
    <w:rsid w:val="005D311A"/>
    <w:rsid w:val="005D6BA8"/>
    <w:rsid w:val="005E26F3"/>
    <w:rsid w:val="005E338D"/>
    <w:rsid w:val="005E7998"/>
    <w:rsid w:val="005F1263"/>
    <w:rsid w:val="005F1F80"/>
    <w:rsid w:val="005F2C38"/>
    <w:rsid w:val="005F502D"/>
    <w:rsid w:val="005F5E10"/>
    <w:rsid w:val="005F703E"/>
    <w:rsid w:val="006010C9"/>
    <w:rsid w:val="006011C6"/>
    <w:rsid w:val="00603678"/>
    <w:rsid w:val="006041E2"/>
    <w:rsid w:val="006066CE"/>
    <w:rsid w:val="006115D4"/>
    <w:rsid w:val="00611E59"/>
    <w:rsid w:val="006140F7"/>
    <w:rsid w:val="0061509E"/>
    <w:rsid w:val="006226E9"/>
    <w:rsid w:val="00627047"/>
    <w:rsid w:val="006334F2"/>
    <w:rsid w:val="006337A0"/>
    <w:rsid w:val="00636D89"/>
    <w:rsid w:val="00636FD5"/>
    <w:rsid w:val="00637FA3"/>
    <w:rsid w:val="00640210"/>
    <w:rsid w:val="00641506"/>
    <w:rsid w:val="0064185E"/>
    <w:rsid w:val="00641AA7"/>
    <w:rsid w:val="006429F8"/>
    <w:rsid w:val="00646550"/>
    <w:rsid w:val="006524E4"/>
    <w:rsid w:val="00652643"/>
    <w:rsid w:val="00652914"/>
    <w:rsid w:val="00652BD1"/>
    <w:rsid w:val="00652C03"/>
    <w:rsid w:val="00654081"/>
    <w:rsid w:val="00654F78"/>
    <w:rsid w:val="00657ED7"/>
    <w:rsid w:val="00661312"/>
    <w:rsid w:val="00661A3B"/>
    <w:rsid w:val="00665CAD"/>
    <w:rsid w:val="00666172"/>
    <w:rsid w:val="00667BDA"/>
    <w:rsid w:val="00667DBA"/>
    <w:rsid w:val="00671985"/>
    <w:rsid w:val="00673C4A"/>
    <w:rsid w:val="00674DC8"/>
    <w:rsid w:val="00675E90"/>
    <w:rsid w:val="0067666D"/>
    <w:rsid w:val="00680265"/>
    <w:rsid w:val="006825C5"/>
    <w:rsid w:val="006829C3"/>
    <w:rsid w:val="00694C10"/>
    <w:rsid w:val="0069567C"/>
    <w:rsid w:val="006973D9"/>
    <w:rsid w:val="006A187F"/>
    <w:rsid w:val="006A5BBE"/>
    <w:rsid w:val="006B0B39"/>
    <w:rsid w:val="006B1B30"/>
    <w:rsid w:val="006B30AB"/>
    <w:rsid w:val="006C101F"/>
    <w:rsid w:val="006C123B"/>
    <w:rsid w:val="006D0CFE"/>
    <w:rsid w:val="006D27AA"/>
    <w:rsid w:val="006D33EF"/>
    <w:rsid w:val="006E2AEB"/>
    <w:rsid w:val="006E36A3"/>
    <w:rsid w:val="006E59E2"/>
    <w:rsid w:val="006E6D89"/>
    <w:rsid w:val="006F0549"/>
    <w:rsid w:val="006F6B01"/>
    <w:rsid w:val="007003C0"/>
    <w:rsid w:val="0070148E"/>
    <w:rsid w:val="00703215"/>
    <w:rsid w:val="00703536"/>
    <w:rsid w:val="00704DFE"/>
    <w:rsid w:val="00705C27"/>
    <w:rsid w:val="00707284"/>
    <w:rsid w:val="00707A43"/>
    <w:rsid w:val="00721124"/>
    <w:rsid w:val="00725614"/>
    <w:rsid w:val="00726439"/>
    <w:rsid w:val="00727492"/>
    <w:rsid w:val="007434F3"/>
    <w:rsid w:val="007502D9"/>
    <w:rsid w:val="00754249"/>
    <w:rsid w:val="00756038"/>
    <w:rsid w:val="00760C1D"/>
    <w:rsid w:val="00764EB7"/>
    <w:rsid w:val="00766DEB"/>
    <w:rsid w:val="00772BC7"/>
    <w:rsid w:val="00774B64"/>
    <w:rsid w:val="007766DE"/>
    <w:rsid w:val="007770D3"/>
    <w:rsid w:val="00781ACD"/>
    <w:rsid w:val="00784B4D"/>
    <w:rsid w:val="00786ED6"/>
    <w:rsid w:val="007931CB"/>
    <w:rsid w:val="00793AAB"/>
    <w:rsid w:val="00794C51"/>
    <w:rsid w:val="0079704A"/>
    <w:rsid w:val="007A15F1"/>
    <w:rsid w:val="007A2AC3"/>
    <w:rsid w:val="007A4D62"/>
    <w:rsid w:val="007A6E79"/>
    <w:rsid w:val="007A7066"/>
    <w:rsid w:val="007B00B4"/>
    <w:rsid w:val="007B2BC2"/>
    <w:rsid w:val="007B3D57"/>
    <w:rsid w:val="007C266F"/>
    <w:rsid w:val="007C58A6"/>
    <w:rsid w:val="007C647F"/>
    <w:rsid w:val="007C682A"/>
    <w:rsid w:val="007D0484"/>
    <w:rsid w:val="007D2C68"/>
    <w:rsid w:val="007D2D87"/>
    <w:rsid w:val="007D6755"/>
    <w:rsid w:val="007E2E8E"/>
    <w:rsid w:val="007E5D3C"/>
    <w:rsid w:val="007E7186"/>
    <w:rsid w:val="007E74CB"/>
    <w:rsid w:val="007F0ECB"/>
    <w:rsid w:val="007F331D"/>
    <w:rsid w:val="007F36EB"/>
    <w:rsid w:val="007F395F"/>
    <w:rsid w:val="007F3B44"/>
    <w:rsid w:val="007F52CB"/>
    <w:rsid w:val="007F74BD"/>
    <w:rsid w:val="00802215"/>
    <w:rsid w:val="00802801"/>
    <w:rsid w:val="00803F67"/>
    <w:rsid w:val="008045EA"/>
    <w:rsid w:val="00805A6B"/>
    <w:rsid w:val="00805B1B"/>
    <w:rsid w:val="00805C26"/>
    <w:rsid w:val="00805FBB"/>
    <w:rsid w:val="00807632"/>
    <w:rsid w:val="008100FF"/>
    <w:rsid w:val="00810489"/>
    <w:rsid w:val="00823C04"/>
    <w:rsid w:val="008251ED"/>
    <w:rsid w:val="00830D1E"/>
    <w:rsid w:val="00830F7A"/>
    <w:rsid w:val="00832D37"/>
    <w:rsid w:val="008335E9"/>
    <w:rsid w:val="008348FB"/>
    <w:rsid w:val="0083638A"/>
    <w:rsid w:val="00836EBD"/>
    <w:rsid w:val="0085015D"/>
    <w:rsid w:val="00851BBA"/>
    <w:rsid w:val="008540A9"/>
    <w:rsid w:val="008553A2"/>
    <w:rsid w:val="0086119E"/>
    <w:rsid w:val="008628AF"/>
    <w:rsid w:val="0087323A"/>
    <w:rsid w:val="00874F7B"/>
    <w:rsid w:val="008765F7"/>
    <w:rsid w:val="00880E93"/>
    <w:rsid w:val="00881F92"/>
    <w:rsid w:val="008823A5"/>
    <w:rsid w:val="00885930"/>
    <w:rsid w:val="0089073C"/>
    <w:rsid w:val="008934D3"/>
    <w:rsid w:val="00893A7C"/>
    <w:rsid w:val="008961DC"/>
    <w:rsid w:val="008A5F0B"/>
    <w:rsid w:val="008A7033"/>
    <w:rsid w:val="008A77CB"/>
    <w:rsid w:val="008B3437"/>
    <w:rsid w:val="008B34A2"/>
    <w:rsid w:val="008B73C0"/>
    <w:rsid w:val="008B7535"/>
    <w:rsid w:val="008C0FEB"/>
    <w:rsid w:val="008C1159"/>
    <w:rsid w:val="008C1318"/>
    <w:rsid w:val="008C17FA"/>
    <w:rsid w:val="008C292D"/>
    <w:rsid w:val="008C422F"/>
    <w:rsid w:val="008C6950"/>
    <w:rsid w:val="008D1082"/>
    <w:rsid w:val="008D3845"/>
    <w:rsid w:val="008D453C"/>
    <w:rsid w:val="008D6214"/>
    <w:rsid w:val="008D7671"/>
    <w:rsid w:val="008E0098"/>
    <w:rsid w:val="008E38A1"/>
    <w:rsid w:val="008E40FD"/>
    <w:rsid w:val="008E566E"/>
    <w:rsid w:val="008E5BEB"/>
    <w:rsid w:val="008F15EA"/>
    <w:rsid w:val="008F3172"/>
    <w:rsid w:val="008F3C26"/>
    <w:rsid w:val="008F4B2F"/>
    <w:rsid w:val="008F6738"/>
    <w:rsid w:val="008F7776"/>
    <w:rsid w:val="00902EDE"/>
    <w:rsid w:val="009040FF"/>
    <w:rsid w:val="00905393"/>
    <w:rsid w:val="009053DC"/>
    <w:rsid w:val="00906202"/>
    <w:rsid w:val="00906579"/>
    <w:rsid w:val="00914186"/>
    <w:rsid w:val="00914874"/>
    <w:rsid w:val="00915793"/>
    <w:rsid w:val="009210C4"/>
    <w:rsid w:val="00926E12"/>
    <w:rsid w:val="00927B93"/>
    <w:rsid w:val="00932473"/>
    <w:rsid w:val="009367B8"/>
    <w:rsid w:val="00943C64"/>
    <w:rsid w:val="00944252"/>
    <w:rsid w:val="0094528D"/>
    <w:rsid w:val="0095420C"/>
    <w:rsid w:val="009546B7"/>
    <w:rsid w:val="009570FF"/>
    <w:rsid w:val="00961135"/>
    <w:rsid w:val="00963B1C"/>
    <w:rsid w:val="00964C92"/>
    <w:rsid w:val="00966063"/>
    <w:rsid w:val="00966742"/>
    <w:rsid w:val="00967613"/>
    <w:rsid w:val="009741BA"/>
    <w:rsid w:val="00975520"/>
    <w:rsid w:val="00980F9F"/>
    <w:rsid w:val="00985E86"/>
    <w:rsid w:val="009876CB"/>
    <w:rsid w:val="009905E9"/>
    <w:rsid w:val="00991B3B"/>
    <w:rsid w:val="00994C36"/>
    <w:rsid w:val="009A2A15"/>
    <w:rsid w:val="009A4516"/>
    <w:rsid w:val="009A4737"/>
    <w:rsid w:val="009A5920"/>
    <w:rsid w:val="009B2E62"/>
    <w:rsid w:val="009B2FA7"/>
    <w:rsid w:val="009B43FF"/>
    <w:rsid w:val="009B46AF"/>
    <w:rsid w:val="009B56F1"/>
    <w:rsid w:val="009B7390"/>
    <w:rsid w:val="009C5B37"/>
    <w:rsid w:val="009C7859"/>
    <w:rsid w:val="009D0BB4"/>
    <w:rsid w:val="009D7A02"/>
    <w:rsid w:val="009E0A5C"/>
    <w:rsid w:val="009E0EC4"/>
    <w:rsid w:val="009E56B3"/>
    <w:rsid w:val="009E6186"/>
    <w:rsid w:val="009E73D2"/>
    <w:rsid w:val="009E7625"/>
    <w:rsid w:val="009F176A"/>
    <w:rsid w:val="009F3CE9"/>
    <w:rsid w:val="009F514A"/>
    <w:rsid w:val="009F5816"/>
    <w:rsid w:val="009F5EDE"/>
    <w:rsid w:val="009F704C"/>
    <w:rsid w:val="009F7418"/>
    <w:rsid w:val="009F7AAF"/>
    <w:rsid w:val="00A00615"/>
    <w:rsid w:val="00A00785"/>
    <w:rsid w:val="00A00BB6"/>
    <w:rsid w:val="00A02948"/>
    <w:rsid w:val="00A037BD"/>
    <w:rsid w:val="00A06A3C"/>
    <w:rsid w:val="00A1486D"/>
    <w:rsid w:val="00A16ABA"/>
    <w:rsid w:val="00A171AF"/>
    <w:rsid w:val="00A22015"/>
    <w:rsid w:val="00A24953"/>
    <w:rsid w:val="00A25865"/>
    <w:rsid w:val="00A264CA"/>
    <w:rsid w:val="00A26C0A"/>
    <w:rsid w:val="00A31153"/>
    <w:rsid w:val="00A32536"/>
    <w:rsid w:val="00A37488"/>
    <w:rsid w:val="00A430E0"/>
    <w:rsid w:val="00A47DA8"/>
    <w:rsid w:val="00A5023D"/>
    <w:rsid w:val="00A51212"/>
    <w:rsid w:val="00A53235"/>
    <w:rsid w:val="00A54AD0"/>
    <w:rsid w:val="00A55B3C"/>
    <w:rsid w:val="00A6149E"/>
    <w:rsid w:val="00A647B7"/>
    <w:rsid w:val="00A7309A"/>
    <w:rsid w:val="00A7650B"/>
    <w:rsid w:val="00A7724B"/>
    <w:rsid w:val="00A85BB7"/>
    <w:rsid w:val="00A9476B"/>
    <w:rsid w:val="00A9669F"/>
    <w:rsid w:val="00A96E16"/>
    <w:rsid w:val="00AA01BE"/>
    <w:rsid w:val="00AA1099"/>
    <w:rsid w:val="00AA1B35"/>
    <w:rsid w:val="00AA5AFD"/>
    <w:rsid w:val="00AA5BA7"/>
    <w:rsid w:val="00AA5F3F"/>
    <w:rsid w:val="00AA6101"/>
    <w:rsid w:val="00AB624D"/>
    <w:rsid w:val="00AC0DE4"/>
    <w:rsid w:val="00AC6CC3"/>
    <w:rsid w:val="00AD0C97"/>
    <w:rsid w:val="00AD1354"/>
    <w:rsid w:val="00AD34BB"/>
    <w:rsid w:val="00AD37F6"/>
    <w:rsid w:val="00AD3FFF"/>
    <w:rsid w:val="00AD5876"/>
    <w:rsid w:val="00AD7A56"/>
    <w:rsid w:val="00AE0196"/>
    <w:rsid w:val="00AE189D"/>
    <w:rsid w:val="00AE3DB5"/>
    <w:rsid w:val="00AE5EC6"/>
    <w:rsid w:val="00AE7DC2"/>
    <w:rsid w:val="00AF15DB"/>
    <w:rsid w:val="00AF1CB8"/>
    <w:rsid w:val="00AF3427"/>
    <w:rsid w:val="00AF38EB"/>
    <w:rsid w:val="00B03680"/>
    <w:rsid w:val="00B062B4"/>
    <w:rsid w:val="00B14179"/>
    <w:rsid w:val="00B16097"/>
    <w:rsid w:val="00B168C7"/>
    <w:rsid w:val="00B20C54"/>
    <w:rsid w:val="00B259DF"/>
    <w:rsid w:val="00B27B49"/>
    <w:rsid w:val="00B30B0A"/>
    <w:rsid w:val="00B32481"/>
    <w:rsid w:val="00B327F6"/>
    <w:rsid w:val="00B33CC1"/>
    <w:rsid w:val="00B35C90"/>
    <w:rsid w:val="00B4394D"/>
    <w:rsid w:val="00B439AA"/>
    <w:rsid w:val="00B47503"/>
    <w:rsid w:val="00B50C9C"/>
    <w:rsid w:val="00B537FD"/>
    <w:rsid w:val="00B538AB"/>
    <w:rsid w:val="00B53B2E"/>
    <w:rsid w:val="00B55EE0"/>
    <w:rsid w:val="00B6077F"/>
    <w:rsid w:val="00B6121D"/>
    <w:rsid w:val="00B6124F"/>
    <w:rsid w:val="00B61E08"/>
    <w:rsid w:val="00B63F4A"/>
    <w:rsid w:val="00B755E7"/>
    <w:rsid w:val="00B75D22"/>
    <w:rsid w:val="00B80442"/>
    <w:rsid w:val="00B80F8A"/>
    <w:rsid w:val="00B81139"/>
    <w:rsid w:val="00B8400C"/>
    <w:rsid w:val="00B84A62"/>
    <w:rsid w:val="00B85415"/>
    <w:rsid w:val="00B90E21"/>
    <w:rsid w:val="00B918FF"/>
    <w:rsid w:val="00B919D9"/>
    <w:rsid w:val="00B922C0"/>
    <w:rsid w:val="00B94ADF"/>
    <w:rsid w:val="00B95F1A"/>
    <w:rsid w:val="00B96D96"/>
    <w:rsid w:val="00BA522B"/>
    <w:rsid w:val="00BA775A"/>
    <w:rsid w:val="00BA7E0E"/>
    <w:rsid w:val="00BB3EEC"/>
    <w:rsid w:val="00BB5741"/>
    <w:rsid w:val="00BC2152"/>
    <w:rsid w:val="00BC3AA6"/>
    <w:rsid w:val="00BC4858"/>
    <w:rsid w:val="00BC7306"/>
    <w:rsid w:val="00BD0045"/>
    <w:rsid w:val="00BD0D8D"/>
    <w:rsid w:val="00BD2967"/>
    <w:rsid w:val="00BD459A"/>
    <w:rsid w:val="00BD5ABC"/>
    <w:rsid w:val="00BD63CA"/>
    <w:rsid w:val="00BE0349"/>
    <w:rsid w:val="00BE3804"/>
    <w:rsid w:val="00BE3832"/>
    <w:rsid w:val="00BE5670"/>
    <w:rsid w:val="00BE7898"/>
    <w:rsid w:val="00BF2C89"/>
    <w:rsid w:val="00BF6590"/>
    <w:rsid w:val="00C05750"/>
    <w:rsid w:val="00C05CC8"/>
    <w:rsid w:val="00C06692"/>
    <w:rsid w:val="00C12F98"/>
    <w:rsid w:val="00C145AA"/>
    <w:rsid w:val="00C14C29"/>
    <w:rsid w:val="00C16233"/>
    <w:rsid w:val="00C17062"/>
    <w:rsid w:val="00C20A6E"/>
    <w:rsid w:val="00C2465D"/>
    <w:rsid w:val="00C24AF5"/>
    <w:rsid w:val="00C274C3"/>
    <w:rsid w:val="00C31532"/>
    <w:rsid w:val="00C32DFE"/>
    <w:rsid w:val="00C33A62"/>
    <w:rsid w:val="00C3505D"/>
    <w:rsid w:val="00C408F0"/>
    <w:rsid w:val="00C41D99"/>
    <w:rsid w:val="00C4397F"/>
    <w:rsid w:val="00C4637D"/>
    <w:rsid w:val="00C517F1"/>
    <w:rsid w:val="00C51B34"/>
    <w:rsid w:val="00C5252B"/>
    <w:rsid w:val="00C5267C"/>
    <w:rsid w:val="00C6126D"/>
    <w:rsid w:val="00C61726"/>
    <w:rsid w:val="00C6307D"/>
    <w:rsid w:val="00C65225"/>
    <w:rsid w:val="00C7048D"/>
    <w:rsid w:val="00C70C45"/>
    <w:rsid w:val="00C75212"/>
    <w:rsid w:val="00C80AC6"/>
    <w:rsid w:val="00C81C65"/>
    <w:rsid w:val="00C82920"/>
    <w:rsid w:val="00C853CD"/>
    <w:rsid w:val="00C9005D"/>
    <w:rsid w:val="00C91E32"/>
    <w:rsid w:val="00C92D71"/>
    <w:rsid w:val="00C92F67"/>
    <w:rsid w:val="00C93119"/>
    <w:rsid w:val="00CA3B3E"/>
    <w:rsid w:val="00CA3FA7"/>
    <w:rsid w:val="00CA41D4"/>
    <w:rsid w:val="00CA463F"/>
    <w:rsid w:val="00CA68C9"/>
    <w:rsid w:val="00CA785A"/>
    <w:rsid w:val="00CA793B"/>
    <w:rsid w:val="00CB1FD8"/>
    <w:rsid w:val="00CB3D68"/>
    <w:rsid w:val="00CC2DAB"/>
    <w:rsid w:val="00CC5F84"/>
    <w:rsid w:val="00CC77F1"/>
    <w:rsid w:val="00CD1AA7"/>
    <w:rsid w:val="00CD2586"/>
    <w:rsid w:val="00CD4C13"/>
    <w:rsid w:val="00CD4C34"/>
    <w:rsid w:val="00CD7FF7"/>
    <w:rsid w:val="00CE0E55"/>
    <w:rsid w:val="00CE31C6"/>
    <w:rsid w:val="00CE4B97"/>
    <w:rsid w:val="00CF646F"/>
    <w:rsid w:val="00CF7487"/>
    <w:rsid w:val="00D0206B"/>
    <w:rsid w:val="00D02AEA"/>
    <w:rsid w:val="00D139F5"/>
    <w:rsid w:val="00D13CAE"/>
    <w:rsid w:val="00D15965"/>
    <w:rsid w:val="00D16A56"/>
    <w:rsid w:val="00D16F61"/>
    <w:rsid w:val="00D21D68"/>
    <w:rsid w:val="00D276BF"/>
    <w:rsid w:val="00D314DC"/>
    <w:rsid w:val="00D32461"/>
    <w:rsid w:val="00D33161"/>
    <w:rsid w:val="00D35A82"/>
    <w:rsid w:val="00D36F2F"/>
    <w:rsid w:val="00D427A3"/>
    <w:rsid w:val="00D46AD3"/>
    <w:rsid w:val="00D513E4"/>
    <w:rsid w:val="00D535D5"/>
    <w:rsid w:val="00D53B1C"/>
    <w:rsid w:val="00D55E33"/>
    <w:rsid w:val="00D651C4"/>
    <w:rsid w:val="00D66A66"/>
    <w:rsid w:val="00D67194"/>
    <w:rsid w:val="00D67A7B"/>
    <w:rsid w:val="00D71A0E"/>
    <w:rsid w:val="00D7389C"/>
    <w:rsid w:val="00D759DB"/>
    <w:rsid w:val="00D75A6E"/>
    <w:rsid w:val="00D770BF"/>
    <w:rsid w:val="00D83F30"/>
    <w:rsid w:val="00D86487"/>
    <w:rsid w:val="00D93755"/>
    <w:rsid w:val="00D9375F"/>
    <w:rsid w:val="00D9482E"/>
    <w:rsid w:val="00D96327"/>
    <w:rsid w:val="00DA21DA"/>
    <w:rsid w:val="00DB2036"/>
    <w:rsid w:val="00DB3C87"/>
    <w:rsid w:val="00DB498E"/>
    <w:rsid w:val="00DC6E73"/>
    <w:rsid w:val="00DD2524"/>
    <w:rsid w:val="00DD7880"/>
    <w:rsid w:val="00DE3190"/>
    <w:rsid w:val="00DE3814"/>
    <w:rsid w:val="00DF0311"/>
    <w:rsid w:val="00DF08AA"/>
    <w:rsid w:val="00DF1F76"/>
    <w:rsid w:val="00DF2275"/>
    <w:rsid w:val="00DF4C74"/>
    <w:rsid w:val="00E02D58"/>
    <w:rsid w:val="00E17EC2"/>
    <w:rsid w:val="00E21419"/>
    <w:rsid w:val="00E23CAC"/>
    <w:rsid w:val="00E24FF8"/>
    <w:rsid w:val="00E312A9"/>
    <w:rsid w:val="00E32FB7"/>
    <w:rsid w:val="00E36A7F"/>
    <w:rsid w:val="00E4069B"/>
    <w:rsid w:val="00E41F90"/>
    <w:rsid w:val="00E438D0"/>
    <w:rsid w:val="00E44B34"/>
    <w:rsid w:val="00E47CDF"/>
    <w:rsid w:val="00E50D0F"/>
    <w:rsid w:val="00E51C5C"/>
    <w:rsid w:val="00E538DE"/>
    <w:rsid w:val="00E53CEF"/>
    <w:rsid w:val="00E53F73"/>
    <w:rsid w:val="00E71D09"/>
    <w:rsid w:val="00E8069D"/>
    <w:rsid w:val="00E823B4"/>
    <w:rsid w:val="00E827AC"/>
    <w:rsid w:val="00E8593F"/>
    <w:rsid w:val="00E86DA9"/>
    <w:rsid w:val="00E86E13"/>
    <w:rsid w:val="00E87803"/>
    <w:rsid w:val="00E907BA"/>
    <w:rsid w:val="00E9505F"/>
    <w:rsid w:val="00E9638B"/>
    <w:rsid w:val="00E96C57"/>
    <w:rsid w:val="00EA07FD"/>
    <w:rsid w:val="00EA30AE"/>
    <w:rsid w:val="00EA5B67"/>
    <w:rsid w:val="00EA6DA4"/>
    <w:rsid w:val="00EB6223"/>
    <w:rsid w:val="00EC25E2"/>
    <w:rsid w:val="00EC31D2"/>
    <w:rsid w:val="00EC36C4"/>
    <w:rsid w:val="00EC45D8"/>
    <w:rsid w:val="00EC5ED5"/>
    <w:rsid w:val="00EC62C6"/>
    <w:rsid w:val="00EC69D1"/>
    <w:rsid w:val="00ED2D0B"/>
    <w:rsid w:val="00ED53FE"/>
    <w:rsid w:val="00ED6BC5"/>
    <w:rsid w:val="00EE231C"/>
    <w:rsid w:val="00EE2973"/>
    <w:rsid w:val="00EE3DB2"/>
    <w:rsid w:val="00EE6A3C"/>
    <w:rsid w:val="00EE74CB"/>
    <w:rsid w:val="00EF0FB5"/>
    <w:rsid w:val="00EF3090"/>
    <w:rsid w:val="00EF31F2"/>
    <w:rsid w:val="00EF3486"/>
    <w:rsid w:val="00EF3E28"/>
    <w:rsid w:val="00EF42A6"/>
    <w:rsid w:val="00F00F88"/>
    <w:rsid w:val="00F06C8F"/>
    <w:rsid w:val="00F06D70"/>
    <w:rsid w:val="00F10F84"/>
    <w:rsid w:val="00F12BD4"/>
    <w:rsid w:val="00F15EBC"/>
    <w:rsid w:val="00F2198C"/>
    <w:rsid w:val="00F2214E"/>
    <w:rsid w:val="00F2768A"/>
    <w:rsid w:val="00F3080A"/>
    <w:rsid w:val="00F31195"/>
    <w:rsid w:val="00F33075"/>
    <w:rsid w:val="00F3432B"/>
    <w:rsid w:val="00F37D07"/>
    <w:rsid w:val="00F46700"/>
    <w:rsid w:val="00F46C62"/>
    <w:rsid w:val="00F47F95"/>
    <w:rsid w:val="00F52B31"/>
    <w:rsid w:val="00F52EA1"/>
    <w:rsid w:val="00F532C0"/>
    <w:rsid w:val="00F60C18"/>
    <w:rsid w:val="00F60F17"/>
    <w:rsid w:val="00F629C1"/>
    <w:rsid w:val="00F712DA"/>
    <w:rsid w:val="00F75481"/>
    <w:rsid w:val="00F76C6A"/>
    <w:rsid w:val="00F779AF"/>
    <w:rsid w:val="00F80D76"/>
    <w:rsid w:val="00F81497"/>
    <w:rsid w:val="00F82755"/>
    <w:rsid w:val="00F842CA"/>
    <w:rsid w:val="00F85DE4"/>
    <w:rsid w:val="00F91F23"/>
    <w:rsid w:val="00F9203B"/>
    <w:rsid w:val="00F93AC1"/>
    <w:rsid w:val="00F93C31"/>
    <w:rsid w:val="00F94A0A"/>
    <w:rsid w:val="00F96C0C"/>
    <w:rsid w:val="00FA056D"/>
    <w:rsid w:val="00FA3A98"/>
    <w:rsid w:val="00FB4522"/>
    <w:rsid w:val="00FB4FAA"/>
    <w:rsid w:val="00FB677A"/>
    <w:rsid w:val="00FC12F6"/>
    <w:rsid w:val="00FC14B3"/>
    <w:rsid w:val="00FC14C4"/>
    <w:rsid w:val="00FC4CA4"/>
    <w:rsid w:val="00FC4D0C"/>
    <w:rsid w:val="00FC7647"/>
    <w:rsid w:val="00FD1950"/>
    <w:rsid w:val="00FD261B"/>
    <w:rsid w:val="00FD3EF2"/>
    <w:rsid w:val="00FD5E80"/>
    <w:rsid w:val="00FE05BA"/>
    <w:rsid w:val="00FE144C"/>
    <w:rsid w:val="00FE1C74"/>
    <w:rsid w:val="00FE46F7"/>
    <w:rsid w:val="00FE642A"/>
    <w:rsid w:val="00FE6482"/>
    <w:rsid w:val="00FE6490"/>
    <w:rsid w:val="00FF00EF"/>
    <w:rsid w:val="00FF0D10"/>
    <w:rsid w:val="00FF3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37BF"/>
  <w15:chartTrackingRefBased/>
  <w15:docId w15:val="{4F299E3B-892D-4ED5-BF46-7DC4C447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650B"/>
    <w:pPr>
      <w:spacing w:after="0" w:line="240" w:lineRule="auto"/>
      <w:ind w:left="113" w:right="113"/>
    </w:pPr>
    <w:rPr>
      <w:rFonts w:ascii="Calibri" w:eastAsia="Calibri" w:hAnsi="Calibri" w:cs="Times New Roman"/>
    </w:rPr>
  </w:style>
  <w:style w:type="paragraph" w:styleId="Nadpis1">
    <w:name w:val="heading 1"/>
    <w:basedOn w:val="Normln"/>
    <w:next w:val="Normln"/>
    <w:link w:val="Nadpis1Char"/>
    <w:uiPriority w:val="9"/>
    <w:qFormat/>
    <w:rsid w:val="003004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A7650B"/>
    <w:rPr>
      <w:sz w:val="16"/>
      <w:szCs w:val="16"/>
    </w:rPr>
  </w:style>
  <w:style w:type="paragraph" w:styleId="Textkomente">
    <w:name w:val="annotation text"/>
    <w:basedOn w:val="Normln"/>
    <w:link w:val="TextkomenteChar"/>
    <w:uiPriority w:val="99"/>
    <w:unhideWhenUsed/>
    <w:rsid w:val="00A7650B"/>
    <w:rPr>
      <w:sz w:val="20"/>
      <w:szCs w:val="20"/>
      <w:lang w:val="x-none"/>
    </w:rPr>
  </w:style>
  <w:style w:type="character" w:customStyle="1" w:styleId="TextkomenteChar">
    <w:name w:val="Text komentáře Char"/>
    <w:basedOn w:val="Standardnpsmoodstavce"/>
    <w:link w:val="Textkomente"/>
    <w:uiPriority w:val="99"/>
    <w:rsid w:val="00A7650B"/>
    <w:rPr>
      <w:rFonts w:ascii="Calibri" w:eastAsia="Calibri" w:hAnsi="Calibri" w:cs="Times New Roman"/>
      <w:sz w:val="20"/>
      <w:szCs w:val="20"/>
      <w:lang w:val="x-none"/>
    </w:rPr>
  </w:style>
  <w:style w:type="table" w:styleId="Mkatabulky">
    <w:name w:val="Table Grid"/>
    <w:basedOn w:val="Normlntabulka"/>
    <w:uiPriority w:val="59"/>
    <w:rsid w:val="00A7650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A7650B"/>
    <w:pPr>
      <w:tabs>
        <w:tab w:val="center" w:pos="4536"/>
        <w:tab w:val="right" w:pos="9072"/>
      </w:tabs>
    </w:pPr>
  </w:style>
  <w:style w:type="character" w:customStyle="1" w:styleId="ZhlavChar">
    <w:name w:val="Záhlaví Char"/>
    <w:basedOn w:val="Standardnpsmoodstavce"/>
    <w:link w:val="Zhlav"/>
    <w:rsid w:val="00A7650B"/>
    <w:rPr>
      <w:rFonts w:ascii="Calibri" w:eastAsia="Calibri" w:hAnsi="Calibri" w:cs="Times New Roman"/>
    </w:rPr>
  </w:style>
  <w:style w:type="paragraph" w:styleId="Zpat">
    <w:name w:val="footer"/>
    <w:basedOn w:val="Normln"/>
    <w:link w:val="ZpatChar"/>
    <w:uiPriority w:val="99"/>
    <w:unhideWhenUsed/>
    <w:rsid w:val="00A7650B"/>
    <w:pPr>
      <w:tabs>
        <w:tab w:val="center" w:pos="4536"/>
        <w:tab w:val="right" w:pos="9072"/>
      </w:tabs>
    </w:pPr>
  </w:style>
  <w:style w:type="character" w:customStyle="1" w:styleId="ZpatChar">
    <w:name w:val="Zápatí Char"/>
    <w:basedOn w:val="Standardnpsmoodstavce"/>
    <w:link w:val="Zpat"/>
    <w:uiPriority w:val="99"/>
    <w:rsid w:val="00A7650B"/>
    <w:rPr>
      <w:rFonts w:ascii="Calibri" w:eastAsia="Calibri" w:hAnsi="Calibri" w:cs="Times New Roman"/>
    </w:rPr>
  </w:style>
  <w:style w:type="paragraph" w:customStyle="1" w:styleId="Nadpis2-BS">
    <w:name w:val="Nadpis 2 - BS"/>
    <w:basedOn w:val="Normln"/>
    <w:link w:val="Nadpis2-BSChar"/>
    <w:uiPriority w:val="99"/>
    <w:qFormat/>
    <w:rsid w:val="00A7650B"/>
    <w:pPr>
      <w:numPr>
        <w:ilvl w:val="1"/>
      </w:numPr>
      <w:spacing w:before="240" w:after="60"/>
      <w:ind w:left="113" w:right="0"/>
      <w:jc w:val="both"/>
    </w:pPr>
    <w:rPr>
      <w:rFonts w:eastAsia="Times New Roman" w:cs="Calibri"/>
      <w:lang w:eastAsia="cs-CZ"/>
    </w:rPr>
  </w:style>
  <w:style w:type="paragraph" w:customStyle="1" w:styleId="Normlnodsazen-BS">
    <w:name w:val="Normální odsazený - BS"/>
    <w:basedOn w:val="Normln"/>
    <w:link w:val="Normlnodsazen-BSChar"/>
    <w:qFormat/>
    <w:rsid w:val="00A7650B"/>
    <w:pPr>
      <w:spacing w:before="240" w:after="60"/>
      <w:ind w:left="567" w:right="0"/>
      <w:jc w:val="both"/>
    </w:pPr>
    <w:rPr>
      <w:rFonts w:eastAsia="Times New Roman" w:cs="Calibri"/>
      <w:lang w:eastAsia="cs-CZ"/>
    </w:rPr>
  </w:style>
  <w:style w:type="character" w:customStyle="1" w:styleId="Nadpis2-BSChar">
    <w:name w:val="Nadpis 2 - BS Char"/>
    <w:link w:val="Nadpis2-BS"/>
    <w:uiPriority w:val="99"/>
    <w:rsid w:val="00A7650B"/>
    <w:rPr>
      <w:rFonts w:ascii="Calibri" w:eastAsia="Times New Roman" w:hAnsi="Calibri" w:cs="Calibri"/>
      <w:lang w:eastAsia="cs-CZ"/>
    </w:rPr>
  </w:style>
  <w:style w:type="character" w:customStyle="1" w:styleId="Normlnodsazen-BSChar">
    <w:name w:val="Normální odsazený - BS Char"/>
    <w:link w:val="Normlnodsazen-BS"/>
    <w:rsid w:val="00A7650B"/>
    <w:rPr>
      <w:rFonts w:ascii="Calibri" w:eastAsia="Times New Roman" w:hAnsi="Calibri" w:cs="Calibri"/>
      <w:lang w:eastAsia="cs-CZ"/>
    </w:rPr>
  </w:style>
  <w:style w:type="character" w:styleId="Hypertextovodkaz">
    <w:name w:val="Hyperlink"/>
    <w:uiPriority w:val="99"/>
    <w:unhideWhenUsed/>
    <w:rsid w:val="00A7650B"/>
    <w:rPr>
      <w:color w:val="0000FF"/>
      <w:u w:val="single"/>
    </w:rPr>
  </w:style>
  <w:style w:type="paragraph" w:customStyle="1" w:styleId="Preambule">
    <w:name w:val="Preambule"/>
    <w:basedOn w:val="Normln"/>
    <w:link w:val="PreambuleChar"/>
    <w:qFormat/>
    <w:rsid w:val="00A7650B"/>
    <w:pPr>
      <w:numPr>
        <w:numId w:val="4"/>
      </w:numPr>
      <w:tabs>
        <w:tab w:val="left" w:pos="567"/>
      </w:tabs>
      <w:spacing w:before="120" w:after="120"/>
      <w:ind w:left="567" w:right="0" w:hanging="567"/>
      <w:jc w:val="both"/>
    </w:pPr>
    <w:rPr>
      <w:rFonts w:asciiTheme="minorHAnsi" w:eastAsiaTheme="minorHAnsi" w:hAnsiTheme="minorHAnsi" w:cstheme="minorHAnsi"/>
      <w:color w:val="2A2A2A"/>
    </w:rPr>
  </w:style>
  <w:style w:type="character" w:customStyle="1" w:styleId="PreambuleChar">
    <w:name w:val="Preambule Char"/>
    <w:basedOn w:val="Standardnpsmoodstavce"/>
    <w:link w:val="Preambule"/>
    <w:rsid w:val="00A7650B"/>
    <w:rPr>
      <w:rFonts w:cstheme="minorHAnsi"/>
      <w:color w:val="2A2A2A"/>
    </w:rPr>
  </w:style>
  <w:style w:type="paragraph" w:styleId="Textbubliny">
    <w:name w:val="Balloon Text"/>
    <w:basedOn w:val="Normln"/>
    <w:link w:val="TextbublinyChar"/>
    <w:uiPriority w:val="99"/>
    <w:semiHidden/>
    <w:unhideWhenUsed/>
    <w:rsid w:val="00A765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650B"/>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652C03"/>
    <w:rPr>
      <w:b/>
      <w:bCs/>
      <w:lang w:val="cs-CZ"/>
    </w:rPr>
  </w:style>
  <w:style w:type="character" w:customStyle="1" w:styleId="PedmtkomenteChar">
    <w:name w:val="Předmět komentáře Char"/>
    <w:basedOn w:val="TextkomenteChar"/>
    <w:link w:val="Pedmtkomente"/>
    <w:uiPriority w:val="99"/>
    <w:semiHidden/>
    <w:rsid w:val="00652C03"/>
    <w:rPr>
      <w:rFonts w:ascii="Calibri" w:eastAsia="Calibri" w:hAnsi="Calibri" w:cs="Times New Roman"/>
      <w:b/>
      <w:bCs/>
      <w:sz w:val="20"/>
      <w:szCs w:val="20"/>
      <w:lang w:val="x-none"/>
    </w:rPr>
  </w:style>
  <w:style w:type="paragraph" w:customStyle="1" w:styleId="Nadpis1-BS">
    <w:name w:val="Nadpis 1 - BS"/>
    <w:next w:val="Nadpis2-BS"/>
    <w:uiPriority w:val="99"/>
    <w:qFormat/>
    <w:rsid w:val="00893A7C"/>
    <w:pPr>
      <w:tabs>
        <w:tab w:val="num" w:pos="3828"/>
      </w:tabs>
      <w:spacing w:before="240" w:after="60" w:line="240" w:lineRule="auto"/>
      <w:ind w:left="567" w:hanging="567"/>
    </w:pPr>
    <w:rPr>
      <w:rFonts w:ascii="Calibri" w:eastAsia="Times New Roman" w:hAnsi="Calibri" w:cs="Calibri"/>
      <w:b/>
      <w:lang w:eastAsia="cs-CZ"/>
    </w:rPr>
  </w:style>
  <w:style w:type="paragraph" w:customStyle="1" w:styleId="Nadpis3-BS">
    <w:name w:val="Nadpis 3 -BS"/>
    <w:basedOn w:val="Nadpis2-BS"/>
    <w:uiPriority w:val="99"/>
    <w:qFormat/>
    <w:rsid w:val="00893A7C"/>
    <w:pPr>
      <w:numPr>
        <w:ilvl w:val="0"/>
      </w:numPr>
      <w:tabs>
        <w:tab w:val="num" w:pos="1276"/>
      </w:tabs>
      <w:ind w:left="1276" w:hanging="709"/>
    </w:pPr>
  </w:style>
  <w:style w:type="paragraph" w:styleId="Odstavecseseznamem">
    <w:name w:val="List Paragraph"/>
    <w:basedOn w:val="Normln"/>
    <w:uiPriority w:val="34"/>
    <w:qFormat/>
    <w:rsid w:val="002828AB"/>
    <w:pPr>
      <w:ind w:left="720"/>
      <w:contextualSpacing/>
    </w:pPr>
  </w:style>
  <w:style w:type="paragraph" w:customStyle="1" w:styleId="Nadpis4-BS">
    <w:name w:val="Nadpis 4 - BS"/>
    <w:basedOn w:val="Oddl"/>
    <w:link w:val="Nadpis4-BSChar"/>
    <w:uiPriority w:val="99"/>
    <w:qFormat/>
    <w:rsid w:val="00726439"/>
    <w:pPr>
      <w:ind w:left="1985" w:hanging="709"/>
    </w:pPr>
    <w:rPr>
      <w:rFonts w:ascii="Calibri" w:eastAsia="Times New Roman" w:hAnsi="Calibri"/>
      <w:lang w:eastAsia="cs-CZ"/>
    </w:rPr>
  </w:style>
  <w:style w:type="paragraph" w:customStyle="1" w:styleId="Nadpis5-BS">
    <w:name w:val="Nadpis 5 - BS"/>
    <w:basedOn w:val="Nadpis4-BS"/>
    <w:uiPriority w:val="99"/>
    <w:qFormat/>
    <w:rsid w:val="00726439"/>
    <w:pPr>
      <w:numPr>
        <w:ilvl w:val="4"/>
        <w:numId w:val="14"/>
      </w:numPr>
    </w:pPr>
  </w:style>
  <w:style w:type="character" w:customStyle="1" w:styleId="Nadpis4-BSChar">
    <w:name w:val="Nadpis 4 - BS Char"/>
    <w:basedOn w:val="Nadpis2-BSChar"/>
    <w:link w:val="Nadpis4-BS"/>
    <w:uiPriority w:val="99"/>
    <w:rsid w:val="00726439"/>
    <w:rPr>
      <w:rFonts w:ascii="Calibri" w:eastAsia="Times New Roman" w:hAnsi="Calibri" w:cstheme="minorHAnsi"/>
      <w:color w:val="2A2A2A"/>
      <w:lang w:eastAsia="cs-CZ"/>
    </w:rPr>
  </w:style>
  <w:style w:type="paragraph" w:customStyle="1" w:styleId="lnek">
    <w:name w:val="Článek"/>
    <w:basedOn w:val="Odstavecseseznamem"/>
    <w:qFormat/>
    <w:rsid w:val="00726439"/>
    <w:pPr>
      <w:numPr>
        <w:numId w:val="14"/>
      </w:numPr>
      <w:spacing w:before="120" w:after="120"/>
      <w:ind w:right="0"/>
      <w:contextualSpacing w:val="0"/>
      <w:jc w:val="both"/>
    </w:pPr>
    <w:rPr>
      <w:rFonts w:asciiTheme="minorHAnsi" w:eastAsiaTheme="minorHAnsi" w:hAnsiTheme="minorHAnsi" w:cstheme="minorHAnsi"/>
      <w:b/>
      <w:bCs/>
      <w:color w:val="2A2A2A"/>
    </w:rPr>
  </w:style>
  <w:style w:type="paragraph" w:customStyle="1" w:styleId="Odstavec">
    <w:name w:val="Odstavec"/>
    <w:basedOn w:val="Odstavecseseznamem"/>
    <w:qFormat/>
    <w:rsid w:val="00726439"/>
    <w:pPr>
      <w:numPr>
        <w:ilvl w:val="1"/>
        <w:numId w:val="14"/>
      </w:numPr>
      <w:spacing w:before="120" w:after="120"/>
      <w:ind w:right="0"/>
      <w:contextualSpacing w:val="0"/>
      <w:jc w:val="both"/>
    </w:pPr>
    <w:rPr>
      <w:rFonts w:asciiTheme="minorHAnsi" w:eastAsiaTheme="minorHAnsi" w:hAnsiTheme="minorHAnsi" w:cstheme="minorHAnsi"/>
      <w:color w:val="2A2A2A"/>
    </w:rPr>
  </w:style>
  <w:style w:type="paragraph" w:customStyle="1" w:styleId="Pododstavec">
    <w:name w:val="Pododstavec"/>
    <w:basedOn w:val="Odstavecseseznamem"/>
    <w:qFormat/>
    <w:rsid w:val="00726439"/>
    <w:pPr>
      <w:numPr>
        <w:ilvl w:val="2"/>
        <w:numId w:val="14"/>
      </w:numPr>
      <w:spacing w:before="120" w:after="120"/>
      <w:ind w:right="0"/>
      <w:contextualSpacing w:val="0"/>
      <w:jc w:val="both"/>
    </w:pPr>
    <w:rPr>
      <w:rFonts w:asciiTheme="minorHAnsi" w:eastAsiaTheme="minorHAnsi" w:hAnsiTheme="minorHAnsi" w:cstheme="minorHAnsi"/>
      <w:color w:val="2A2A2A"/>
    </w:rPr>
  </w:style>
  <w:style w:type="paragraph" w:customStyle="1" w:styleId="Oddl">
    <w:name w:val="Oddíl"/>
    <w:basedOn w:val="Pododstavec"/>
    <w:qFormat/>
    <w:rsid w:val="00726439"/>
    <w:pPr>
      <w:numPr>
        <w:ilvl w:val="3"/>
        <w:numId w:val="11"/>
      </w:numPr>
    </w:pPr>
  </w:style>
  <w:style w:type="paragraph" w:customStyle="1" w:styleId="112X">
    <w:name w:val="1.1.2.X"/>
    <w:basedOn w:val="Oddl"/>
    <w:qFormat/>
    <w:rsid w:val="00543489"/>
    <w:pPr>
      <w:spacing w:before="240" w:after="60"/>
      <w:ind w:left="2127" w:hanging="851"/>
    </w:pPr>
  </w:style>
  <w:style w:type="paragraph" w:customStyle="1" w:styleId="411X">
    <w:name w:val="4.1.1.X"/>
    <w:basedOn w:val="Oddl"/>
    <w:qFormat/>
    <w:rsid w:val="00FA3A98"/>
    <w:pPr>
      <w:numPr>
        <w:numId w:val="14"/>
      </w:numPr>
      <w:spacing w:before="240" w:after="60"/>
      <w:ind w:left="2127" w:hanging="851"/>
    </w:pPr>
  </w:style>
  <w:style w:type="paragraph" w:customStyle="1" w:styleId="412X">
    <w:name w:val="4.1.2.X"/>
    <w:basedOn w:val="411X"/>
    <w:qFormat/>
    <w:rsid w:val="00637FA3"/>
    <w:pPr>
      <w:numPr>
        <w:numId w:val="15"/>
      </w:numPr>
      <w:ind w:left="2127" w:hanging="851"/>
    </w:pPr>
  </w:style>
  <w:style w:type="character" w:customStyle="1" w:styleId="Nevyeenzmnka1">
    <w:name w:val="Nevyřešená zmínka1"/>
    <w:basedOn w:val="Standardnpsmoodstavce"/>
    <w:uiPriority w:val="99"/>
    <w:semiHidden/>
    <w:unhideWhenUsed/>
    <w:rsid w:val="001A0398"/>
    <w:rPr>
      <w:color w:val="605E5C"/>
      <w:shd w:val="clear" w:color="auto" w:fill="E1DFDD"/>
    </w:rPr>
  </w:style>
  <w:style w:type="paragraph" w:customStyle="1" w:styleId="Normln-BS">
    <w:name w:val="Normální - BS"/>
    <w:basedOn w:val="Normlnodsazen-BS"/>
    <w:link w:val="Normln-BSChar"/>
    <w:qFormat/>
    <w:rsid w:val="000D2C5B"/>
    <w:pPr>
      <w:spacing w:before="120" w:after="120"/>
      <w:ind w:left="0"/>
    </w:pPr>
    <w:rPr>
      <w:rFonts w:cstheme="minorHAnsi"/>
      <w:color w:val="2A2A2A"/>
    </w:rPr>
  </w:style>
  <w:style w:type="paragraph" w:styleId="Obsah1">
    <w:name w:val="toc 1"/>
    <w:aliases w:val="Obsah Smlouva - BS"/>
    <w:basedOn w:val="Normln"/>
    <w:next w:val="Normln"/>
    <w:autoRedefine/>
    <w:uiPriority w:val="39"/>
    <w:unhideWhenUsed/>
    <w:rsid w:val="000D2C5B"/>
    <w:pPr>
      <w:tabs>
        <w:tab w:val="left" w:pos="440"/>
        <w:tab w:val="right" w:leader="dot" w:pos="9062"/>
      </w:tabs>
      <w:spacing w:after="120" w:line="252" w:lineRule="auto"/>
      <w:ind w:left="0" w:right="0"/>
    </w:pPr>
    <w:rPr>
      <w:rFonts w:eastAsia="Times New Roman"/>
      <w:noProof/>
      <w:sz w:val="20"/>
      <w:lang w:eastAsia="cs-CZ"/>
    </w:rPr>
  </w:style>
  <w:style w:type="character" w:customStyle="1" w:styleId="Normln-BSChar">
    <w:name w:val="Normální - BS Char"/>
    <w:basedOn w:val="Normlnodsazen-BSChar"/>
    <w:link w:val="Normln-BS"/>
    <w:rsid w:val="000D2C5B"/>
    <w:rPr>
      <w:rFonts w:ascii="Calibri" w:eastAsia="Times New Roman" w:hAnsi="Calibri" w:cstheme="minorHAnsi"/>
      <w:color w:val="2A2A2A"/>
      <w:lang w:eastAsia="cs-CZ"/>
    </w:rPr>
  </w:style>
  <w:style w:type="character" w:customStyle="1" w:styleId="Nadpis1Char">
    <w:name w:val="Nadpis 1 Char"/>
    <w:basedOn w:val="Standardnpsmoodstavce"/>
    <w:link w:val="Nadpis1"/>
    <w:uiPriority w:val="9"/>
    <w:rsid w:val="003004A1"/>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3004A1"/>
    <w:pPr>
      <w:spacing w:line="259" w:lineRule="auto"/>
      <w:ind w:left="0" w:right="0"/>
      <w:outlineLvl w:val="9"/>
    </w:pPr>
    <w:rPr>
      <w:lang w:eastAsia="cs-CZ"/>
    </w:rPr>
  </w:style>
  <w:style w:type="paragraph" w:styleId="Obsah2">
    <w:name w:val="toc 2"/>
    <w:basedOn w:val="Normln"/>
    <w:next w:val="Normln"/>
    <w:autoRedefine/>
    <w:uiPriority w:val="39"/>
    <w:unhideWhenUsed/>
    <w:rsid w:val="003004A1"/>
    <w:pPr>
      <w:spacing w:after="100" w:line="259" w:lineRule="auto"/>
      <w:ind w:left="220" w:right="0"/>
    </w:pPr>
    <w:rPr>
      <w:rFonts w:asciiTheme="minorHAnsi" w:eastAsiaTheme="minorEastAsia" w:hAnsiTheme="minorHAnsi"/>
      <w:lang w:eastAsia="cs-CZ"/>
    </w:rPr>
  </w:style>
  <w:style w:type="paragraph" w:styleId="Obsah3">
    <w:name w:val="toc 3"/>
    <w:basedOn w:val="Normln"/>
    <w:next w:val="Normln"/>
    <w:autoRedefine/>
    <w:uiPriority w:val="39"/>
    <w:unhideWhenUsed/>
    <w:rsid w:val="003004A1"/>
    <w:pPr>
      <w:spacing w:after="100" w:line="259" w:lineRule="auto"/>
      <w:ind w:left="440" w:right="0"/>
    </w:pPr>
    <w:rPr>
      <w:rFonts w:asciiTheme="minorHAnsi" w:eastAsiaTheme="minorEastAsia" w:hAnsiTheme="minorHAnsi"/>
      <w:lang w:eastAsia="cs-CZ"/>
    </w:rPr>
  </w:style>
  <w:style w:type="paragraph" w:customStyle="1" w:styleId="Nadpisy">
    <w:name w:val="Nadpisy"/>
    <w:basedOn w:val="Normln"/>
    <w:qFormat/>
    <w:rsid w:val="00637FA3"/>
    <w:pPr>
      <w:numPr>
        <w:numId w:val="15"/>
      </w:numPr>
      <w:spacing w:before="240" w:after="60"/>
      <w:ind w:right="0"/>
    </w:pPr>
    <w:rPr>
      <w:b/>
    </w:rPr>
  </w:style>
  <w:style w:type="paragraph" w:styleId="Bezmezer">
    <w:name w:val="No Spacing"/>
    <w:uiPriority w:val="1"/>
    <w:qFormat/>
    <w:rsid w:val="00E44B34"/>
    <w:pPr>
      <w:spacing w:after="0" w:line="240" w:lineRule="auto"/>
      <w:ind w:left="113" w:right="113"/>
    </w:pPr>
    <w:rPr>
      <w:rFonts w:ascii="Calibri" w:eastAsia="Calibri" w:hAnsi="Calibri" w:cs="Times New Roman"/>
    </w:rPr>
  </w:style>
  <w:style w:type="paragraph" w:styleId="Revize">
    <w:name w:val="Revision"/>
    <w:hidden/>
    <w:uiPriority w:val="99"/>
    <w:semiHidden/>
    <w:rsid w:val="00CB1F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1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roz-sedlaty.c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nfo@broz-sedlaty.cz"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5BF7-2B92-4F09-90D1-4110D90F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6413</Words>
  <Characters>37837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Čala</dc:creator>
  <cp:keywords/>
  <dc:description/>
  <cp:lastModifiedBy>Monika Bazantova</cp:lastModifiedBy>
  <cp:revision>3</cp:revision>
  <cp:lastPrinted>2020-11-10T20:14:00Z</cp:lastPrinted>
  <dcterms:created xsi:type="dcterms:W3CDTF">2020-11-12T09:19:00Z</dcterms:created>
  <dcterms:modified xsi:type="dcterms:W3CDTF">2020-11-12T09:41:00Z</dcterms:modified>
</cp:coreProperties>
</file>