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9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97"/>
      </w:tblGrid>
      <w:tr w:rsidR="00C05328" w:rsidRPr="004F2FF3" w14:paraId="7BF3DF7E" w14:textId="77777777" w:rsidTr="007808D5">
        <w:tc>
          <w:tcPr>
            <w:tcW w:w="9997" w:type="dxa"/>
          </w:tcPr>
          <w:p w14:paraId="5D1004A7" w14:textId="3176DFDD" w:rsidR="00C05328" w:rsidRPr="00B90A17" w:rsidRDefault="00C05328" w:rsidP="00012B80">
            <w:pPr>
              <w:jc w:val="center"/>
              <w:rPr>
                <w:b/>
                <w:caps/>
                <w:lang w:val="cs-CZ"/>
              </w:rPr>
            </w:pPr>
            <w:r w:rsidRPr="00B90A17">
              <w:rPr>
                <w:b/>
                <w:caps/>
                <w:lang w:val="cs-CZ"/>
              </w:rPr>
              <w:t>smlouva</w:t>
            </w:r>
            <w:r w:rsidR="00E97BFE" w:rsidRPr="00B90A17">
              <w:rPr>
                <w:lang w:val="cs-CZ"/>
              </w:rPr>
              <w:t xml:space="preserve"> </w:t>
            </w:r>
            <w:r w:rsidR="00E97BFE" w:rsidRPr="00B90A17">
              <w:rPr>
                <w:b/>
                <w:caps/>
                <w:lang w:val="cs-CZ"/>
              </w:rPr>
              <w:t>O NÁJMU</w:t>
            </w:r>
            <w:r w:rsidR="00012B80" w:rsidRPr="00B90A17">
              <w:rPr>
                <w:b/>
                <w:caps/>
                <w:lang w:val="cs-CZ"/>
              </w:rPr>
              <w:t xml:space="preserve"> prostoru sloužícího podnikání</w:t>
            </w:r>
          </w:p>
        </w:tc>
      </w:tr>
      <w:tr w:rsidR="00C05328" w:rsidRPr="004F2FF3" w14:paraId="0F9CD9A9" w14:textId="77777777" w:rsidTr="007808D5">
        <w:tc>
          <w:tcPr>
            <w:tcW w:w="9997" w:type="dxa"/>
          </w:tcPr>
          <w:p w14:paraId="55D1E32D" w14:textId="77777777" w:rsidR="00C05328" w:rsidRPr="00B90A17" w:rsidRDefault="00C05328" w:rsidP="000B1A9D">
            <w:pPr>
              <w:rPr>
                <w:lang w:val="cs-CZ"/>
              </w:rPr>
            </w:pPr>
          </w:p>
        </w:tc>
      </w:tr>
      <w:tr w:rsidR="00C05328" w:rsidRPr="004F2FF3" w14:paraId="2A57EDD9" w14:textId="77777777" w:rsidTr="007808D5">
        <w:tc>
          <w:tcPr>
            <w:tcW w:w="9997" w:type="dxa"/>
          </w:tcPr>
          <w:p w14:paraId="0F56E9A9" w14:textId="111468B2" w:rsidR="00C05328" w:rsidRPr="00B90A17" w:rsidRDefault="00C05328" w:rsidP="00442216">
            <w:pPr>
              <w:rPr>
                <w:lang w:val="cs-CZ"/>
              </w:rPr>
            </w:pPr>
            <w:r w:rsidRPr="00B90A17">
              <w:rPr>
                <w:b/>
                <w:lang w:val="cs-CZ"/>
              </w:rPr>
              <w:t>TATO NÁJEMNÍ SMLOUVA</w:t>
            </w:r>
            <w:r w:rsidRPr="00B90A17">
              <w:rPr>
                <w:lang w:val="cs-CZ"/>
              </w:rPr>
              <w:t xml:space="preserve"> (dále jen „</w:t>
            </w:r>
            <w:r w:rsidRPr="00B90A17">
              <w:rPr>
                <w:b/>
                <w:lang w:val="cs-CZ"/>
              </w:rPr>
              <w:t>Smlouva</w:t>
            </w:r>
            <w:r w:rsidRPr="00B90A17">
              <w:rPr>
                <w:lang w:val="cs-CZ"/>
              </w:rPr>
              <w:t>“) se uzavírá v sou</w:t>
            </w:r>
            <w:r w:rsidR="00442216" w:rsidRPr="00B90A17">
              <w:rPr>
                <w:lang w:val="cs-CZ"/>
              </w:rPr>
              <w:t xml:space="preserve">ladu s příslušnými ustanoveními </w:t>
            </w:r>
            <w:r w:rsidRPr="00B90A17">
              <w:rPr>
                <w:lang w:val="cs-CZ"/>
              </w:rPr>
              <w:t>zákona č. 89/2012 Sb., občanský zákoník, v</w:t>
            </w:r>
            <w:r w:rsidR="00442216" w:rsidRPr="00B90A17">
              <w:rPr>
                <w:lang w:val="cs-CZ"/>
              </w:rPr>
              <w:t xml:space="preserve"> platném </w:t>
            </w:r>
            <w:r w:rsidRPr="00B90A17">
              <w:rPr>
                <w:lang w:val="cs-CZ"/>
              </w:rPr>
              <w:t>znění (dále jen „</w:t>
            </w:r>
            <w:r w:rsidRPr="00B90A17">
              <w:rPr>
                <w:b/>
                <w:lang w:val="cs-CZ"/>
              </w:rPr>
              <w:t>občanský zákoník</w:t>
            </w:r>
            <w:r w:rsidRPr="00B90A17">
              <w:rPr>
                <w:lang w:val="cs-CZ"/>
              </w:rPr>
              <w:t>“), níže uvedeného dne, měsíce a roku mezi následujícími smluvními stranami:</w:t>
            </w:r>
          </w:p>
        </w:tc>
      </w:tr>
      <w:tr w:rsidR="00C05328" w:rsidRPr="004F2FF3" w14:paraId="744F5D3C" w14:textId="77777777" w:rsidTr="007808D5">
        <w:tc>
          <w:tcPr>
            <w:tcW w:w="9997" w:type="dxa"/>
          </w:tcPr>
          <w:p w14:paraId="0A4C6445" w14:textId="77777777" w:rsidR="00C05328" w:rsidRPr="00B90A17" w:rsidRDefault="00C05328" w:rsidP="000B1A9D">
            <w:pPr>
              <w:rPr>
                <w:lang w:val="cs-CZ"/>
              </w:rPr>
            </w:pPr>
          </w:p>
        </w:tc>
      </w:tr>
      <w:tr w:rsidR="00C05328" w:rsidRPr="004F2FF3" w14:paraId="732A79ED" w14:textId="77777777" w:rsidTr="007808D5">
        <w:tc>
          <w:tcPr>
            <w:tcW w:w="9997" w:type="dxa"/>
          </w:tcPr>
          <w:p w14:paraId="03AE51A1" w14:textId="39BECA0B" w:rsidR="00C05328" w:rsidRPr="00B90A17" w:rsidRDefault="00224BB1" w:rsidP="00E6559E">
            <w:pPr>
              <w:pStyle w:val="Strany"/>
              <w:rPr>
                <w:lang w:val="cs-CZ"/>
              </w:rPr>
            </w:pPr>
            <w:proofErr w:type="spellStart"/>
            <w:r w:rsidRPr="00B90A17">
              <w:rPr>
                <w:b/>
                <w:lang w:val="cs-CZ"/>
              </w:rPr>
              <w:t>Empora</w:t>
            </w:r>
            <w:proofErr w:type="spellEnd"/>
            <w:r w:rsidRPr="00B90A17">
              <w:rPr>
                <w:b/>
                <w:lang w:val="cs-CZ"/>
              </w:rPr>
              <w:t xml:space="preserve"> </w:t>
            </w:r>
            <w:proofErr w:type="spellStart"/>
            <w:r w:rsidRPr="00B90A17">
              <w:rPr>
                <w:b/>
                <w:lang w:val="cs-CZ"/>
              </w:rPr>
              <w:t>Anstalt</w:t>
            </w:r>
            <w:proofErr w:type="spellEnd"/>
            <w:r w:rsidRPr="00B90A17">
              <w:rPr>
                <w:lang w:val="cs-CZ"/>
              </w:rPr>
              <w:t xml:space="preserve">, reg.č.FL-0002.536.547-8, </w:t>
            </w:r>
            <w:proofErr w:type="spellStart"/>
            <w:r w:rsidRPr="00B90A17">
              <w:rPr>
                <w:lang w:val="cs-CZ"/>
              </w:rPr>
              <w:t>Kirchstrasse</w:t>
            </w:r>
            <w:proofErr w:type="spellEnd"/>
            <w:r w:rsidRPr="00B90A17">
              <w:rPr>
                <w:lang w:val="cs-CZ"/>
              </w:rPr>
              <w:t xml:space="preserve"> 1, c/o </w:t>
            </w:r>
            <w:proofErr w:type="spellStart"/>
            <w:r w:rsidRPr="00B90A17">
              <w:rPr>
                <w:lang w:val="cs-CZ"/>
              </w:rPr>
              <w:t>Continor</w:t>
            </w:r>
            <w:proofErr w:type="spellEnd"/>
            <w:r w:rsidRPr="00B90A17">
              <w:rPr>
                <w:lang w:val="cs-CZ"/>
              </w:rPr>
              <w:t xml:space="preserve"> </w:t>
            </w:r>
            <w:proofErr w:type="spellStart"/>
            <w:r w:rsidRPr="00B90A17">
              <w:rPr>
                <w:lang w:val="cs-CZ"/>
              </w:rPr>
              <w:t>Treuhand</w:t>
            </w:r>
            <w:proofErr w:type="spellEnd"/>
            <w:r w:rsidRPr="00B90A17">
              <w:rPr>
                <w:lang w:val="cs-CZ"/>
              </w:rPr>
              <w:t xml:space="preserve"> </w:t>
            </w:r>
            <w:proofErr w:type="spellStart"/>
            <w:r w:rsidRPr="00B90A17">
              <w:rPr>
                <w:lang w:val="cs-CZ"/>
              </w:rPr>
              <w:t>Anstalt</w:t>
            </w:r>
            <w:proofErr w:type="spellEnd"/>
            <w:r w:rsidRPr="00B90A17">
              <w:rPr>
                <w:lang w:val="cs-CZ"/>
              </w:rPr>
              <w:t>, Vaduz 9490, Lichtenštejnské knížectví,</w:t>
            </w:r>
            <w:r w:rsidR="00E6559E" w:rsidRPr="00B90A17">
              <w:rPr>
                <w:lang w:val="cs-CZ"/>
              </w:rPr>
              <w:t xml:space="preserve"> zapsaná v obchodním rejstříku Lichtenštejnského knížectví vedeném Ministerstvem spravedlnosti, pod </w:t>
            </w:r>
            <w:proofErr w:type="spellStart"/>
            <w:r w:rsidR="00E6559E" w:rsidRPr="00B90A17">
              <w:rPr>
                <w:lang w:val="cs-CZ"/>
              </w:rPr>
              <w:t>reg</w:t>
            </w:r>
            <w:proofErr w:type="spellEnd"/>
            <w:r w:rsidR="00E6559E" w:rsidRPr="00B90A17">
              <w:rPr>
                <w:lang w:val="cs-CZ"/>
              </w:rPr>
              <w:t>. č. FL-0002.536.547-8, zastoupená</w:t>
            </w:r>
            <w:r w:rsidRPr="00B90A17">
              <w:rPr>
                <w:lang w:val="cs-CZ"/>
              </w:rPr>
              <w:t xml:space="preserve"> </w:t>
            </w:r>
            <w:proofErr w:type="spellStart"/>
            <w:r w:rsidRPr="00B90A17">
              <w:rPr>
                <w:rStyle w:val="preformatted"/>
                <w:b/>
                <w:lang w:val="cs-CZ"/>
              </w:rPr>
              <w:t>Empora</w:t>
            </w:r>
            <w:proofErr w:type="spellEnd"/>
            <w:r w:rsidRPr="00B90A17">
              <w:rPr>
                <w:rStyle w:val="preformatted"/>
                <w:b/>
                <w:lang w:val="cs-CZ"/>
              </w:rPr>
              <w:t xml:space="preserve"> </w:t>
            </w:r>
            <w:proofErr w:type="spellStart"/>
            <w:r w:rsidRPr="00B90A17">
              <w:rPr>
                <w:rStyle w:val="preformatted"/>
                <w:b/>
                <w:lang w:val="cs-CZ"/>
              </w:rPr>
              <w:t>Anstalt</w:t>
            </w:r>
            <w:proofErr w:type="spellEnd"/>
            <w:r w:rsidRPr="00B90A17">
              <w:rPr>
                <w:rStyle w:val="preformatted"/>
                <w:b/>
                <w:lang w:val="cs-CZ"/>
              </w:rPr>
              <w:t>, odštěpný závod Česká republika</w:t>
            </w:r>
            <w:r w:rsidRPr="00B90A17">
              <w:rPr>
                <w:rStyle w:val="preformatted"/>
                <w:lang w:val="cs-CZ"/>
              </w:rPr>
              <w:t xml:space="preserve">, se sídlem </w:t>
            </w:r>
            <w:r w:rsidRPr="00B90A17">
              <w:rPr>
                <w:lang w:val="cs-CZ"/>
              </w:rPr>
              <w:t xml:space="preserve">Jánský vršek 323/13, Malá Strana, 118 00 Praha 1, IČ: </w:t>
            </w:r>
            <w:r w:rsidRPr="00B90A17">
              <w:rPr>
                <w:rStyle w:val="nowrap"/>
                <w:lang w:val="cs-CZ"/>
              </w:rPr>
              <w:t xml:space="preserve">058 13 425, zapsaný v obchodním rejstříku vedeném Městským soudem v Praze, oddíl A, vložka </w:t>
            </w:r>
            <w:r w:rsidRPr="00B90A17">
              <w:rPr>
                <w:lang w:val="cs-CZ"/>
              </w:rPr>
              <w:t>77756 (dále jen „</w:t>
            </w:r>
            <w:r w:rsidRPr="00B90A17">
              <w:rPr>
                <w:b/>
                <w:lang w:val="cs-CZ"/>
              </w:rPr>
              <w:t>Pronajímatel</w:t>
            </w:r>
            <w:r w:rsidRPr="00B90A17">
              <w:rPr>
                <w:lang w:val="cs-CZ"/>
              </w:rPr>
              <w:t>“);</w:t>
            </w:r>
          </w:p>
        </w:tc>
      </w:tr>
      <w:tr w:rsidR="00C05328" w:rsidRPr="00B90A17" w14:paraId="53F4C519" w14:textId="77777777" w:rsidTr="007808D5">
        <w:tc>
          <w:tcPr>
            <w:tcW w:w="9997" w:type="dxa"/>
          </w:tcPr>
          <w:p w14:paraId="5C672BBA" w14:textId="77777777" w:rsidR="00C05328" w:rsidRPr="00B90A17" w:rsidRDefault="00C05328" w:rsidP="00442216">
            <w:pPr>
              <w:rPr>
                <w:lang w:val="cs-CZ"/>
              </w:rPr>
            </w:pPr>
            <w:r w:rsidRPr="00B90A17">
              <w:rPr>
                <w:lang w:val="cs-CZ"/>
              </w:rPr>
              <w:t>a</w:t>
            </w:r>
          </w:p>
        </w:tc>
      </w:tr>
      <w:tr w:rsidR="00C05328" w:rsidRPr="00B90A17" w14:paraId="0D1F2464" w14:textId="77777777" w:rsidTr="007808D5">
        <w:tc>
          <w:tcPr>
            <w:tcW w:w="9997" w:type="dxa"/>
          </w:tcPr>
          <w:p w14:paraId="466049F6" w14:textId="70EEDE75" w:rsidR="00C05328" w:rsidRPr="00B90A17" w:rsidRDefault="00012B80" w:rsidP="00396EDC">
            <w:pPr>
              <w:pStyle w:val="Strany"/>
              <w:rPr>
                <w:lang w:val="cs-CZ"/>
              </w:rPr>
            </w:pPr>
            <w:r w:rsidRPr="00B90A17">
              <w:rPr>
                <w:b/>
                <w:lang w:val="cs-CZ"/>
              </w:rPr>
              <w:t>RBP, zdravotní pojišťovna</w:t>
            </w:r>
            <w:r w:rsidR="00E6559E" w:rsidRPr="00B90A17">
              <w:rPr>
                <w:lang w:val="cs-CZ"/>
              </w:rPr>
              <w:t>, se sídlem na adrese</w:t>
            </w:r>
            <w:r w:rsidR="00396EDC" w:rsidRPr="00B90A17">
              <w:rPr>
                <w:lang w:val="cs-CZ"/>
              </w:rPr>
              <w:t xml:space="preserve"> Michálkovická 967/108, Slezská Ostrava, 710 00 Ostrava</w:t>
            </w:r>
            <w:r w:rsidR="00E6559E" w:rsidRPr="00B90A17">
              <w:rPr>
                <w:lang w:val="cs-CZ"/>
              </w:rPr>
              <w:t>,</w:t>
            </w:r>
            <w:r w:rsidR="00E97BFE" w:rsidRPr="00B90A17">
              <w:rPr>
                <w:lang w:val="cs-CZ"/>
              </w:rPr>
              <w:t xml:space="preserve"> IČ:</w:t>
            </w:r>
            <w:r w:rsidR="00396EDC" w:rsidRPr="00B90A17">
              <w:rPr>
                <w:lang w:val="cs-CZ"/>
              </w:rPr>
              <w:t xml:space="preserve"> 476 73 036</w:t>
            </w:r>
            <w:r w:rsidR="00E97BFE" w:rsidRPr="00B90A17">
              <w:rPr>
                <w:lang w:val="cs-CZ"/>
              </w:rPr>
              <w:t>, zapsaná</w:t>
            </w:r>
            <w:r w:rsidR="00396EDC" w:rsidRPr="00B90A17">
              <w:rPr>
                <w:lang w:val="cs-CZ"/>
              </w:rPr>
              <w:t xml:space="preserve"> v obchodním rejstříku vedeném Krajským soudem v Ostravě, oddíl AXIV, vložka 554 (</w:t>
            </w:r>
            <w:r w:rsidR="00C05328" w:rsidRPr="00B90A17">
              <w:rPr>
                <w:lang w:val="cs-CZ"/>
              </w:rPr>
              <w:t>dále jen „</w:t>
            </w:r>
            <w:r w:rsidR="00C05328" w:rsidRPr="00B90A17">
              <w:rPr>
                <w:b/>
                <w:lang w:val="cs-CZ"/>
              </w:rPr>
              <w:t>Nájemce</w:t>
            </w:r>
            <w:r w:rsidR="00C05328" w:rsidRPr="00B90A17">
              <w:rPr>
                <w:lang w:val="cs-CZ"/>
              </w:rPr>
              <w:t>“);</w:t>
            </w:r>
          </w:p>
        </w:tc>
      </w:tr>
      <w:tr w:rsidR="00C05328" w:rsidRPr="00B90A17" w14:paraId="3087C730" w14:textId="77777777" w:rsidTr="007808D5">
        <w:tc>
          <w:tcPr>
            <w:tcW w:w="9997" w:type="dxa"/>
          </w:tcPr>
          <w:p w14:paraId="7EC3D8B5" w14:textId="77777777" w:rsidR="00C05328" w:rsidRPr="00B90A17" w:rsidRDefault="00C05328" w:rsidP="000B1A9D">
            <w:pPr>
              <w:tabs>
                <w:tab w:val="left" w:pos="1560"/>
              </w:tabs>
              <w:rPr>
                <w:lang w:val="cs-CZ"/>
              </w:rPr>
            </w:pPr>
          </w:p>
        </w:tc>
      </w:tr>
      <w:tr w:rsidR="00C05328" w:rsidRPr="00B90A17" w14:paraId="24E787C2" w14:textId="77777777" w:rsidTr="007808D5">
        <w:tc>
          <w:tcPr>
            <w:tcW w:w="9997" w:type="dxa"/>
          </w:tcPr>
          <w:p w14:paraId="3A402DB8" w14:textId="361302BE" w:rsidR="00C05328" w:rsidRPr="00B90A17" w:rsidRDefault="00C05328" w:rsidP="00A143FA">
            <w:pPr>
              <w:rPr>
                <w:lang w:val="cs-CZ"/>
              </w:rPr>
            </w:pPr>
            <w:r w:rsidRPr="00B90A17">
              <w:rPr>
                <w:lang w:val="cs-CZ"/>
              </w:rPr>
              <w:t>(Pronajímatel a Nájemce dále společně jen „</w:t>
            </w:r>
            <w:r w:rsidRPr="00B90A17">
              <w:rPr>
                <w:b/>
                <w:lang w:val="cs-CZ"/>
              </w:rPr>
              <w:t>smluvní strany</w:t>
            </w:r>
            <w:r w:rsidRPr="00B90A17">
              <w:rPr>
                <w:lang w:val="cs-CZ"/>
              </w:rPr>
              <w:t>“ a jednotlivě jako „</w:t>
            </w:r>
            <w:r w:rsidRPr="00B90A17">
              <w:rPr>
                <w:b/>
                <w:lang w:val="cs-CZ"/>
              </w:rPr>
              <w:t>smluvní strana</w:t>
            </w:r>
            <w:r w:rsidRPr="00B90A17">
              <w:rPr>
                <w:lang w:val="cs-CZ"/>
              </w:rPr>
              <w:t>“).</w:t>
            </w:r>
          </w:p>
        </w:tc>
      </w:tr>
      <w:tr w:rsidR="00C05328" w:rsidRPr="00B90A17" w14:paraId="036E0AD8" w14:textId="77777777" w:rsidTr="007808D5">
        <w:tc>
          <w:tcPr>
            <w:tcW w:w="9997" w:type="dxa"/>
          </w:tcPr>
          <w:p w14:paraId="614FEABA" w14:textId="77777777" w:rsidR="00C05328" w:rsidRPr="00B90A17" w:rsidRDefault="00C05328" w:rsidP="000B1A9D">
            <w:pPr>
              <w:tabs>
                <w:tab w:val="left" w:pos="1560"/>
              </w:tabs>
              <w:rPr>
                <w:lang w:val="cs-CZ"/>
              </w:rPr>
            </w:pPr>
          </w:p>
        </w:tc>
      </w:tr>
      <w:tr w:rsidR="00396EDC" w:rsidRPr="00B90A17" w14:paraId="1D4219F8" w14:textId="77777777" w:rsidTr="000B67BB">
        <w:trPr>
          <w:trHeight w:val="375"/>
        </w:trPr>
        <w:tc>
          <w:tcPr>
            <w:tcW w:w="9997" w:type="dxa"/>
          </w:tcPr>
          <w:p w14:paraId="2599EDBC" w14:textId="50DE4BE6" w:rsidR="00396EDC" w:rsidRPr="00B90A17" w:rsidRDefault="00396EDC" w:rsidP="00396EDC">
            <w:pPr>
              <w:pStyle w:val="Nadpissted"/>
              <w:rPr>
                <w:lang w:val="cs-CZ"/>
              </w:rPr>
            </w:pPr>
            <w:r w:rsidRPr="00B90A17">
              <w:rPr>
                <w:lang w:val="cs-CZ"/>
              </w:rPr>
              <w:t>PREAMBULE</w:t>
            </w:r>
          </w:p>
        </w:tc>
      </w:tr>
      <w:tr w:rsidR="00396EDC" w:rsidRPr="00B90A17" w14:paraId="3348B53B" w14:textId="77777777" w:rsidTr="007808D5">
        <w:tc>
          <w:tcPr>
            <w:tcW w:w="9997" w:type="dxa"/>
          </w:tcPr>
          <w:p w14:paraId="23B6B4F4" w14:textId="77777777" w:rsidR="00396EDC" w:rsidRPr="00B90A17" w:rsidRDefault="00396EDC" w:rsidP="000B1A9D">
            <w:pPr>
              <w:tabs>
                <w:tab w:val="left" w:pos="1560"/>
              </w:tabs>
              <w:rPr>
                <w:lang w:val="cs-CZ"/>
              </w:rPr>
            </w:pPr>
          </w:p>
        </w:tc>
      </w:tr>
      <w:tr w:rsidR="00396EDC" w:rsidRPr="00B90A17" w14:paraId="53D4C7AB" w14:textId="77777777" w:rsidTr="007808D5">
        <w:tc>
          <w:tcPr>
            <w:tcW w:w="9997" w:type="dxa"/>
          </w:tcPr>
          <w:p w14:paraId="2483154C" w14:textId="325886DB" w:rsidR="00396EDC" w:rsidRPr="00B90A17" w:rsidRDefault="00396EDC" w:rsidP="00396EDC">
            <w:pPr>
              <w:rPr>
                <w:bCs/>
                <w:lang w:val="cs-CZ"/>
              </w:rPr>
            </w:pPr>
            <w:r w:rsidRPr="00B90A17">
              <w:rPr>
                <w:rStyle w:val="Normlntun"/>
                <w:lang w:val="cs-CZ"/>
              </w:rPr>
              <w:t>VZHLEDEM K TOMU, ŽE:</w:t>
            </w:r>
          </w:p>
        </w:tc>
      </w:tr>
      <w:tr w:rsidR="00396EDC" w:rsidRPr="00B90A17" w14:paraId="0BAA7404" w14:textId="77777777" w:rsidTr="007808D5">
        <w:tc>
          <w:tcPr>
            <w:tcW w:w="9997" w:type="dxa"/>
          </w:tcPr>
          <w:p w14:paraId="125CC2D1" w14:textId="77777777" w:rsidR="00396EDC" w:rsidRPr="00B90A17" w:rsidRDefault="00396EDC" w:rsidP="000B1A9D">
            <w:pPr>
              <w:tabs>
                <w:tab w:val="left" w:pos="1560"/>
              </w:tabs>
              <w:rPr>
                <w:lang w:val="cs-CZ"/>
              </w:rPr>
            </w:pPr>
          </w:p>
        </w:tc>
      </w:tr>
      <w:tr w:rsidR="00396EDC" w:rsidRPr="004F2FF3" w14:paraId="2F0DA6CF" w14:textId="77777777" w:rsidTr="007808D5">
        <w:tc>
          <w:tcPr>
            <w:tcW w:w="9997" w:type="dxa"/>
          </w:tcPr>
          <w:p w14:paraId="1ABBBB50" w14:textId="34921409" w:rsidR="00396EDC" w:rsidRPr="00B90A17" w:rsidRDefault="00396EDC" w:rsidP="00364D2F">
            <w:pPr>
              <w:pStyle w:val="vodnustanoven"/>
              <w:spacing w:before="60" w:after="60"/>
              <w:rPr>
                <w:bCs w:val="0"/>
                <w:lang w:val="cs-CZ"/>
              </w:rPr>
            </w:pPr>
            <w:r w:rsidRPr="00B90A17">
              <w:rPr>
                <w:bCs w:val="0"/>
                <w:lang w:val="cs-CZ"/>
              </w:rPr>
              <w:t>Pronajímatel je výlučným vlastníkem</w:t>
            </w:r>
            <w:r w:rsidR="00364D2F" w:rsidRPr="00B90A17">
              <w:rPr>
                <w:bCs w:val="0"/>
                <w:lang w:val="cs-CZ"/>
              </w:rPr>
              <w:t xml:space="preserve"> následujících nemovitých věcí: </w:t>
            </w:r>
            <w:r w:rsidRPr="00B90A17">
              <w:rPr>
                <w:lang w:val="cs-CZ"/>
              </w:rPr>
              <w:t xml:space="preserve">(i) pozemek </w:t>
            </w:r>
            <w:proofErr w:type="spellStart"/>
            <w:r w:rsidRPr="00B90A17">
              <w:rPr>
                <w:lang w:val="cs-CZ"/>
              </w:rPr>
              <w:t>parc</w:t>
            </w:r>
            <w:proofErr w:type="spellEnd"/>
            <w:r w:rsidRPr="00B90A17">
              <w:rPr>
                <w:lang w:val="cs-CZ"/>
              </w:rPr>
              <w:t>. č. 105/1, jehož součástí je stavba budova s č.p. 6</w:t>
            </w:r>
            <w:r w:rsidR="00364D2F" w:rsidRPr="00B90A17">
              <w:rPr>
                <w:lang w:val="cs-CZ"/>
              </w:rPr>
              <w:t xml:space="preserve"> (dále jen „</w:t>
            </w:r>
            <w:r w:rsidR="00364D2F" w:rsidRPr="00B90A17">
              <w:rPr>
                <w:b/>
                <w:lang w:val="cs-CZ"/>
              </w:rPr>
              <w:t>Budova</w:t>
            </w:r>
            <w:r w:rsidR="00364D2F" w:rsidRPr="00B90A17">
              <w:rPr>
                <w:lang w:val="cs-CZ"/>
              </w:rPr>
              <w:t>“)</w:t>
            </w:r>
            <w:r w:rsidRPr="00B90A17">
              <w:rPr>
                <w:lang w:val="cs-CZ"/>
              </w:rPr>
              <w:t>; (</w:t>
            </w:r>
            <w:proofErr w:type="spellStart"/>
            <w:r w:rsidRPr="00B90A17">
              <w:rPr>
                <w:lang w:val="cs-CZ"/>
              </w:rPr>
              <w:t>ii</w:t>
            </w:r>
            <w:proofErr w:type="spellEnd"/>
            <w:r w:rsidRPr="00B90A17">
              <w:rPr>
                <w:lang w:val="cs-CZ"/>
              </w:rPr>
              <w:t xml:space="preserve">) pozemek </w:t>
            </w:r>
            <w:proofErr w:type="spellStart"/>
            <w:r w:rsidRPr="00B90A17">
              <w:rPr>
                <w:lang w:val="cs-CZ"/>
              </w:rPr>
              <w:t>parc</w:t>
            </w:r>
            <w:proofErr w:type="spellEnd"/>
            <w:r w:rsidRPr="00B90A17">
              <w:rPr>
                <w:lang w:val="cs-CZ"/>
              </w:rPr>
              <w:t>. č. 105/2; (</w:t>
            </w:r>
            <w:proofErr w:type="spellStart"/>
            <w:r w:rsidRPr="00B90A17">
              <w:rPr>
                <w:lang w:val="cs-CZ"/>
              </w:rPr>
              <w:t>iii</w:t>
            </w:r>
            <w:proofErr w:type="spellEnd"/>
            <w:r w:rsidRPr="00B90A17">
              <w:rPr>
                <w:lang w:val="cs-CZ"/>
              </w:rPr>
              <w:t xml:space="preserve">) pozemek </w:t>
            </w:r>
            <w:proofErr w:type="spellStart"/>
            <w:r w:rsidRPr="00B90A17">
              <w:rPr>
                <w:lang w:val="cs-CZ"/>
              </w:rPr>
              <w:t>parc</w:t>
            </w:r>
            <w:proofErr w:type="spellEnd"/>
            <w:r w:rsidRPr="00B90A17">
              <w:rPr>
                <w:lang w:val="cs-CZ"/>
              </w:rPr>
              <w:t>. č. 105/3; a (</w:t>
            </w:r>
            <w:proofErr w:type="spellStart"/>
            <w:r w:rsidRPr="00B90A17">
              <w:rPr>
                <w:lang w:val="cs-CZ"/>
              </w:rPr>
              <w:t>iv</w:t>
            </w:r>
            <w:proofErr w:type="spellEnd"/>
            <w:proofErr w:type="gramStart"/>
            <w:r w:rsidRPr="00B90A17">
              <w:rPr>
                <w:lang w:val="cs-CZ"/>
              </w:rPr>
              <w:t>)  pozemek</w:t>
            </w:r>
            <w:proofErr w:type="gramEnd"/>
            <w:r w:rsidRPr="00B90A17">
              <w:rPr>
                <w:lang w:val="cs-CZ"/>
              </w:rPr>
              <w:t xml:space="preserve"> </w:t>
            </w:r>
            <w:proofErr w:type="spellStart"/>
            <w:r w:rsidRPr="00B90A17">
              <w:rPr>
                <w:lang w:val="cs-CZ"/>
              </w:rPr>
              <w:t>parc</w:t>
            </w:r>
            <w:proofErr w:type="spellEnd"/>
            <w:r w:rsidRPr="00B90A17">
              <w:rPr>
                <w:lang w:val="cs-CZ"/>
              </w:rPr>
              <w:t xml:space="preserve">. č. 105/5, vše v katastrálním území Karviná – město, obec Karviná, vše zapsáno na LV č. 7205 vedeném Katastrálním úřadem pro Moravskoslezský kraj, Katastrální pracoviště Karviná, pro </w:t>
            </w:r>
            <w:proofErr w:type="spellStart"/>
            <w:r w:rsidRPr="00B90A17">
              <w:rPr>
                <w:lang w:val="cs-CZ"/>
              </w:rPr>
              <w:t>k.ú</w:t>
            </w:r>
            <w:proofErr w:type="spellEnd"/>
            <w:r w:rsidRPr="00B90A17">
              <w:rPr>
                <w:lang w:val="cs-CZ"/>
              </w:rPr>
              <w:t>. Karviná – město (dále také jako „</w:t>
            </w:r>
            <w:r w:rsidRPr="00B90A17">
              <w:rPr>
                <w:b/>
                <w:lang w:val="cs-CZ"/>
              </w:rPr>
              <w:t>Nemovitost</w:t>
            </w:r>
            <w:r w:rsidRPr="00B90A17">
              <w:rPr>
                <w:lang w:val="cs-CZ"/>
              </w:rPr>
              <w:t>“)</w:t>
            </w:r>
            <w:r w:rsidR="00364D2F" w:rsidRPr="00B90A17">
              <w:rPr>
                <w:lang w:val="cs-CZ"/>
              </w:rPr>
              <w:t>. Nemovitost se nachází na adrese Masarykovo náměstí č.p. 6/5, 733 01 Karviná – Fryštát;</w:t>
            </w:r>
          </w:p>
        </w:tc>
      </w:tr>
      <w:tr w:rsidR="00396EDC" w:rsidRPr="004F2FF3" w14:paraId="1CBD8CF7" w14:textId="77777777" w:rsidTr="007808D5">
        <w:tc>
          <w:tcPr>
            <w:tcW w:w="9997" w:type="dxa"/>
          </w:tcPr>
          <w:p w14:paraId="58F3D19E" w14:textId="77777777" w:rsidR="00396EDC" w:rsidRPr="00B90A17" w:rsidRDefault="00396EDC" w:rsidP="000B1A9D">
            <w:pPr>
              <w:tabs>
                <w:tab w:val="left" w:pos="1560"/>
              </w:tabs>
              <w:rPr>
                <w:lang w:val="cs-CZ"/>
              </w:rPr>
            </w:pPr>
          </w:p>
        </w:tc>
      </w:tr>
      <w:tr w:rsidR="00396EDC" w:rsidRPr="004F2FF3" w14:paraId="5003214F" w14:textId="77777777" w:rsidTr="007808D5">
        <w:tc>
          <w:tcPr>
            <w:tcW w:w="9997" w:type="dxa"/>
          </w:tcPr>
          <w:p w14:paraId="6B8B09C8" w14:textId="0CCAAD68" w:rsidR="00396EDC" w:rsidRPr="00B90A17" w:rsidRDefault="00364D2F" w:rsidP="00530C47">
            <w:pPr>
              <w:pStyle w:val="vodnustanoven"/>
              <w:rPr>
                <w:lang w:val="cs-CZ"/>
              </w:rPr>
            </w:pPr>
            <w:r w:rsidRPr="00B90A17">
              <w:rPr>
                <w:lang w:val="cs-CZ"/>
              </w:rPr>
              <w:t xml:space="preserve">Předchozí vlastník Nemovitosti, společnosti </w:t>
            </w:r>
            <w:r w:rsidRPr="00B90A17">
              <w:rPr>
                <w:bCs w:val="0"/>
                <w:lang w:val="cs-CZ"/>
              </w:rPr>
              <w:t>PEM – INVEST, a.s., se sídlem Jánský vršek 323/13, 118 00 Praha 1, IČ: 267 04 293, zapsaná v obchodním rejstříku vedeném Městským soudem v Praze, oddíl B, vložka 7706</w:t>
            </w:r>
            <w:r w:rsidR="00530C47" w:rsidRPr="00B90A17">
              <w:rPr>
                <w:bCs w:val="0"/>
                <w:lang w:val="cs-CZ"/>
              </w:rPr>
              <w:t xml:space="preserve">, a </w:t>
            </w:r>
            <w:r w:rsidRPr="00B90A17">
              <w:rPr>
                <w:lang w:val="cs-CZ"/>
              </w:rPr>
              <w:t>Nájemce uzavřeli dne 10.1.2012</w:t>
            </w:r>
            <w:r w:rsidR="00530C47" w:rsidRPr="00B90A17">
              <w:rPr>
                <w:lang w:val="cs-CZ"/>
              </w:rPr>
              <w:t xml:space="preserve"> nájemní smlouvu</w:t>
            </w:r>
            <w:r w:rsidR="00C97321" w:rsidRPr="00B90A17">
              <w:rPr>
                <w:lang w:val="cs-CZ"/>
              </w:rPr>
              <w:t xml:space="preserve"> (ve znění dodatku č. 1 ze dne 15.2.2013)</w:t>
            </w:r>
            <w:r w:rsidR="00530C47" w:rsidRPr="00B90A17">
              <w:rPr>
                <w:lang w:val="cs-CZ"/>
              </w:rPr>
              <w:t xml:space="preserve">, na základě které má Nájemce s účinností od 1.1.2012 v nájmu </w:t>
            </w:r>
            <w:r w:rsidR="00396EDC" w:rsidRPr="00B90A17">
              <w:rPr>
                <w:lang w:val="cs-CZ"/>
              </w:rPr>
              <w:t>prostory sloužící k podnikání nacházející se v Budově;</w:t>
            </w:r>
            <w:r w:rsidR="001A690C" w:rsidRPr="00B90A17">
              <w:rPr>
                <w:lang w:val="cs-CZ"/>
              </w:rPr>
              <w:t xml:space="preserve"> kdy tyto prostory měl Nájemce v nájmu již na základě nájemní smlouvy ze dne 31.3.2009;</w:t>
            </w:r>
          </w:p>
        </w:tc>
      </w:tr>
      <w:tr w:rsidR="00530C47" w:rsidRPr="004F2FF3" w14:paraId="56735521" w14:textId="77777777" w:rsidTr="007808D5">
        <w:tc>
          <w:tcPr>
            <w:tcW w:w="9997" w:type="dxa"/>
          </w:tcPr>
          <w:p w14:paraId="33AEDD7A" w14:textId="77777777" w:rsidR="00530C47" w:rsidRPr="00B90A17" w:rsidRDefault="00530C47" w:rsidP="00530C47">
            <w:pPr>
              <w:pStyle w:val="vodnustanoven"/>
              <w:numPr>
                <w:ilvl w:val="0"/>
                <w:numId w:val="0"/>
              </w:numPr>
              <w:ind w:left="360"/>
              <w:rPr>
                <w:lang w:val="cs-CZ"/>
              </w:rPr>
            </w:pPr>
          </w:p>
        </w:tc>
      </w:tr>
      <w:tr w:rsidR="00530C47" w:rsidRPr="004F2FF3" w14:paraId="46144197" w14:textId="77777777" w:rsidTr="007808D5">
        <w:tc>
          <w:tcPr>
            <w:tcW w:w="9997" w:type="dxa"/>
          </w:tcPr>
          <w:p w14:paraId="72DA91B2" w14:textId="5AA3817F" w:rsidR="00530C47" w:rsidRPr="00B90A17" w:rsidRDefault="00530C47" w:rsidP="009A1AB0">
            <w:pPr>
              <w:pStyle w:val="vodnustanoven"/>
              <w:rPr>
                <w:lang w:val="cs-CZ"/>
              </w:rPr>
            </w:pPr>
            <w:r w:rsidRPr="00B90A17">
              <w:rPr>
                <w:lang w:val="cs-CZ"/>
              </w:rPr>
              <w:t>Nájemce požádal Pronajímatele</w:t>
            </w:r>
            <w:r w:rsidR="009A1AB0" w:rsidRPr="00B90A17">
              <w:rPr>
                <w:lang w:val="cs-CZ"/>
              </w:rPr>
              <w:t xml:space="preserve"> o změnu nájemní smlouvy</w:t>
            </w:r>
            <w:r w:rsidR="00C97321" w:rsidRPr="00B90A17">
              <w:rPr>
                <w:lang w:val="cs-CZ"/>
              </w:rPr>
              <w:t>, zrušení platby za službu ostrahy a nájemného za umístění klimatizačních jednotek na střeše Budovy</w:t>
            </w:r>
            <w:r w:rsidR="009A1AB0" w:rsidRPr="00B90A17">
              <w:rPr>
                <w:lang w:val="cs-CZ"/>
              </w:rPr>
              <w:t xml:space="preserve"> a s ohledem na změnu právní úpravy od 1.1.2014 se smluvní strany dohodly na aktualizaci a uzavření nové nájemní smlouvy</w:t>
            </w:r>
            <w:r w:rsidR="000B67BB">
              <w:rPr>
                <w:lang w:val="cs-CZ"/>
              </w:rPr>
              <w:t xml:space="preserve"> dle nové právní úpravy, </w:t>
            </w:r>
            <w:r w:rsidR="000B67BB" w:rsidRPr="00B90A17">
              <w:rPr>
                <w:lang w:val="cs-CZ"/>
              </w:rPr>
              <w:t>zákona č. 89/2012 Sb., občanský zákoník, v platném znění (dále jen „</w:t>
            </w:r>
            <w:r w:rsidR="000B67BB" w:rsidRPr="00B90A17">
              <w:rPr>
                <w:b/>
                <w:lang w:val="cs-CZ"/>
              </w:rPr>
              <w:t>občanský zákoník</w:t>
            </w:r>
            <w:r w:rsidR="000B67BB" w:rsidRPr="00B90A17">
              <w:rPr>
                <w:lang w:val="cs-CZ"/>
              </w:rPr>
              <w:t>“)</w:t>
            </w:r>
            <w:r w:rsidR="009A1AB0" w:rsidRPr="00B90A17">
              <w:rPr>
                <w:lang w:val="cs-CZ"/>
              </w:rPr>
              <w:t>;</w:t>
            </w:r>
          </w:p>
        </w:tc>
      </w:tr>
      <w:tr w:rsidR="00396EDC" w:rsidRPr="004F2FF3" w14:paraId="13615D69" w14:textId="77777777" w:rsidTr="007808D5">
        <w:tc>
          <w:tcPr>
            <w:tcW w:w="9997" w:type="dxa"/>
          </w:tcPr>
          <w:p w14:paraId="24FCDAC4" w14:textId="77777777" w:rsidR="00396EDC" w:rsidRPr="00B90A17" w:rsidRDefault="00396EDC" w:rsidP="000B1A9D">
            <w:pPr>
              <w:tabs>
                <w:tab w:val="left" w:pos="1560"/>
              </w:tabs>
              <w:rPr>
                <w:lang w:val="cs-CZ"/>
              </w:rPr>
            </w:pPr>
          </w:p>
        </w:tc>
      </w:tr>
      <w:tr w:rsidR="00396EDC" w:rsidRPr="004F2FF3" w14:paraId="66702AC1" w14:textId="77777777" w:rsidTr="007808D5">
        <w:tc>
          <w:tcPr>
            <w:tcW w:w="9997" w:type="dxa"/>
          </w:tcPr>
          <w:p w14:paraId="2D065178" w14:textId="0A90CD3A" w:rsidR="00396EDC" w:rsidRPr="00B90A17" w:rsidRDefault="00396EDC" w:rsidP="000B1A9D">
            <w:pPr>
              <w:tabs>
                <w:tab w:val="left" w:pos="1560"/>
              </w:tabs>
              <w:rPr>
                <w:lang w:val="cs-CZ"/>
              </w:rPr>
            </w:pPr>
            <w:r w:rsidRPr="00B90A17">
              <w:rPr>
                <w:rStyle w:val="Normlntun"/>
                <w:caps/>
                <w:lang w:val="cs-CZ"/>
              </w:rPr>
              <w:t>SE proto SMLUVNÍ STRANY DOHODLY TAKTO:</w:t>
            </w:r>
          </w:p>
        </w:tc>
      </w:tr>
      <w:tr w:rsidR="00396EDC" w:rsidRPr="004F2FF3" w14:paraId="6D8F3FC4" w14:textId="77777777" w:rsidTr="007808D5">
        <w:tc>
          <w:tcPr>
            <w:tcW w:w="9997" w:type="dxa"/>
          </w:tcPr>
          <w:p w14:paraId="41EAF394" w14:textId="77777777" w:rsidR="00396EDC" w:rsidRPr="00B90A17" w:rsidRDefault="00396EDC" w:rsidP="000B1A9D">
            <w:pPr>
              <w:tabs>
                <w:tab w:val="left" w:pos="1560"/>
              </w:tabs>
              <w:rPr>
                <w:lang w:val="cs-CZ"/>
              </w:rPr>
            </w:pPr>
          </w:p>
        </w:tc>
      </w:tr>
      <w:tr w:rsidR="00C05328" w:rsidRPr="00B90A17" w14:paraId="6733D854" w14:textId="77777777" w:rsidTr="007808D5">
        <w:tc>
          <w:tcPr>
            <w:tcW w:w="9997" w:type="dxa"/>
          </w:tcPr>
          <w:p w14:paraId="2FA2B61E" w14:textId="6C7F9C03" w:rsidR="00C05328" w:rsidRPr="00B90A17" w:rsidRDefault="00C05328" w:rsidP="00A70A73">
            <w:pPr>
              <w:pStyle w:val="Nadpis1"/>
              <w:outlineLvl w:val="0"/>
              <w:rPr>
                <w:lang w:val="cs-CZ"/>
              </w:rPr>
            </w:pPr>
            <w:r w:rsidRPr="00B90A17">
              <w:rPr>
                <w:lang w:val="cs-CZ"/>
              </w:rPr>
              <w:t>Úvodní ustanovení</w:t>
            </w:r>
          </w:p>
        </w:tc>
      </w:tr>
      <w:tr w:rsidR="00C05328" w:rsidRPr="00B90A17" w14:paraId="4ADA27C2" w14:textId="77777777" w:rsidTr="007808D5">
        <w:tc>
          <w:tcPr>
            <w:tcW w:w="9997" w:type="dxa"/>
          </w:tcPr>
          <w:p w14:paraId="4AFEFF5B" w14:textId="77777777" w:rsidR="00C05328" w:rsidRPr="00B90A17" w:rsidRDefault="00C05328" w:rsidP="000B1A9D">
            <w:pPr>
              <w:rPr>
                <w:lang w:val="cs-CZ"/>
              </w:rPr>
            </w:pPr>
          </w:p>
        </w:tc>
      </w:tr>
      <w:tr w:rsidR="00C05328" w:rsidRPr="004F2FF3" w14:paraId="70AB188C" w14:textId="77777777" w:rsidTr="007808D5">
        <w:tc>
          <w:tcPr>
            <w:tcW w:w="9997" w:type="dxa"/>
          </w:tcPr>
          <w:p w14:paraId="1DAEE446" w14:textId="1C5081FA" w:rsidR="00C05328" w:rsidRPr="00B90A17" w:rsidRDefault="00C05328" w:rsidP="00187B9D">
            <w:pPr>
              <w:pStyle w:val="Nadpis2"/>
              <w:outlineLvl w:val="1"/>
              <w:rPr>
                <w:lang w:val="cs-CZ"/>
              </w:rPr>
            </w:pPr>
            <w:r w:rsidRPr="00B90A17">
              <w:rPr>
                <w:lang w:val="cs-CZ"/>
              </w:rPr>
              <w:t xml:space="preserve">Pronajímatel </w:t>
            </w:r>
            <w:r w:rsidR="00442216" w:rsidRPr="00B90A17">
              <w:rPr>
                <w:lang w:val="cs-CZ"/>
              </w:rPr>
              <w:t xml:space="preserve">prohlašuje, že </w:t>
            </w:r>
            <w:r w:rsidRPr="00B90A17">
              <w:rPr>
                <w:lang w:val="cs-CZ"/>
              </w:rPr>
              <w:t xml:space="preserve">je </w:t>
            </w:r>
            <w:r w:rsidR="00442216" w:rsidRPr="00B90A17">
              <w:rPr>
                <w:lang w:val="cs-CZ"/>
              </w:rPr>
              <w:t xml:space="preserve">výlučným </w:t>
            </w:r>
            <w:r w:rsidRPr="00B90A17">
              <w:rPr>
                <w:lang w:val="cs-CZ"/>
              </w:rPr>
              <w:t>vlastníkem</w:t>
            </w:r>
            <w:r w:rsidR="00442216" w:rsidRPr="00B90A17">
              <w:rPr>
                <w:lang w:val="cs-CZ"/>
              </w:rPr>
              <w:t xml:space="preserve"> následujíc</w:t>
            </w:r>
            <w:r w:rsidR="00187B9D" w:rsidRPr="00B90A17">
              <w:rPr>
                <w:lang w:val="cs-CZ"/>
              </w:rPr>
              <w:t xml:space="preserve">ích nemovitých věcí (i) pozemek </w:t>
            </w:r>
            <w:proofErr w:type="spellStart"/>
            <w:r w:rsidR="00187B9D" w:rsidRPr="00B90A17">
              <w:rPr>
                <w:lang w:val="cs-CZ"/>
              </w:rPr>
              <w:t>parc</w:t>
            </w:r>
            <w:proofErr w:type="spellEnd"/>
            <w:r w:rsidR="00187B9D" w:rsidRPr="00B90A17">
              <w:rPr>
                <w:lang w:val="cs-CZ"/>
              </w:rPr>
              <w:t>. č. 105/1, jehož součástí je stavba budova s č.p. 6 (dále jen „</w:t>
            </w:r>
            <w:r w:rsidR="00187B9D" w:rsidRPr="00B90A17">
              <w:rPr>
                <w:b/>
                <w:lang w:val="cs-CZ"/>
              </w:rPr>
              <w:t>Budova</w:t>
            </w:r>
            <w:r w:rsidR="00187B9D" w:rsidRPr="00B90A17">
              <w:rPr>
                <w:lang w:val="cs-CZ"/>
              </w:rPr>
              <w:t>“); (</w:t>
            </w:r>
            <w:proofErr w:type="spellStart"/>
            <w:r w:rsidR="00187B9D" w:rsidRPr="00B90A17">
              <w:rPr>
                <w:lang w:val="cs-CZ"/>
              </w:rPr>
              <w:t>ii</w:t>
            </w:r>
            <w:proofErr w:type="spellEnd"/>
            <w:r w:rsidR="00187B9D" w:rsidRPr="00B90A17">
              <w:rPr>
                <w:lang w:val="cs-CZ"/>
              </w:rPr>
              <w:t xml:space="preserve">) pozemek </w:t>
            </w:r>
            <w:proofErr w:type="spellStart"/>
            <w:r w:rsidR="00187B9D" w:rsidRPr="00B90A17">
              <w:rPr>
                <w:lang w:val="cs-CZ"/>
              </w:rPr>
              <w:t>parc</w:t>
            </w:r>
            <w:proofErr w:type="spellEnd"/>
            <w:r w:rsidR="00187B9D" w:rsidRPr="00B90A17">
              <w:rPr>
                <w:lang w:val="cs-CZ"/>
              </w:rPr>
              <w:t xml:space="preserve">. č. </w:t>
            </w:r>
            <w:r w:rsidR="00187B9D" w:rsidRPr="00B90A17">
              <w:rPr>
                <w:lang w:val="cs-CZ"/>
              </w:rPr>
              <w:lastRenderedPageBreak/>
              <w:t>105/2; (</w:t>
            </w:r>
            <w:proofErr w:type="spellStart"/>
            <w:r w:rsidR="00187B9D" w:rsidRPr="00B90A17">
              <w:rPr>
                <w:lang w:val="cs-CZ"/>
              </w:rPr>
              <w:t>iii</w:t>
            </w:r>
            <w:proofErr w:type="spellEnd"/>
            <w:r w:rsidR="00187B9D" w:rsidRPr="00B90A17">
              <w:rPr>
                <w:lang w:val="cs-CZ"/>
              </w:rPr>
              <w:t xml:space="preserve">) pozemek </w:t>
            </w:r>
            <w:proofErr w:type="spellStart"/>
            <w:r w:rsidR="00187B9D" w:rsidRPr="00B90A17">
              <w:rPr>
                <w:lang w:val="cs-CZ"/>
              </w:rPr>
              <w:t>parc</w:t>
            </w:r>
            <w:proofErr w:type="spellEnd"/>
            <w:r w:rsidR="00187B9D" w:rsidRPr="00B90A17">
              <w:rPr>
                <w:lang w:val="cs-CZ"/>
              </w:rPr>
              <w:t>. č. 105/3; a (</w:t>
            </w:r>
            <w:proofErr w:type="spellStart"/>
            <w:r w:rsidR="00187B9D" w:rsidRPr="00B90A17">
              <w:rPr>
                <w:lang w:val="cs-CZ"/>
              </w:rPr>
              <w:t>iv</w:t>
            </w:r>
            <w:proofErr w:type="spellEnd"/>
            <w:r w:rsidR="00187B9D" w:rsidRPr="00B90A17">
              <w:rPr>
                <w:lang w:val="cs-CZ"/>
              </w:rPr>
              <w:t xml:space="preserve">) pozemek </w:t>
            </w:r>
            <w:proofErr w:type="spellStart"/>
            <w:r w:rsidR="00187B9D" w:rsidRPr="00B90A17">
              <w:rPr>
                <w:lang w:val="cs-CZ"/>
              </w:rPr>
              <w:t>parc</w:t>
            </w:r>
            <w:proofErr w:type="spellEnd"/>
            <w:r w:rsidR="00187B9D" w:rsidRPr="00B90A17">
              <w:rPr>
                <w:lang w:val="cs-CZ"/>
              </w:rPr>
              <w:t xml:space="preserve">. č. 105/5, vše v katastrálním území Karviná – město, obec Karviná, vše zapsáno na LV č. 7205 vedeném Katastrálním úřadem pro Moravskoslezský kraj, Katastrální pracoviště Karviná, pro </w:t>
            </w:r>
            <w:proofErr w:type="spellStart"/>
            <w:r w:rsidR="00187B9D" w:rsidRPr="00B90A17">
              <w:rPr>
                <w:lang w:val="cs-CZ"/>
              </w:rPr>
              <w:t>k.ú</w:t>
            </w:r>
            <w:proofErr w:type="spellEnd"/>
            <w:r w:rsidR="00187B9D" w:rsidRPr="00B90A17">
              <w:rPr>
                <w:lang w:val="cs-CZ"/>
              </w:rPr>
              <w:t>. Karviná – město (dále také jako „</w:t>
            </w:r>
            <w:r w:rsidR="00187B9D" w:rsidRPr="00B90A17">
              <w:rPr>
                <w:b/>
                <w:lang w:val="cs-CZ"/>
              </w:rPr>
              <w:t>Nemovitost</w:t>
            </w:r>
            <w:r w:rsidR="00187B9D" w:rsidRPr="00B90A17">
              <w:rPr>
                <w:lang w:val="cs-CZ"/>
              </w:rPr>
              <w:t>“). Nemovitost se nachází na adrese Masarykovo náměstí č.p. 6/5, 733 01 Karviná – Fryštát</w:t>
            </w:r>
            <w:r w:rsidR="00224BB1" w:rsidRPr="00B90A17">
              <w:rPr>
                <w:lang w:val="cs-CZ"/>
              </w:rPr>
              <w:t>.</w:t>
            </w:r>
          </w:p>
        </w:tc>
      </w:tr>
      <w:tr w:rsidR="00C05328" w:rsidRPr="004F2FF3" w14:paraId="2A4DE702" w14:textId="77777777" w:rsidTr="007808D5">
        <w:tc>
          <w:tcPr>
            <w:tcW w:w="9997" w:type="dxa"/>
          </w:tcPr>
          <w:p w14:paraId="6ED9B143" w14:textId="77777777" w:rsidR="00C05328" w:rsidRPr="00B90A17" w:rsidRDefault="00C05328" w:rsidP="000B1A9D">
            <w:pPr>
              <w:rPr>
                <w:lang w:val="cs-CZ"/>
              </w:rPr>
            </w:pPr>
          </w:p>
        </w:tc>
      </w:tr>
      <w:tr w:rsidR="00C05328" w:rsidRPr="004F2FF3" w14:paraId="6CF79B60" w14:textId="77777777" w:rsidTr="007808D5">
        <w:tc>
          <w:tcPr>
            <w:tcW w:w="9997" w:type="dxa"/>
          </w:tcPr>
          <w:p w14:paraId="739977FF" w14:textId="127DCB81" w:rsidR="00C05328" w:rsidRPr="00B90A17" w:rsidRDefault="00C05328" w:rsidP="000142C8">
            <w:pPr>
              <w:pStyle w:val="Nadpis2"/>
              <w:outlineLvl w:val="1"/>
              <w:rPr>
                <w:lang w:val="cs-CZ"/>
              </w:rPr>
            </w:pPr>
            <w:r w:rsidRPr="00B90A17">
              <w:rPr>
                <w:lang w:val="cs-CZ"/>
              </w:rPr>
              <w:t xml:space="preserve">Pronajímatel nyní hodlá přenechat do nájmu vybrané </w:t>
            </w:r>
            <w:r w:rsidR="000142C8" w:rsidRPr="00B90A17">
              <w:rPr>
                <w:lang w:val="cs-CZ"/>
              </w:rPr>
              <w:t xml:space="preserve">nebytové </w:t>
            </w:r>
            <w:r w:rsidR="000E368B" w:rsidRPr="00B90A17">
              <w:rPr>
                <w:lang w:val="cs-CZ"/>
              </w:rPr>
              <w:t xml:space="preserve">prostory </w:t>
            </w:r>
            <w:r w:rsidRPr="00B90A17">
              <w:rPr>
                <w:lang w:val="cs-CZ"/>
              </w:rPr>
              <w:t>v rámci Budovy Nájemci, který je hodlá užívat v souladu s</w:t>
            </w:r>
            <w:r w:rsidR="00DA022D" w:rsidRPr="00B90A17">
              <w:rPr>
                <w:lang w:val="cs-CZ"/>
              </w:rPr>
              <w:t> touto Smlouvou</w:t>
            </w:r>
            <w:r w:rsidRPr="00B90A17">
              <w:rPr>
                <w:lang w:val="cs-CZ"/>
              </w:rPr>
              <w:t>.</w:t>
            </w:r>
          </w:p>
        </w:tc>
      </w:tr>
      <w:tr w:rsidR="00C05328" w:rsidRPr="004F2FF3" w14:paraId="6DD82CA2" w14:textId="77777777" w:rsidTr="007808D5">
        <w:tc>
          <w:tcPr>
            <w:tcW w:w="9997" w:type="dxa"/>
          </w:tcPr>
          <w:p w14:paraId="072F5974" w14:textId="77777777" w:rsidR="00C05328" w:rsidRPr="00B90A17" w:rsidRDefault="00C05328" w:rsidP="000B1A9D">
            <w:pPr>
              <w:rPr>
                <w:lang w:val="cs-CZ"/>
              </w:rPr>
            </w:pPr>
          </w:p>
        </w:tc>
      </w:tr>
      <w:tr w:rsidR="00C05328" w:rsidRPr="00B90A17" w14:paraId="13DDBA49" w14:textId="77777777" w:rsidTr="007808D5">
        <w:tc>
          <w:tcPr>
            <w:tcW w:w="9997" w:type="dxa"/>
          </w:tcPr>
          <w:p w14:paraId="2B7140CD" w14:textId="063F91A5" w:rsidR="00C05328" w:rsidRPr="00B90A17" w:rsidRDefault="00C05328" w:rsidP="00A70A73">
            <w:pPr>
              <w:pStyle w:val="Nadpis1"/>
              <w:outlineLvl w:val="0"/>
              <w:rPr>
                <w:lang w:val="cs-CZ"/>
              </w:rPr>
            </w:pPr>
            <w:r w:rsidRPr="00B90A17">
              <w:rPr>
                <w:lang w:val="cs-CZ"/>
              </w:rPr>
              <w:t>Předmět nájmu</w:t>
            </w:r>
          </w:p>
        </w:tc>
      </w:tr>
      <w:tr w:rsidR="00C05328" w:rsidRPr="00B90A17" w14:paraId="73922717" w14:textId="77777777" w:rsidTr="007808D5">
        <w:tc>
          <w:tcPr>
            <w:tcW w:w="9997" w:type="dxa"/>
          </w:tcPr>
          <w:p w14:paraId="3C403F96" w14:textId="77777777" w:rsidR="00C05328" w:rsidRPr="00B90A17" w:rsidRDefault="00C05328" w:rsidP="000B1A9D">
            <w:pPr>
              <w:rPr>
                <w:lang w:val="cs-CZ"/>
              </w:rPr>
            </w:pPr>
          </w:p>
        </w:tc>
      </w:tr>
      <w:tr w:rsidR="00C05328" w:rsidRPr="004F2FF3" w14:paraId="05D291EC" w14:textId="77777777" w:rsidTr="007808D5">
        <w:tc>
          <w:tcPr>
            <w:tcW w:w="9997" w:type="dxa"/>
          </w:tcPr>
          <w:p w14:paraId="1D3860FD" w14:textId="77777777" w:rsidR="00187B9D" w:rsidRPr="00B90A17" w:rsidRDefault="00C05328" w:rsidP="00187B9D">
            <w:pPr>
              <w:pStyle w:val="Nadpis2"/>
              <w:outlineLvl w:val="1"/>
              <w:rPr>
                <w:lang w:val="cs-CZ"/>
              </w:rPr>
            </w:pPr>
            <w:r w:rsidRPr="00B90A17">
              <w:rPr>
                <w:lang w:val="cs-CZ"/>
              </w:rPr>
              <w:t>Pronajímatel tímto přenechává Nájemci do nájmu a Nájemce tímto přijímá od Pronajímatele do nájmu následující nebyto</w:t>
            </w:r>
            <w:r w:rsidR="00DA022D" w:rsidRPr="00B90A17">
              <w:rPr>
                <w:lang w:val="cs-CZ"/>
              </w:rPr>
              <w:t>vé prostory, které se nacházejí</w:t>
            </w:r>
            <w:r w:rsidRPr="00B90A17">
              <w:rPr>
                <w:lang w:val="cs-CZ"/>
              </w:rPr>
              <w:t xml:space="preserve"> v</w:t>
            </w:r>
            <w:r w:rsidR="00187B9D" w:rsidRPr="00B90A17">
              <w:rPr>
                <w:lang w:val="cs-CZ"/>
              </w:rPr>
              <w:t xml:space="preserve"> 1. </w:t>
            </w:r>
            <w:r w:rsidR="00094FDE" w:rsidRPr="00B90A17">
              <w:rPr>
                <w:lang w:val="cs-CZ"/>
              </w:rPr>
              <w:t xml:space="preserve">nadzemním podlaží </w:t>
            </w:r>
            <w:r w:rsidRPr="00B90A17">
              <w:rPr>
                <w:lang w:val="cs-CZ"/>
              </w:rPr>
              <w:t>Budovy</w:t>
            </w:r>
            <w:r w:rsidR="00FE0820" w:rsidRPr="00B90A17">
              <w:rPr>
                <w:lang w:val="cs-CZ"/>
              </w:rPr>
              <w:t>, a to</w:t>
            </w:r>
            <w:r w:rsidR="00187B9D" w:rsidRPr="00B90A17">
              <w:rPr>
                <w:lang w:val="cs-CZ"/>
              </w:rPr>
              <w:t>:</w:t>
            </w:r>
          </w:p>
          <w:p w14:paraId="5B6C1B6E" w14:textId="77777777" w:rsidR="00950681" w:rsidRPr="00B90A17" w:rsidRDefault="00187B9D" w:rsidP="00950681">
            <w:pPr>
              <w:pStyle w:val="Nadpis3"/>
              <w:outlineLvl w:val="2"/>
              <w:rPr>
                <w:lang w:val="cs-CZ"/>
              </w:rPr>
            </w:pPr>
            <w:r w:rsidRPr="00B90A17">
              <w:rPr>
                <w:lang w:val="cs-CZ"/>
              </w:rPr>
              <w:t xml:space="preserve">kancelářské prostory o výměře 92,1 </w:t>
            </w:r>
            <w:r w:rsidR="00FE0820" w:rsidRPr="00B90A17">
              <w:rPr>
                <w:lang w:val="cs-CZ"/>
              </w:rPr>
              <w:t>m</w:t>
            </w:r>
            <w:r w:rsidR="00FE0820" w:rsidRPr="00B90A17">
              <w:rPr>
                <w:vertAlign w:val="superscript"/>
                <w:lang w:val="cs-CZ"/>
              </w:rPr>
              <w:t>2</w:t>
            </w:r>
            <w:r w:rsidR="00FE0820" w:rsidRPr="00B90A17">
              <w:rPr>
                <w:lang w:val="cs-CZ"/>
              </w:rPr>
              <w:t xml:space="preserve"> </w:t>
            </w:r>
          </w:p>
          <w:p w14:paraId="69A1E9FC" w14:textId="77777777" w:rsidR="00950681" w:rsidRPr="00B90A17" w:rsidRDefault="00950681" w:rsidP="00950681">
            <w:pPr>
              <w:pStyle w:val="Nadpis3"/>
              <w:outlineLvl w:val="2"/>
              <w:rPr>
                <w:lang w:val="cs-CZ"/>
              </w:rPr>
            </w:pPr>
            <w:r w:rsidRPr="00B90A17">
              <w:rPr>
                <w:lang w:val="cs-CZ"/>
              </w:rPr>
              <w:t>ostatní prostory o výměře 135,9 m</w:t>
            </w:r>
            <w:r w:rsidRPr="00B90A17">
              <w:rPr>
                <w:vertAlign w:val="superscript"/>
                <w:lang w:val="cs-CZ"/>
              </w:rPr>
              <w:t>2</w:t>
            </w:r>
            <w:r w:rsidRPr="00B90A17">
              <w:rPr>
                <w:lang w:val="cs-CZ"/>
              </w:rPr>
              <w:t xml:space="preserve"> </w:t>
            </w:r>
          </w:p>
          <w:p w14:paraId="61D13EAE" w14:textId="77777777" w:rsidR="00950681" w:rsidRPr="00B90A17" w:rsidRDefault="00950681" w:rsidP="00950681">
            <w:pPr>
              <w:pStyle w:val="Nadpis3"/>
              <w:outlineLvl w:val="2"/>
              <w:rPr>
                <w:lang w:val="cs-CZ"/>
              </w:rPr>
            </w:pPr>
            <w:r w:rsidRPr="00B90A17">
              <w:rPr>
                <w:lang w:val="cs-CZ"/>
              </w:rPr>
              <w:t>celkem tedy 228,0 m</w:t>
            </w:r>
            <w:r w:rsidRPr="00B90A17">
              <w:rPr>
                <w:vertAlign w:val="superscript"/>
                <w:lang w:val="cs-CZ"/>
              </w:rPr>
              <w:t>2</w:t>
            </w:r>
            <w:r w:rsidRPr="00B90A17">
              <w:rPr>
                <w:lang w:val="cs-CZ"/>
              </w:rPr>
              <w:t xml:space="preserve"> </w:t>
            </w:r>
            <w:r w:rsidR="00FE0820" w:rsidRPr="00B90A17">
              <w:rPr>
                <w:lang w:val="cs-CZ"/>
              </w:rPr>
              <w:t>(dále jen „</w:t>
            </w:r>
            <w:r w:rsidR="00FE0820" w:rsidRPr="00B90A17">
              <w:rPr>
                <w:b/>
                <w:lang w:val="cs-CZ"/>
              </w:rPr>
              <w:t>Prostory</w:t>
            </w:r>
            <w:r w:rsidR="00FE0820" w:rsidRPr="00B90A17">
              <w:rPr>
                <w:lang w:val="cs-CZ"/>
              </w:rPr>
              <w:t xml:space="preserve">“). </w:t>
            </w:r>
          </w:p>
          <w:p w14:paraId="1E45AC1E" w14:textId="7159D7DF" w:rsidR="00950681" w:rsidRPr="00B90A17" w:rsidRDefault="00950681" w:rsidP="008D7B06">
            <w:pPr>
              <w:rPr>
                <w:lang w:val="cs-CZ"/>
              </w:rPr>
            </w:pPr>
            <w:r w:rsidRPr="00B90A17">
              <w:rPr>
                <w:lang w:val="cs-CZ"/>
              </w:rPr>
              <w:t>Přesné rozmístění Prostor vyplývá ze situačního plánku a rozpis</w:t>
            </w:r>
            <w:r w:rsidR="00BA51E8">
              <w:rPr>
                <w:lang w:val="cs-CZ"/>
              </w:rPr>
              <w:t>u</w:t>
            </w:r>
            <w:r w:rsidRPr="00B90A17">
              <w:rPr>
                <w:lang w:val="cs-CZ"/>
              </w:rPr>
              <w:t xml:space="preserve"> jednotlivých místností</w:t>
            </w:r>
            <w:r w:rsidR="008D7B06">
              <w:rPr>
                <w:lang w:val="cs-CZ"/>
              </w:rPr>
              <w:t xml:space="preserve"> s výměrou a určením účelu</w:t>
            </w:r>
            <w:r w:rsidR="00BA51E8">
              <w:rPr>
                <w:lang w:val="cs-CZ"/>
              </w:rPr>
              <w:t>.</w:t>
            </w:r>
            <w:r w:rsidRPr="00B90A17">
              <w:rPr>
                <w:lang w:val="cs-CZ"/>
              </w:rPr>
              <w:t xml:space="preserve"> </w:t>
            </w:r>
          </w:p>
        </w:tc>
      </w:tr>
      <w:tr w:rsidR="00C05328" w:rsidRPr="004F2FF3" w14:paraId="0F73A9A8" w14:textId="77777777" w:rsidTr="007808D5">
        <w:tc>
          <w:tcPr>
            <w:tcW w:w="9997" w:type="dxa"/>
          </w:tcPr>
          <w:p w14:paraId="357F322D" w14:textId="77777777" w:rsidR="00C05328" w:rsidRPr="00B90A17" w:rsidRDefault="00C05328" w:rsidP="00A143FA">
            <w:pPr>
              <w:rPr>
                <w:lang w:val="cs-CZ"/>
              </w:rPr>
            </w:pPr>
          </w:p>
        </w:tc>
      </w:tr>
      <w:tr w:rsidR="00FE0820" w:rsidRPr="004F2FF3" w14:paraId="528BE71E" w14:textId="77777777" w:rsidTr="007808D5">
        <w:tc>
          <w:tcPr>
            <w:tcW w:w="9997" w:type="dxa"/>
          </w:tcPr>
          <w:p w14:paraId="7DCD92F6" w14:textId="10539660" w:rsidR="00FE0820" w:rsidRPr="00B90A17" w:rsidRDefault="00FE0820" w:rsidP="00FE0820">
            <w:pPr>
              <w:pStyle w:val="Nadpis2"/>
              <w:outlineLvl w:val="1"/>
              <w:rPr>
                <w:lang w:val="cs-CZ"/>
              </w:rPr>
            </w:pPr>
            <w:r w:rsidRPr="00B90A17">
              <w:rPr>
                <w:lang w:val="cs-CZ"/>
              </w:rPr>
              <w:t>Smluvní strany výslovně ujednávají, že Prostory jsou pronajaty bez vybavení.</w:t>
            </w:r>
          </w:p>
        </w:tc>
      </w:tr>
      <w:tr w:rsidR="00FE0820" w:rsidRPr="004F2FF3" w14:paraId="0FAD2FB7" w14:textId="77777777" w:rsidTr="007808D5">
        <w:tc>
          <w:tcPr>
            <w:tcW w:w="9997" w:type="dxa"/>
          </w:tcPr>
          <w:p w14:paraId="3DC02737" w14:textId="77777777" w:rsidR="00FE0820" w:rsidRPr="00B90A17" w:rsidRDefault="00FE0820" w:rsidP="00A143FA">
            <w:pPr>
              <w:rPr>
                <w:lang w:val="cs-CZ"/>
              </w:rPr>
            </w:pPr>
          </w:p>
        </w:tc>
      </w:tr>
      <w:tr w:rsidR="000E368B" w:rsidRPr="004F2FF3" w14:paraId="272DC38F" w14:textId="77777777" w:rsidTr="007808D5">
        <w:tc>
          <w:tcPr>
            <w:tcW w:w="9997" w:type="dxa"/>
          </w:tcPr>
          <w:p w14:paraId="0BB12D91" w14:textId="4DC42CA6" w:rsidR="000E368B" w:rsidRPr="00B90A17" w:rsidRDefault="00950681" w:rsidP="00950681">
            <w:pPr>
              <w:pStyle w:val="Nadpis2"/>
              <w:outlineLvl w:val="1"/>
              <w:rPr>
                <w:lang w:val="cs-CZ"/>
              </w:rPr>
            </w:pPr>
            <w:r w:rsidRPr="00B90A17">
              <w:rPr>
                <w:lang w:val="cs-CZ"/>
              </w:rPr>
              <w:t>Prostory jsou přístupné pro Nájemce a veřejnost hlavním vchodem z</w:t>
            </w:r>
            <w:r w:rsidR="008D7B06">
              <w:rPr>
                <w:lang w:val="cs-CZ"/>
              </w:rPr>
              <w:t xml:space="preserve"> Masarykova </w:t>
            </w:r>
            <w:r w:rsidRPr="00B90A17">
              <w:rPr>
                <w:lang w:val="cs-CZ"/>
              </w:rPr>
              <w:t>náměstí, pro obslužné činnosti také vchodem ze dvora</w:t>
            </w:r>
            <w:r w:rsidR="006E7147" w:rsidRPr="00B90A17">
              <w:rPr>
                <w:lang w:val="cs-CZ"/>
              </w:rPr>
              <w:t>.</w:t>
            </w:r>
          </w:p>
        </w:tc>
      </w:tr>
      <w:tr w:rsidR="000E368B" w:rsidRPr="004F2FF3" w14:paraId="6BD4FB2C" w14:textId="77777777" w:rsidTr="007808D5">
        <w:tc>
          <w:tcPr>
            <w:tcW w:w="9997" w:type="dxa"/>
          </w:tcPr>
          <w:p w14:paraId="7F4742A7" w14:textId="77777777" w:rsidR="000E368B" w:rsidRPr="00B90A17" w:rsidRDefault="000E368B" w:rsidP="000B1A9D">
            <w:pPr>
              <w:rPr>
                <w:lang w:val="cs-CZ"/>
              </w:rPr>
            </w:pPr>
          </w:p>
        </w:tc>
      </w:tr>
      <w:tr w:rsidR="00C05328" w:rsidRPr="004F2FF3" w14:paraId="37465DA1" w14:textId="77777777" w:rsidTr="007808D5">
        <w:tc>
          <w:tcPr>
            <w:tcW w:w="9997" w:type="dxa"/>
          </w:tcPr>
          <w:p w14:paraId="1C120C73" w14:textId="31117C02" w:rsidR="00C05328" w:rsidRPr="00B90A17" w:rsidRDefault="00D55B9B" w:rsidP="00950681">
            <w:pPr>
              <w:pStyle w:val="Nadpis2"/>
              <w:outlineLvl w:val="1"/>
              <w:rPr>
                <w:lang w:val="cs-CZ"/>
              </w:rPr>
            </w:pPr>
            <w:r w:rsidRPr="00B90A17">
              <w:rPr>
                <w:lang w:val="cs-CZ"/>
              </w:rPr>
              <w:t>Předmětem nájmu je rovněž část střechy, na které je umístěno 5 ks klimatizačních jednotek ve vlastnictví Nájemce</w:t>
            </w:r>
            <w:r w:rsidR="00C05328" w:rsidRPr="00B90A17">
              <w:rPr>
                <w:lang w:val="cs-CZ"/>
              </w:rPr>
              <w:t>.</w:t>
            </w:r>
          </w:p>
        </w:tc>
      </w:tr>
      <w:tr w:rsidR="00C05328" w:rsidRPr="004F2FF3" w14:paraId="2EE734D0" w14:textId="77777777" w:rsidTr="007808D5">
        <w:tc>
          <w:tcPr>
            <w:tcW w:w="9997" w:type="dxa"/>
          </w:tcPr>
          <w:p w14:paraId="2182C2A8" w14:textId="77777777" w:rsidR="00C05328" w:rsidRPr="00B90A17" w:rsidRDefault="00C05328" w:rsidP="000B1A9D">
            <w:pPr>
              <w:rPr>
                <w:lang w:val="cs-CZ"/>
              </w:rPr>
            </w:pPr>
          </w:p>
        </w:tc>
      </w:tr>
      <w:tr w:rsidR="00B90A17" w:rsidRPr="004F2FF3" w14:paraId="3E21FB59" w14:textId="77777777" w:rsidTr="007808D5">
        <w:tc>
          <w:tcPr>
            <w:tcW w:w="9997" w:type="dxa"/>
          </w:tcPr>
          <w:p w14:paraId="459D49B8" w14:textId="557A053D" w:rsidR="00B90A17" w:rsidRPr="00B90A17" w:rsidRDefault="00B90A17" w:rsidP="00B2543F">
            <w:pPr>
              <w:pStyle w:val="Nadpis2"/>
              <w:outlineLvl w:val="1"/>
              <w:rPr>
                <w:lang w:val="cs-CZ"/>
              </w:rPr>
            </w:pPr>
            <w:r w:rsidRPr="00B90A17">
              <w:rPr>
                <w:lang w:val="cs-CZ"/>
              </w:rPr>
              <w:t>P</w:t>
            </w:r>
            <w:r w:rsidR="008D7B06">
              <w:rPr>
                <w:lang w:val="cs-CZ"/>
              </w:rPr>
              <w:t>ředmětem nájmu js</w:t>
            </w:r>
            <w:r w:rsidRPr="00B90A17">
              <w:rPr>
                <w:lang w:val="cs-CZ"/>
              </w:rPr>
              <w:t xml:space="preserve">ou dále 2 parkovací stání na parkovišti ve společném dvoře na pozemcích Pronajímatele </w:t>
            </w:r>
            <w:proofErr w:type="spellStart"/>
            <w:r w:rsidRPr="00B90A17">
              <w:rPr>
                <w:lang w:val="cs-CZ"/>
              </w:rPr>
              <w:t>parc</w:t>
            </w:r>
            <w:proofErr w:type="spellEnd"/>
            <w:r w:rsidRPr="00B90A17">
              <w:rPr>
                <w:lang w:val="cs-CZ"/>
              </w:rPr>
              <w:t>. č. 105/2, 105/3 a 105/5 v </w:t>
            </w:r>
            <w:proofErr w:type="spellStart"/>
            <w:r w:rsidRPr="00B90A17">
              <w:rPr>
                <w:lang w:val="cs-CZ"/>
              </w:rPr>
              <w:t>k.ú</w:t>
            </w:r>
            <w:proofErr w:type="spellEnd"/>
            <w:r w:rsidRPr="00B90A17">
              <w:rPr>
                <w:lang w:val="cs-CZ"/>
              </w:rPr>
              <w:t>. Karviná – město.</w:t>
            </w:r>
          </w:p>
        </w:tc>
      </w:tr>
      <w:tr w:rsidR="00B90A17" w:rsidRPr="004F2FF3" w14:paraId="08595144" w14:textId="77777777" w:rsidTr="007808D5">
        <w:tc>
          <w:tcPr>
            <w:tcW w:w="9997" w:type="dxa"/>
          </w:tcPr>
          <w:p w14:paraId="5506FE5E" w14:textId="77777777" w:rsidR="00B90A17" w:rsidRPr="00B90A17" w:rsidRDefault="00B90A17" w:rsidP="000B1A9D">
            <w:pPr>
              <w:rPr>
                <w:lang w:val="cs-CZ"/>
              </w:rPr>
            </w:pPr>
          </w:p>
        </w:tc>
      </w:tr>
      <w:tr w:rsidR="003F0E8A" w:rsidRPr="004F2FF3" w14:paraId="667F9978" w14:textId="77777777" w:rsidTr="003F0E8A">
        <w:tc>
          <w:tcPr>
            <w:tcW w:w="9997" w:type="dxa"/>
            <w:shd w:val="clear" w:color="auto" w:fill="auto"/>
          </w:tcPr>
          <w:p w14:paraId="03E394A0" w14:textId="04A78204" w:rsidR="00C05328" w:rsidRPr="003F0E8A" w:rsidRDefault="00B90A17" w:rsidP="008D7B06">
            <w:pPr>
              <w:pStyle w:val="Nadpis2"/>
              <w:outlineLvl w:val="1"/>
              <w:rPr>
                <w:color w:val="000000" w:themeColor="text1"/>
                <w:lang w:val="cs-CZ"/>
              </w:rPr>
            </w:pPr>
            <w:r w:rsidRPr="003F0E8A">
              <w:rPr>
                <w:color w:val="000000" w:themeColor="text1"/>
                <w:lang w:val="cs-CZ"/>
              </w:rPr>
              <w:t xml:space="preserve">Smluvní </w:t>
            </w:r>
            <w:r w:rsidR="000E4DE4" w:rsidRPr="003F0E8A">
              <w:rPr>
                <w:color w:val="000000" w:themeColor="text1"/>
                <w:lang w:val="cs-CZ"/>
              </w:rPr>
              <w:t xml:space="preserve">strany </w:t>
            </w:r>
            <w:r w:rsidRPr="003F0E8A">
              <w:rPr>
                <w:color w:val="000000" w:themeColor="text1"/>
                <w:lang w:val="cs-CZ"/>
              </w:rPr>
              <w:t xml:space="preserve">potvrzují, že Prostory má </w:t>
            </w:r>
            <w:r w:rsidR="008D7B06" w:rsidRPr="003F0E8A">
              <w:rPr>
                <w:color w:val="000000" w:themeColor="text1"/>
                <w:lang w:val="cs-CZ"/>
              </w:rPr>
              <w:t>Nájemce</w:t>
            </w:r>
            <w:r w:rsidRPr="003F0E8A">
              <w:rPr>
                <w:color w:val="000000" w:themeColor="text1"/>
                <w:lang w:val="cs-CZ"/>
              </w:rPr>
              <w:t xml:space="preserve"> v nájmu dle předchozí nájemní smlouvy, Prostory již užívá a z tohoto důvodu nedojde k jejich protokolárnímu předání a převzetí.    </w:t>
            </w:r>
          </w:p>
        </w:tc>
      </w:tr>
      <w:tr w:rsidR="00DA022D" w:rsidRPr="004F2FF3" w14:paraId="6E726CDD" w14:textId="77777777" w:rsidTr="007808D5">
        <w:tc>
          <w:tcPr>
            <w:tcW w:w="9997" w:type="dxa"/>
          </w:tcPr>
          <w:p w14:paraId="482F8495" w14:textId="3F18D567" w:rsidR="00DA022D" w:rsidRPr="00B90A17" w:rsidRDefault="00DA022D" w:rsidP="00DA022D">
            <w:pPr>
              <w:rPr>
                <w:lang w:val="cs-CZ"/>
              </w:rPr>
            </w:pPr>
          </w:p>
        </w:tc>
      </w:tr>
      <w:tr w:rsidR="00DA022D" w:rsidRPr="00B90A17" w14:paraId="3DD737E1" w14:textId="77777777" w:rsidTr="007808D5">
        <w:tc>
          <w:tcPr>
            <w:tcW w:w="9997" w:type="dxa"/>
          </w:tcPr>
          <w:p w14:paraId="1982782D" w14:textId="5AAA8C3B" w:rsidR="00DA022D" w:rsidRPr="00B90A17" w:rsidRDefault="00DA022D" w:rsidP="00DA022D">
            <w:pPr>
              <w:pStyle w:val="Nadpis1"/>
              <w:outlineLvl w:val="0"/>
              <w:rPr>
                <w:lang w:val="cs-CZ"/>
              </w:rPr>
            </w:pPr>
            <w:bookmarkStart w:id="0" w:name="_Ref281990575"/>
            <w:r w:rsidRPr="00B90A17">
              <w:rPr>
                <w:lang w:val="cs-CZ"/>
              </w:rPr>
              <w:t>Účel nájmu</w:t>
            </w:r>
            <w:bookmarkEnd w:id="0"/>
          </w:p>
        </w:tc>
      </w:tr>
      <w:tr w:rsidR="00DA022D" w:rsidRPr="00B90A17" w14:paraId="711A66A9" w14:textId="77777777" w:rsidTr="007808D5">
        <w:tc>
          <w:tcPr>
            <w:tcW w:w="9997" w:type="dxa"/>
          </w:tcPr>
          <w:p w14:paraId="04877B0C" w14:textId="77777777" w:rsidR="00DA022D" w:rsidRPr="00B90A17" w:rsidRDefault="00DA022D" w:rsidP="00DA022D">
            <w:pPr>
              <w:rPr>
                <w:lang w:val="cs-CZ"/>
              </w:rPr>
            </w:pPr>
          </w:p>
        </w:tc>
      </w:tr>
      <w:tr w:rsidR="00DA022D" w:rsidRPr="004F2FF3" w14:paraId="13C13257" w14:textId="77777777" w:rsidTr="007808D5">
        <w:tc>
          <w:tcPr>
            <w:tcW w:w="9997" w:type="dxa"/>
          </w:tcPr>
          <w:p w14:paraId="0A08C356" w14:textId="0A4D4839" w:rsidR="00DA022D" w:rsidRPr="00B90A17" w:rsidRDefault="00DA022D" w:rsidP="00D55B9B">
            <w:pPr>
              <w:pStyle w:val="Nadpis2"/>
              <w:outlineLvl w:val="1"/>
              <w:rPr>
                <w:lang w:val="cs-CZ"/>
              </w:rPr>
            </w:pPr>
            <w:bookmarkStart w:id="1" w:name="_Ref377496780"/>
            <w:r w:rsidRPr="00B90A17">
              <w:rPr>
                <w:lang w:val="cs-CZ"/>
              </w:rPr>
              <w:t>Nájemce se zavazuje užívat Prostory pouze v souladu s jejich určením jako kanceláře</w:t>
            </w:r>
            <w:r w:rsidR="00EB0E35" w:rsidRPr="00B90A17">
              <w:rPr>
                <w:lang w:val="cs-CZ"/>
              </w:rPr>
              <w:t xml:space="preserve"> pro administrativní potřeby</w:t>
            </w:r>
            <w:bookmarkEnd w:id="1"/>
            <w:r w:rsidR="00950681" w:rsidRPr="00B90A17">
              <w:rPr>
                <w:lang w:val="cs-CZ"/>
              </w:rPr>
              <w:t xml:space="preserve"> a jako reprezentativní prostory pro styk s veřejností v souvislosti s provozováním </w:t>
            </w:r>
            <w:r w:rsidR="001A690C" w:rsidRPr="00B90A17">
              <w:rPr>
                <w:lang w:val="cs-CZ"/>
              </w:rPr>
              <w:t>předmětu činnosti Nájemce, kterým je provozování věřeného zdravotního pojištění.</w:t>
            </w:r>
            <w:r w:rsidR="00D55B9B" w:rsidRPr="00B90A17">
              <w:rPr>
                <w:lang w:val="cs-CZ"/>
              </w:rPr>
              <w:t xml:space="preserve"> V souvislosti s předmětem činnosti Nájemce je Nájemce oprávněn prostory užívat též jako spisovny a skladové prostory.    </w:t>
            </w:r>
          </w:p>
        </w:tc>
      </w:tr>
      <w:tr w:rsidR="00DA022D" w:rsidRPr="004F2FF3" w14:paraId="17057796" w14:textId="77777777" w:rsidTr="007808D5">
        <w:tc>
          <w:tcPr>
            <w:tcW w:w="9997" w:type="dxa"/>
          </w:tcPr>
          <w:p w14:paraId="75B4F1F1" w14:textId="77777777" w:rsidR="00DA022D" w:rsidRPr="00B90A17" w:rsidRDefault="00DA022D" w:rsidP="00DA022D">
            <w:pPr>
              <w:rPr>
                <w:lang w:val="cs-CZ"/>
              </w:rPr>
            </w:pPr>
          </w:p>
        </w:tc>
      </w:tr>
      <w:tr w:rsidR="00DA022D" w:rsidRPr="004F2FF3" w14:paraId="220DD181" w14:textId="77777777" w:rsidTr="007808D5">
        <w:tc>
          <w:tcPr>
            <w:tcW w:w="9997" w:type="dxa"/>
          </w:tcPr>
          <w:p w14:paraId="1A3EDF3F" w14:textId="77C0A816" w:rsidR="00DA022D" w:rsidRPr="00B90A17" w:rsidRDefault="00DA022D" w:rsidP="008D7B06">
            <w:pPr>
              <w:pStyle w:val="Nadpis2"/>
              <w:outlineLvl w:val="1"/>
              <w:rPr>
                <w:lang w:val="cs-CZ"/>
              </w:rPr>
            </w:pPr>
            <w:r w:rsidRPr="00B90A17">
              <w:rPr>
                <w:lang w:val="cs-CZ"/>
              </w:rPr>
              <w:t>Nájemce prohlašuje a potvrzuje, že před podpisem této Smlouvy Prostory prohlédl, seznámil se s jejich stavem a shledal je vhodné k účelu dle čl.</w:t>
            </w:r>
            <w:r w:rsidR="008D7B06">
              <w:rPr>
                <w:lang w:val="cs-CZ"/>
              </w:rPr>
              <w:t xml:space="preserve"> 3.1</w:t>
            </w:r>
            <w:r w:rsidRPr="00B90A17">
              <w:rPr>
                <w:lang w:val="cs-CZ"/>
              </w:rPr>
              <w:t xml:space="preserve"> této Smlouvy.</w:t>
            </w:r>
          </w:p>
        </w:tc>
      </w:tr>
      <w:tr w:rsidR="00DA022D" w:rsidRPr="004F2FF3" w14:paraId="6845BE08" w14:textId="77777777" w:rsidTr="007808D5">
        <w:tc>
          <w:tcPr>
            <w:tcW w:w="9997" w:type="dxa"/>
          </w:tcPr>
          <w:p w14:paraId="620A29B2" w14:textId="77777777" w:rsidR="00DA022D" w:rsidRPr="00B90A17" w:rsidRDefault="00DA022D" w:rsidP="00DA022D">
            <w:pPr>
              <w:rPr>
                <w:lang w:val="cs-CZ"/>
              </w:rPr>
            </w:pPr>
          </w:p>
        </w:tc>
      </w:tr>
      <w:tr w:rsidR="00DA022D" w:rsidRPr="00B90A17" w14:paraId="376C407C" w14:textId="77777777" w:rsidTr="007808D5">
        <w:tc>
          <w:tcPr>
            <w:tcW w:w="9997" w:type="dxa"/>
          </w:tcPr>
          <w:p w14:paraId="5F195123" w14:textId="3F02D4B7" w:rsidR="00DA022D" w:rsidRPr="00B90A17" w:rsidRDefault="00DA022D" w:rsidP="00DA022D">
            <w:pPr>
              <w:pStyle w:val="Nadpis1"/>
              <w:outlineLvl w:val="0"/>
              <w:rPr>
                <w:lang w:val="cs-CZ"/>
              </w:rPr>
            </w:pPr>
            <w:r w:rsidRPr="00B90A17">
              <w:rPr>
                <w:lang w:val="cs-CZ"/>
              </w:rPr>
              <w:t>Doba trvání nájmu</w:t>
            </w:r>
          </w:p>
        </w:tc>
      </w:tr>
      <w:tr w:rsidR="00DA022D" w:rsidRPr="00B90A17" w14:paraId="6A3DCC98" w14:textId="77777777" w:rsidTr="007808D5">
        <w:tc>
          <w:tcPr>
            <w:tcW w:w="9997" w:type="dxa"/>
          </w:tcPr>
          <w:p w14:paraId="4EF29E1A" w14:textId="77777777" w:rsidR="00DA022D" w:rsidRPr="00B90A17" w:rsidRDefault="00DA022D" w:rsidP="00DA022D">
            <w:pPr>
              <w:rPr>
                <w:lang w:val="cs-CZ"/>
              </w:rPr>
            </w:pPr>
          </w:p>
        </w:tc>
      </w:tr>
      <w:tr w:rsidR="00DA022D" w:rsidRPr="004F2FF3" w14:paraId="1D6569D2" w14:textId="77777777" w:rsidTr="007808D5">
        <w:tc>
          <w:tcPr>
            <w:tcW w:w="9997" w:type="dxa"/>
          </w:tcPr>
          <w:p w14:paraId="5FDED09D" w14:textId="15781C7E" w:rsidR="00DA022D" w:rsidRPr="00D25E3A" w:rsidRDefault="00DA022D" w:rsidP="00B90A17">
            <w:pPr>
              <w:pStyle w:val="Nadpis2"/>
              <w:outlineLvl w:val="1"/>
              <w:rPr>
                <w:lang w:val="cs-CZ"/>
              </w:rPr>
            </w:pPr>
            <w:r w:rsidRPr="00D25E3A">
              <w:rPr>
                <w:lang w:val="cs-CZ"/>
              </w:rPr>
              <w:t xml:space="preserve">Smluvní strany se dohodly, že nájem dle této Smlouvy je sjednán </w:t>
            </w:r>
            <w:r w:rsidR="000E4DE4" w:rsidRPr="00D25E3A">
              <w:rPr>
                <w:color w:val="000000" w:themeColor="text1"/>
                <w:lang w:val="cs-CZ"/>
              </w:rPr>
              <w:t xml:space="preserve">na </w:t>
            </w:r>
            <w:r w:rsidRPr="00D25E3A">
              <w:rPr>
                <w:color w:val="000000" w:themeColor="text1"/>
                <w:lang w:val="cs-CZ"/>
              </w:rPr>
              <w:t>dobu</w:t>
            </w:r>
            <w:r w:rsidRPr="00D25E3A">
              <w:rPr>
                <w:lang w:val="cs-CZ"/>
              </w:rPr>
              <w:t xml:space="preserve"> </w:t>
            </w:r>
            <w:r w:rsidR="00A55BFA" w:rsidRPr="00D25E3A">
              <w:rPr>
                <w:lang w:val="cs-CZ"/>
              </w:rPr>
              <w:t>ne</w:t>
            </w:r>
            <w:r w:rsidRPr="00D25E3A">
              <w:rPr>
                <w:lang w:val="cs-CZ"/>
              </w:rPr>
              <w:t>určitou od</w:t>
            </w:r>
            <w:r w:rsidR="00FE0820" w:rsidRPr="00D25E3A">
              <w:rPr>
                <w:lang w:val="cs-CZ"/>
              </w:rPr>
              <w:t xml:space="preserve"> </w:t>
            </w:r>
            <w:r w:rsidR="00B90A17" w:rsidRPr="00D25E3A">
              <w:rPr>
                <w:lang w:val="cs-CZ"/>
              </w:rPr>
              <w:t>1.9.2020</w:t>
            </w:r>
            <w:r w:rsidR="00FE0820" w:rsidRPr="00D25E3A">
              <w:rPr>
                <w:lang w:val="cs-CZ"/>
              </w:rPr>
              <w:t>.</w:t>
            </w:r>
          </w:p>
        </w:tc>
      </w:tr>
      <w:tr w:rsidR="00BA51E8" w:rsidRPr="004F2FF3" w14:paraId="4737EDFB" w14:textId="77777777" w:rsidTr="007808D5">
        <w:tc>
          <w:tcPr>
            <w:tcW w:w="9997" w:type="dxa"/>
          </w:tcPr>
          <w:p w14:paraId="7F9922BF" w14:textId="77777777" w:rsidR="00BA51E8" w:rsidRDefault="00BA51E8" w:rsidP="00BA51E8">
            <w:pPr>
              <w:pStyle w:val="Nadpis2"/>
              <w:numPr>
                <w:ilvl w:val="0"/>
                <w:numId w:val="0"/>
              </w:numPr>
              <w:ind w:left="425"/>
              <w:outlineLvl w:val="1"/>
              <w:rPr>
                <w:lang w:val="cs-CZ"/>
              </w:rPr>
            </w:pPr>
          </w:p>
          <w:p w14:paraId="75B54C2A" w14:textId="47B18070" w:rsidR="00BA51E8" w:rsidRPr="00BA51E8" w:rsidRDefault="00BA51E8" w:rsidP="00BA51E8">
            <w:pPr>
              <w:rPr>
                <w:lang w:val="cs-CZ"/>
              </w:rPr>
            </w:pPr>
          </w:p>
        </w:tc>
      </w:tr>
      <w:tr w:rsidR="00DA022D" w:rsidRPr="004F2FF3" w14:paraId="69939375" w14:textId="77777777" w:rsidTr="007808D5">
        <w:tc>
          <w:tcPr>
            <w:tcW w:w="9997" w:type="dxa"/>
          </w:tcPr>
          <w:p w14:paraId="56995B41" w14:textId="77777777" w:rsidR="00DA022D" w:rsidRPr="00B90A17" w:rsidRDefault="00DA022D" w:rsidP="00DA022D">
            <w:pPr>
              <w:rPr>
                <w:lang w:val="cs-CZ"/>
              </w:rPr>
            </w:pPr>
          </w:p>
        </w:tc>
      </w:tr>
      <w:tr w:rsidR="00DA022D" w:rsidRPr="004F2FF3" w14:paraId="79D06EF7" w14:textId="77777777" w:rsidTr="007808D5">
        <w:tc>
          <w:tcPr>
            <w:tcW w:w="9997" w:type="dxa"/>
          </w:tcPr>
          <w:p w14:paraId="42CECD3E" w14:textId="48C5BEA9" w:rsidR="00DA022D" w:rsidRPr="00B90A17" w:rsidRDefault="00DA022D" w:rsidP="00DA022D">
            <w:pPr>
              <w:pStyle w:val="Nadpis1"/>
              <w:outlineLvl w:val="0"/>
              <w:rPr>
                <w:lang w:val="cs-CZ"/>
              </w:rPr>
            </w:pPr>
            <w:r w:rsidRPr="00B90A17">
              <w:rPr>
                <w:lang w:val="cs-CZ"/>
              </w:rPr>
              <w:lastRenderedPageBreak/>
              <w:t>Nájemné a poplatky za služby</w:t>
            </w:r>
          </w:p>
        </w:tc>
      </w:tr>
      <w:tr w:rsidR="00DA022D" w:rsidRPr="004F2FF3" w14:paraId="1C631EBE" w14:textId="77777777" w:rsidTr="007808D5">
        <w:tc>
          <w:tcPr>
            <w:tcW w:w="9997" w:type="dxa"/>
          </w:tcPr>
          <w:p w14:paraId="4C3DF596" w14:textId="77777777" w:rsidR="00DA022D" w:rsidRPr="00B90A17" w:rsidRDefault="00DA022D" w:rsidP="00DA022D">
            <w:pPr>
              <w:rPr>
                <w:lang w:val="cs-CZ"/>
              </w:rPr>
            </w:pPr>
          </w:p>
        </w:tc>
      </w:tr>
      <w:tr w:rsidR="00DA022D" w:rsidRPr="004F2FF3" w14:paraId="258FAB66" w14:textId="77777777" w:rsidTr="007808D5">
        <w:tc>
          <w:tcPr>
            <w:tcW w:w="9997" w:type="dxa"/>
          </w:tcPr>
          <w:p w14:paraId="78EDE44A" w14:textId="3855B40F" w:rsidR="009E6E47" w:rsidRPr="00B90A17" w:rsidRDefault="00DA022D" w:rsidP="00084426">
            <w:pPr>
              <w:pStyle w:val="Nadpis2"/>
              <w:outlineLvl w:val="1"/>
              <w:rPr>
                <w:lang w:val="cs-CZ"/>
              </w:rPr>
            </w:pPr>
            <w:r w:rsidRPr="00B90A17">
              <w:rPr>
                <w:lang w:val="cs-CZ"/>
              </w:rPr>
              <w:t>Smluvní strany sjednávají, že nájemné bude činit</w:t>
            </w:r>
            <w:r w:rsidR="009E6E47" w:rsidRPr="00B90A17">
              <w:rPr>
                <w:lang w:val="cs-CZ"/>
              </w:rPr>
              <w:t>:</w:t>
            </w:r>
          </w:p>
          <w:p w14:paraId="4AE96277" w14:textId="77777777" w:rsidR="009E6E47" w:rsidRPr="00B90A17" w:rsidRDefault="009E6E47" w:rsidP="009E6E47">
            <w:pPr>
              <w:rPr>
                <w:lang w:val="cs-CZ"/>
              </w:rPr>
            </w:pPr>
          </w:p>
          <w:tbl>
            <w:tblPr>
              <w:tblStyle w:val="Mkatabulky"/>
              <w:tblW w:w="0" w:type="auto"/>
              <w:tblInd w:w="360" w:type="dxa"/>
              <w:tblLook w:val="04A0" w:firstRow="1" w:lastRow="0" w:firstColumn="1" w:lastColumn="0" w:noHBand="0" w:noVBand="1"/>
            </w:tblPr>
            <w:tblGrid>
              <w:gridCol w:w="2680"/>
              <w:gridCol w:w="1559"/>
              <w:gridCol w:w="2126"/>
              <w:gridCol w:w="1985"/>
            </w:tblGrid>
            <w:tr w:rsidR="009E6E47" w:rsidRPr="00B90A17" w14:paraId="158B46A1" w14:textId="77777777" w:rsidTr="00396EDC">
              <w:tc>
                <w:tcPr>
                  <w:tcW w:w="2680" w:type="dxa"/>
                </w:tcPr>
                <w:p w14:paraId="62D5E146" w14:textId="77777777" w:rsidR="009E6E47" w:rsidRPr="00B90A17" w:rsidRDefault="009E6E47" w:rsidP="009E6E47">
                  <w:pPr>
                    <w:pStyle w:val="NormlnodsazenNadpis2"/>
                    <w:ind w:left="0"/>
                    <w:rPr>
                      <w:lang w:val="cs-CZ"/>
                    </w:rPr>
                  </w:pPr>
                  <w:r w:rsidRPr="00B90A17">
                    <w:rPr>
                      <w:lang w:val="cs-CZ"/>
                    </w:rPr>
                    <w:t>Předmět nájmu</w:t>
                  </w:r>
                </w:p>
              </w:tc>
              <w:tc>
                <w:tcPr>
                  <w:tcW w:w="1559" w:type="dxa"/>
                </w:tcPr>
                <w:p w14:paraId="423036E3" w14:textId="6FADB6A9" w:rsidR="009E6E47" w:rsidRPr="003552E5" w:rsidRDefault="003552E5" w:rsidP="003552E5">
                  <w:pPr>
                    <w:pStyle w:val="NormlnodsazenNadpis2"/>
                    <w:ind w:left="0"/>
                    <w:rPr>
                      <w:lang w:val="cs-CZ"/>
                    </w:rPr>
                  </w:pPr>
                  <w:r>
                    <w:rPr>
                      <w:lang w:val="cs-CZ"/>
                    </w:rPr>
                    <w:t xml:space="preserve">Sazba za 1 </w:t>
                  </w:r>
                  <w:r w:rsidR="009E6E47" w:rsidRPr="00B90A17">
                    <w:rPr>
                      <w:lang w:val="cs-CZ"/>
                    </w:rPr>
                    <w:t>m</w:t>
                  </w:r>
                  <w:r w:rsidR="009E6E47" w:rsidRPr="00B90A17">
                    <w:rPr>
                      <w:vertAlign w:val="superscript"/>
                      <w:lang w:val="cs-CZ"/>
                    </w:rPr>
                    <w:t>2</w:t>
                  </w:r>
                  <w:r>
                    <w:rPr>
                      <w:lang w:val="cs-CZ"/>
                    </w:rPr>
                    <w:t>/rok</w:t>
                  </w:r>
                </w:p>
              </w:tc>
              <w:tc>
                <w:tcPr>
                  <w:tcW w:w="2126" w:type="dxa"/>
                </w:tcPr>
                <w:p w14:paraId="4EB670FD" w14:textId="77777777" w:rsidR="009E6E47" w:rsidRPr="00B90A17" w:rsidRDefault="009E6E47" w:rsidP="009E6E47">
                  <w:pPr>
                    <w:pStyle w:val="NormlnodsazenNadpis2"/>
                    <w:ind w:left="0"/>
                    <w:rPr>
                      <w:lang w:val="cs-CZ"/>
                    </w:rPr>
                  </w:pPr>
                  <w:r w:rsidRPr="00B90A17">
                    <w:rPr>
                      <w:lang w:val="cs-CZ"/>
                    </w:rPr>
                    <w:t>Měsíční nájem v Kč</w:t>
                  </w:r>
                </w:p>
              </w:tc>
              <w:tc>
                <w:tcPr>
                  <w:tcW w:w="1985" w:type="dxa"/>
                </w:tcPr>
                <w:p w14:paraId="48198189" w14:textId="77777777" w:rsidR="009E6E47" w:rsidRPr="00B90A17" w:rsidRDefault="009E6E47" w:rsidP="009E6E47">
                  <w:pPr>
                    <w:pStyle w:val="NormlnodsazenNadpis2"/>
                    <w:ind w:left="0"/>
                    <w:rPr>
                      <w:lang w:val="cs-CZ"/>
                    </w:rPr>
                  </w:pPr>
                  <w:r w:rsidRPr="00B90A17">
                    <w:rPr>
                      <w:lang w:val="cs-CZ"/>
                    </w:rPr>
                    <w:t>Zatížení DPH</w:t>
                  </w:r>
                </w:p>
              </w:tc>
            </w:tr>
            <w:tr w:rsidR="006C4483" w:rsidRPr="00B90A17" w14:paraId="7E05726A" w14:textId="77777777" w:rsidTr="00396EDC">
              <w:tc>
                <w:tcPr>
                  <w:tcW w:w="2680" w:type="dxa"/>
                </w:tcPr>
                <w:p w14:paraId="1B214A82" w14:textId="10B9B518" w:rsidR="006C4483" w:rsidRPr="00B90A17" w:rsidRDefault="006C4483" w:rsidP="006C4483">
                  <w:pPr>
                    <w:pStyle w:val="NormlnodsazenNadpis2"/>
                    <w:numPr>
                      <w:ilvl w:val="0"/>
                      <w:numId w:val="24"/>
                    </w:numPr>
                    <w:rPr>
                      <w:lang w:val="cs-CZ"/>
                    </w:rPr>
                  </w:pPr>
                  <w:r>
                    <w:rPr>
                      <w:lang w:val="cs-CZ"/>
                    </w:rPr>
                    <w:t>Kancelářské p</w:t>
                  </w:r>
                  <w:r w:rsidRPr="00B90A17">
                    <w:rPr>
                      <w:lang w:val="cs-CZ"/>
                    </w:rPr>
                    <w:t>rostory</w:t>
                  </w:r>
                  <w:r>
                    <w:rPr>
                      <w:lang w:val="cs-CZ"/>
                    </w:rPr>
                    <w:t xml:space="preserve"> – 92,1 m</w:t>
                  </w:r>
                  <w:r w:rsidRPr="003552E5">
                    <w:rPr>
                      <w:vertAlign w:val="superscript"/>
                      <w:lang w:val="cs-CZ"/>
                    </w:rPr>
                    <w:t>2</w:t>
                  </w:r>
                </w:p>
              </w:tc>
              <w:tc>
                <w:tcPr>
                  <w:tcW w:w="1559" w:type="dxa"/>
                </w:tcPr>
                <w:p w14:paraId="673423A8" w14:textId="32014F47" w:rsidR="006C4483" w:rsidRPr="00B90A17" w:rsidRDefault="00D30393" w:rsidP="006C4483">
                  <w:pPr>
                    <w:pStyle w:val="NormlnodsazenNadpis2"/>
                    <w:ind w:left="0"/>
                    <w:rPr>
                      <w:lang w:val="cs-CZ"/>
                    </w:rPr>
                  </w:pPr>
                  <w:proofErr w:type="spellStart"/>
                  <w:r w:rsidRPr="00D30393">
                    <w:rPr>
                      <w:highlight w:val="black"/>
                      <w:lang w:val="cs-CZ"/>
                    </w:rPr>
                    <w:t>xxxxxxxxxx</w:t>
                  </w:r>
                  <w:proofErr w:type="spellEnd"/>
                </w:p>
              </w:tc>
              <w:tc>
                <w:tcPr>
                  <w:tcW w:w="2126" w:type="dxa"/>
                </w:tcPr>
                <w:p w14:paraId="5648DA58" w14:textId="0E4FF135" w:rsidR="006C4483" w:rsidRPr="006C4483" w:rsidRDefault="00D30393" w:rsidP="006C4483">
                  <w:pPr>
                    <w:pStyle w:val="NormlnodsazenNadpis2"/>
                    <w:ind w:left="0"/>
                    <w:rPr>
                      <w:lang w:val="cs-CZ"/>
                    </w:rPr>
                  </w:pPr>
                  <w:proofErr w:type="spellStart"/>
                  <w:r w:rsidRPr="00D30393">
                    <w:rPr>
                      <w:highlight w:val="black"/>
                      <w:lang w:val="cs-CZ"/>
                    </w:rPr>
                    <w:t>xxxxxxxxxx</w:t>
                  </w:r>
                  <w:proofErr w:type="spellEnd"/>
                </w:p>
              </w:tc>
              <w:tc>
                <w:tcPr>
                  <w:tcW w:w="1985" w:type="dxa"/>
                </w:tcPr>
                <w:p w14:paraId="43ED348A" w14:textId="15FBDEB7" w:rsidR="006C4483" w:rsidRPr="00B90A17" w:rsidRDefault="00D30393" w:rsidP="006C4483">
                  <w:pPr>
                    <w:pStyle w:val="NormlnodsazenNadpis2"/>
                    <w:ind w:left="0"/>
                    <w:rPr>
                      <w:lang w:val="cs-CZ"/>
                    </w:rPr>
                  </w:pPr>
                  <w:proofErr w:type="spellStart"/>
                  <w:r w:rsidRPr="00D30393">
                    <w:rPr>
                      <w:highlight w:val="black"/>
                      <w:lang w:val="cs-CZ"/>
                    </w:rPr>
                    <w:t>xxxxxxxxxx</w:t>
                  </w:r>
                  <w:proofErr w:type="spellEnd"/>
                </w:p>
              </w:tc>
            </w:tr>
            <w:tr w:rsidR="006C4483" w:rsidRPr="00B90A17" w14:paraId="1436577E" w14:textId="77777777" w:rsidTr="00396EDC">
              <w:tc>
                <w:tcPr>
                  <w:tcW w:w="2680" w:type="dxa"/>
                </w:tcPr>
                <w:p w14:paraId="424F1DA8" w14:textId="2A2BD619" w:rsidR="006C4483" w:rsidRDefault="006C4483" w:rsidP="006C4483">
                  <w:pPr>
                    <w:pStyle w:val="NormlnodsazenNadpis2"/>
                    <w:numPr>
                      <w:ilvl w:val="0"/>
                      <w:numId w:val="24"/>
                    </w:numPr>
                    <w:rPr>
                      <w:lang w:val="cs-CZ"/>
                    </w:rPr>
                  </w:pPr>
                  <w:r>
                    <w:rPr>
                      <w:lang w:val="cs-CZ"/>
                    </w:rPr>
                    <w:t>Ostatní plocha – 135,9 m</w:t>
                  </w:r>
                  <w:r w:rsidRPr="003552E5">
                    <w:rPr>
                      <w:vertAlign w:val="superscript"/>
                      <w:lang w:val="cs-CZ"/>
                    </w:rPr>
                    <w:t>2</w:t>
                  </w:r>
                </w:p>
              </w:tc>
              <w:tc>
                <w:tcPr>
                  <w:tcW w:w="1559" w:type="dxa"/>
                </w:tcPr>
                <w:p w14:paraId="70319197" w14:textId="7637C695" w:rsidR="006C4483" w:rsidRPr="00B90A17" w:rsidRDefault="00D30393" w:rsidP="006C4483">
                  <w:pPr>
                    <w:pStyle w:val="NormlnodsazenNadpis2"/>
                    <w:ind w:left="0"/>
                    <w:rPr>
                      <w:lang w:val="cs-CZ"/>
                    </w:rPr>
                  </w:pPr>
                  <w:proofErr w:type="spellStart"/>
                  <w:r w:rsidRPr="00D30393">
                    <w:rPr>
                      <w:highlight w:val="black"/>
                      <w:lang w:val="cs-CZ"/>
                    </w:rPr>
                    <w:t>X</w:t>
                  </w:r>
                  <w:r w:rsidRPr="00D30393">
                    <w:rPr>
                      <w:highlight w:val="black"/>
                      <w:lang w:val="cs-CZ"/>
                    </w:rPr>
                    <w:t>xxxxxxxxx</w:t>
                  </w:r>
                  <w:proofErr w:type="spellEnd"/>
                </w:p>
              </w:tc>
              <w:tc>
                <w:tcPr>
                  <w:tcW w:w="2126" w:type="dxa"/>
                </w:tcPr>
                <w:p w14:paraId="38AB4CB6" w14:textId="6AD3317E" w:rsidR="006C4483" w:rsidRPr="006C4483" w:rsidRDefault="00D30393" w:rsidP="006C4483">
                  <w:pPr>
                    <w:pStyle w:val="NormlnodsazenNadpis2"/>
                    <w:ind w:left="0"/>
                    <w:rPr>
                      <w:lang w:val="cs-CZ"/>
                    </w:rPr>
                  </w:pPr>
                  <w:proofErr w:type="spellStart"/>
                  <w:r w:rsidRPr="00D30393">
                    <w:rPr>
                      <w:highlight w:val="black"/>
                      <w:lang w:val="cs-CZ"/>
                    </w:rPr>
                    <w:t>xxxxxxxxxx</w:t>
                  </w:r>
                  <w:proofErr w:type="spellEnd"/>
                </w:p>
              </w:tc>
              <w:tc>
                <w:tcPr>
                  <w:tcW w:w="1985" w:type="dxa"/>
                </w:tcPr>
                <w:p w14:paraId="1EAAA987" w14:textId="150ADE6A" w:rsidR="006C4483" w:rsidRPr="00B90A17" w:rsidRDefault="00D30393" w:rsidP="006C4483">
                  <w:pPr>
                    <w:pStyle w:val="NormlnodsazenNadpis2"/>
                    <w:ind w:left="0"/>
                    <w:rPr>
                      <w:lang w:val="cs-CZ"/>
                    </w:rPr>
                  </w:pPr>
                  <w:proofErr w:type="spellStart"/>
                  <w:r w:rsidRPr="00D30393">
                    <w:rPr>
                      <w:highlight w:val="black"/>
                      <w:lang w:val="cs-CZ"/>
                    </w:rPr>
                    <w:t>X</w:t>
                  </w:r>
                  <w:r w:rsidRPr="00D30393">
                    <w:rPr>
                      <w:highlight w:val="black"/>
                      <w:lang w:val="cs-CZ"/>
                    </w:rPr>
                    <w:t>xxxxxxxxx</w:t>
                  </w:r>
                  <w:proofErr w:type="spellEnd"/>
                </w:p>
              </w:tc>
            </w:tr>
            <w:tr w:rsidR="006C4483" w:rsidRPr="00B90A17" w14:paraId="3FB6253B" w14:textId="77777777" w:rsidTr="00396EDC">
              <w:tc>
                <w:tcPr>
                  <w:tcW w:w="2680" w:type="dxa"/>
                </w:tcPr>
                <w:p w14:paraId="0F8931FE" w14:textId="44678B0B" w:rsidR="006C4483" w:rsidRDefault="006C4483" w:rsidP="006C4483">
                  <w:pPr>
                    <w:pStyle w:val="NormlnodsazenNadpis2"/>
                    <w:numPr>
                      <w:ilvl w:val="0"/>
                      <w:numId w:val="24"/>
                    </w:numPr>
                    <w:rPr>
                      <w:lang w:val="cs-CZ"/>
                    </w:rPr>
                  </w:pPr>
                  <w:r>
                    <w:rPr>
                      <w:lang w:val="cs-CZ"/>
                    </w:rPr>
                    <w:t>Parkovací stání</w:t>
                  </w:r>
                </w:p>
              </w:tc>
              <w:tc>
                <w:tcPr>
                  <w:tcW w:w="1559" w:type="dxa"/>
                </w:tcPr>
                <w:p w14:paraId="1D4F92ED" w14:textId="7B3A2864" w:rsidR="006C4483" w:rsidRDefault="00D30393" w:rsidP="006C4483">
                  <w:pPr>
                    <w:pStyle w:val="NormlnodsazenNadpis2"/>
                    <w:ind w:left="0"/>
                    <w:rPr>
                      <w:lang w:val="cs-CZ"/>
                    </w:rPr>
                  </w:pPr>
                  <w:proofErr w:type="spellStart"/>
                  <w:r w:rsidRPr="00D30393">
                    <w:rPr>
                      <w:highlight w:val="black"/>
                      <w:lang w:val="cs-CZ"/>
                    </w:rPr>
                    <w:t>X</w:t>
                  </w:r>
                  <w:r w:rsidRPr="00D30393">
                    <w:rPr>
                      <w:highlight w:val="black"/>
                      <w:lang w:val="cs-CZ"/>
                    </w:rPr>
                    <w:t>xxxxxxxxx</w:t>
                  </w:r>
                  <w:proofErr w:type="spellEnd"/>
                </w:p>
              </w:tc>
              <w:tc>
                <w:tcPr>
                  <w:tcW w:w="2126" w:type="dxa"/>
                </w:tcPr>
                <w:p w14:paraId="10C443AD" w14:textId="23414E9A" w:rsidR="006C4483" w:rsidRPr="006C4483" w:rsidRDefault="00D30393" w:rsidP="006C4483">
                  <w:pPr>
                    <w:pStyle w:val="NormlnodsazenNadpis2"/>
                    <w:ind w:left="0"/>
                    <w:rPr>
                      <w:lang w:val="cs-CZ"/>
                    </w:rPr>
                  </w:pPr>
                  <w:proofErr w:type="spellStart"/>
                  <w:r w:rsidRPr="00D30393">
                    <w:rPr>
                      <w:highlight w:val="black"/>
                      <w:lang w:val="cs-CZ"/>
                    </w:rPr>
                    <w:t>xxxxxxxxxx</w:t>
                  </w:r>
                  <w:proofErr w:type="spellEnd"/>
                </w:p>
              </w:tc>
              <w:tc>
                <w:tcPr>
                  <w:tcW w:w="1985" w:type="dxa"/>
                </w:tcPr>
                <w:p w14:paraId="5464F274" w14:textId="603D15FB" w:rsidR="006C4483" w:rsidRPr="00B90A17" w:rsidRDefault="00D30393" w:rsidP="006C4483">
                  <w:pPr>
                    <w:pStyle w:val="NormlnodsazenNadpis2"/>
                    <w:ind w:left="0"/>
                    <w:rPr>
                      <w:lang w:val="cs-CZ"/>
                    </w:rPr>
                  </w:pPr>
                  <w:proofErr w:type="spellStart"/>
                  <w:r w:rsidRPr="00D30393">
                    <w:rPr>
                      <w:highlight w:val="black"/>
                      <w:lang w:val="cs-CZ"/>
                    </w:rPr>
                    <w:t>xxxxxxxxxx</w:t>
                  </w:r>
                  <w:proofErr w:type="spellEnd"/>
                </w:p>
              </w:tc>
            </w:tr>
            <w:tr w:rsidR="006C4483" w:rsidRPr="00B90A17" w14:paraId="7BC3E56F" w14:textId="77777777" w:rsidTr="00396EDC">
              <w:tc>
                <w:tcPr>
                  <w:tcW w:w="2680" w:type="dxa"/>
                </w:tcPr>
                <w:p w14:paraId="3F6A70D8" w14:textId="77777777" w:rsidR="006C4483" w:rsidRPr="00B90A17" w:rsidRDefault="006C4483" w:rsidP="006C4483">
                  <w:pPr>
                    <w:pStyle w:val="NormlnodsazenNadpis2"/>
                    <w:ind w:left="0"/>
                    <w:rPr>
                      <w:b/>
                      <w:lang w:val="cs-CZ"/>
                    </w:rPr>
                  </w:pPr>
                  <w:r w:rsidRPr="00B90A17">
                    <w:rPr>
                      <w:b/>
                      <w:lang w:val="cs-CZ"/>
                    </w:rPr>
                    <w:t>Měsíční nájemné celkem</w:t>
                  </w:r>
                </w:p>
              </w:tc>
              <w:tc>
                <w:tcPr>
                  <w:tcW w:w="1559" w:type="dxa"/>
                </w:tcPr>
                <w:p w14:paraId="7177F74A" w14:textId="77777777" w:rsidR="006C4483" w:rsidRPr="00B90A17" w:rsidRDefault="006C4483" w:rsidP="006C4483">
                  <w:pPr>
                    <w:pStyle w:val="NormlnodsazenNadpis2"/>
                    <w:ind w:left="0"/>
                    <w:rPr>
                      <w:lang w:val="cs-CZ"/>
                    </w:rPr>
                  </w:pPr>
                </w:p>
              </w:tc>
              <w:tc>
                <w:tcPr>
                  <w:tcW w:w="2126" w:type="dxa"/>
                </w:tcPr>
                <w:p w14:paraId="2256D682" w14:textId="4476145D" w:rsidR="006C4483" w:rsidRPr="006C4483" w:rsidRDefault="006C4483" w:rsidP="006C4483">
                  <w:pPr>
                    <w:pStyle w:val="NormlnodsazenNadpis2"/>
                    <w:ind w:left="0"/>
                    <w:rPr>
                      <w:b/>
                      <w:lang w:val="cs-CZ"/>
                    </w:rPr>
                  </w:pPr>
                  <w:r w:rsidRPr="006C4483">
                    <w:rPr>
                      <w:rFonts w:asciiTheme="minorHAnsi" w:hAnsiTheme="minorHAnsi"/>
                      <w:b/>
                      <w:lang w:val="cs-CZ"/>
                    </w:rPr>
                    <w:t xml:space="preserve">16.504,42 </w:t>
                  </w:r>
                </w:p>
              </w:tc>
              <w:tc>
                <w:tcPr>
                  <w:tcW w:w="1985" w:type="dxa"/>
                </w:tcPr>
                <w:p w14:paraId="7870002E" w14:textId="77777777" w:rsidR="006C4483" w:rsidRPr="00B90A17" w:rsidRDefault="006C4483" w:rsidP="006C4483">
                  <w:pPr>
                    <w:pStyle w:val="NormlnodsazenNadpis2"/>
                    <w:ind w:left="0"/>
                    <w:rPr>
                      <w:lang w:val="cs-CZ"/>
                    </w:rPr>
                  </w:pPr>
                </w:p>
              </w:tc>
            </w:tr>
          </w:tbl>
          <w:p w14:paraId="123AB8C7" w14:textId="77777777" w:rsidR="009E6E47" w:rsidRPr="00B90A17" w:rsidRDefault="009E6E47" w:rsidP="009E6E47">
            <w:pPr>
              <w:pStyle w:val="Nadpis2"/>
              <w:numPr>
                <w:ilvl w:val="0"/>
                <w:numId w:val="0"/>
              </w:numPr>
              <w:ind w:left="425"/>
              <w:outlineLvl w:val="1"/>
              <w:rPr>
                <w:lang w:val="cs-CZ"/>
              </w:rPr>
            </w:pPr>
          </w:p>
          <w:p w14:paraId="6EB81671" w14:textId="699E5D38" w:rsidR="00DA022D" w:rsidRPr="00B90A17" w:rsidRDefault="00956FD6" w:rsidP="00B2543F">
            <w:pPr>
              <w:pStyle w:val="Nadpis2"/>
              <w:numPr>
                <w:ilvl w:val="0"/>
                <w:numId w:val="0"/>
              </w:numPr>
              <w:ind w:left="425"/>
              <w:outlineLvl w:val="1"/>
              <w:rPr>
                <w:lang w:val="cs-CZ"/>
              </w:rPr>
            </w:pPr>
            <w:r w:rsidRPr="00B90A17">
              <w:rPr>
                <w:lang w:val="cs-CZ"/>
              </w:rPr>
              <w:t xml:space="preserve">Nájemné tedy činí </w:t>
            </w:r>
            <w:r w:rsidR="00B2543F">
              <w:rPr>
                <w:lang w:val="cs-CZ"/>
              </w:rPr>
              <w:t xml:space="preserve">po zaokrouhlení </w:t>
            </w:r>
            <w:r w:rsidR="00DA022D" w:rsidRPr="00B90A17">
              <w:rPr>
                <w:lang w:val="cs-CZ"/>
              </w:rPr>
              <w:t xml:space="preserve">celkem </w:t>
            </w:r>
            <w:proofErr w:type="gramStart"/>
            <w:r w:rsidR="00D9170E">
              <w:rPr>
                <w:b/>
                <w:lang w:val="cs-CZ"/>
              </w:rPr>
              <w:t>1</w:t>
            </w:r>
            <w:r w:rsidR="00B2543F">
              <w:rPr>
                <w:b/>
                <w:lang w:val="cs-CZ"/>
              </w:rPr>
              <w:t>6.</w:t>
            </w:r>
            <w:r w:rsidR="006C4483">
              <w:rPr>
                <w:b/>
                <w:lang w:val="cs-CZ"/>
              </w:rPr>
              <w:t>504</w:t>
            </w:r>
            <w:r w:rsidR="00B2543F">
              <w:rPr>
                <w:b/>
                <w:lang w:val="cs-CZ"/>
              </w:rPr>
              <w:t>,-</w:t>
            </w:r>
            <w:proofErr w:type="gramEnd"/>
            <w:r w:rsidR="00B2543F">
              <w:rPr>
                <w:b/>
                <w:lang w:val="cs-CZ"/>
              </w:rPr>
              <w:t xml:space="preserve"> </w:t>
            </w:r>
            <w:r w:rsidR="00DA022D" w:rsidRPr="00B90A17">
              <w:rPr>
                <w:b/>
                <w:lang w:val="cs-CZ"/>
              </w:rPr>
              <w:t>Kč</w:t>
            </w:r>
            <w:r w:rsidR="00084426" w:rsidRPr="00B90A17">
              <w:rPr>
                <w:b/>
                <w:lang w:val="cs-CZ"/>
              </w:rPr>
              <w:t xml:space="preserve"> </w:t>
            </w:r>
            <w:r w:rsidR="00DA022D" w:rsidRPr="00B90A17">
              <w:rPr>
                <w:lang w:val="cs-CZ"/>
              </w:rPr>
              <w:t>za měsíc</w:t>
            </w:r>
            <w:r w:rsidR="00D9170E">
              <w:rPr>
                <w:lang w:val="cs-CZ"/>
              </w:rPr>
              <w:t xml:space="preserve"> včetně DPH </w:t>
            </w:r>
            <w:r w:rsidR="00DA022D" w:rsidRPr="00B90A17">
              <w:rPr>
                <w:lang w:val="cs-CZ"/>
              </w:rPr>
              <w:t>(„</w:t>
            </w:r>
            <w:r w:rsidR="00DA022D" w:rsidRPr="00B90A17">
              <w:rPr>
                <w:b/>
                <w:lang w:val="cs-CZ"/>
              </w:rPr>
              <w:t>Nájemné</w:t>
            </w:r>
            <w:r w:rsidR="00DA022D" w:rsidRPr="00B90A17">
              <w:rPr>
                <w:lang w:val="cs-CZ"/>
              </w:rPr>
              <w:t xml:space="preserve">“). </w:t>
            </w:r>
            <w:r w:rsidR="00E60D20" w:rsidRPr="00B90A17">
              <w:rPr>
                <w:lang w:val="cs-CZ"/>
              </w:rPr>
              <w:t xml:space="preserve">K dohodnuté </w:t>
            </w:r>
            <w:r w:rsidR="00976003" w:rsidRPr="00B90A17">
              <w:rPr>
                <w:lang w:val="cs-CZ"/>
              </w:rPr>
              <w:t xml:space="preserve">výši </w:t>
            </w:r>
            <w:r w:rsidR="00E60D20" w:rsidRPr="00B90A17">
              <w:rPr>
                <w:lang w:val="cs-CZ"/>
              </w:rPr>
              <w:t xml:space="preserve">Nájemného </w:t>
            </w:r>
            <w:r w:rsidR="00D9170E">
              <w:rPr>
                <w:lang w:val="cs-CZ"/>
              </w:rPr>
              <w:t xml:space="preserve">není </w:t>
            </w:r>
            <w:r w:rsidR="003552E5">
              <w:rPr>
                <w:lang w:val="cs-CZ"/>
              </w:rPr>
              <w:t xml:space="preserve">u položky a) a b) </w:t>
            </w:r>
            <w:r w:rsidR="00E60D20" w:rsidRPr="00B90A17">
              <w:rPr>
                <w:lang w:val="cs-CZ"/>
              </w:rPr>
              <w:t>účtováno DPH</w:t>
            </w:r>
            <w:r w:rsidR="00976003" w:rsidRPr="00B90A17">
              <w:rPr>
                <w:lang w:val="cs-CZ"/>
              </w:rPr>
              <w:t xml:space="preserve"> </w:t>
            </w:r>
            <w:r w:rsidR="00084426" w:rsidRPr="00B90A17">
              <w:rPr>
                <w:lang w:val="cs-CZ"/>
              </w:rPr>
              <w:t>v zákonné výši dle platných právních předpisů</w:t>
            </w:r>
            <w:r w:rsidR="003552E5">
              <w:rPr>
                <w:lang w:val="cs-CZ"/>
              </w:rPr>
              <w:t xml:space="preserve">, jelikož tyto položky jsou osvobozeny od DPH dle </w:t>
            </w:r>
            <w:proofErr w:type="spellStart"/>
            <w:r w:rsidR="003552E5">
              <w:rPr>
                <w:lang w:val="cs-CZ"/>
              </w:rPr>
              <w:t>ust</w:t>
            </w:r>
            <w:proofErr w:type="spellEnd"/>
            <w:r w:rsidR="003552E5">
              <w:rPr>
                <w:lang w:val="cs-CZ"/>
              </w:rPr>
              <w:t xml:space="preserve">. § 56 zákona č. 235/2004 Sb., o dani z přidané hodnoty. K položce písm. c) bude DPH v zákonné výši účtováno. </w:t>
            </w:r>
          </w:p>
        </w:tc>
      </w:tr>
      <w:tr w:rsidR="00DA022D" w:rsidRPr="004F2FF3" w14:paraId="043638F1" w14:textId="77777777" w:rsidTr="007808D5">
        <w:tc>
          <w:tcPr>
            <w:tcW w:w="9997" w:type="dxa"/>
          </w:tcPr>
          <w:p w14:paraId="13AF3EF9" w14:textId="77777777" w:rsidR="00DA022D" w:rsidRPr="00B90A17" w:rsidRDefault="00DA022D" w:rsidP="00DA022D">
            <w:pPr>
              <w:rPr>
                <w:lang w:val="cs-CZ"/>
              </w:rPr>
            </w:pPr>
          </w:p>
        </w:tc>
      </w:tr>
      <w:tr w:rsidR="00F83514" w:rsidRPr="004F2FF3" w14:paraId="0A06CFF2" w14:textId="77777777" w:rsidTr="007808D5">
        <w:tc>
          <w:tcPr>
            <w:tcW w:w="9997" w:type="dxa"/>
          </w:tcPr>
          <w:p w14:paraId="0290D9F9" w14:textId="4CD5591A" w:rsidR="00F83514" w:rsidRPr="00B90A17" w:rsidRDefault="00F83514" w:rsidP="00F83514">
            <w:pPr>
              <w:pStyle w:val="Nadpis2"/>
              <w:outlineLvl w:val="1"/>
              <w:rPr>
                <w:lang w:val="cs-CZ"/>
              </w:rPr>
            </w:pPr>
            <w:r>
              <w:rPr>
                <w:lang w:val="cs-CZ"/>
              </w:rPr>
              <w:t>V </w:t>
            </w:r>
            <w:r w:rsidR="00D74990">
              <w:rPr>
                <w:lang w:val="cs-CZ"/>
              </w:rPr>
              <w:t>N</w:t>
            </w:r>
            <w:r>
              <w:rPr>
                <w:lang w:val="cs-CZ"/>
              </w:rPr>
              <w:t xml:space="preserve">ájemném není </w:t>
            </w:r>
            <w:r w:rsidR="00D74990">
              <w:rPr>
                <w:lang w:val="cs-CZ"/>
              </w:rPr>
              <w:t>zahrnuta cena služeb poskytovaných v souvislosti s užíváním Prostor.</w:t>
            </w:r>
          </w:p>
        </w:tc>
      </w:tr>
      <w:tr w:rsidR="00F83514" w:rsidRPr="004F2FF3" w14:paraId="0E1EE783" w14:textId="77777777" w:rsidTr="007808D5">
        <w:tc>
          <w:tcPr>
            <w:tcW w:w="9997" w:type="dxa"/>
          </w:tcPr>
          <w:p w14:paraId="42248569" w14:textId="77777777" w:rsidR="00F83514" w:rsidRPr="00B90A17" w:rsidRDefault="00F83514" w:rsidP="00DA022D">
            <w:pPr>
              <w:rPr>
                <w:lang w:val="cs-CZ"/>
              </w:rPr>
            </w:pPr>
          </w:p>
        </w:tc>
      </w:tr>
      <w:tr w:rsidR="00DA022D" w:rsidRPr="00B90A17" w14:paraId="754A4195" w14:textId="77777777" w:rsidTr="007808D5">
        <w:tc>
          <w:tcPr>
            <w:tcW w:w="9997" w:type="dxa"/>
          </w:tcPr>
          <w:p w14:paraId="4B23DF44" w14:textId="77777777" w:rsidR="009B62E0" w:rsidRPr="00B90A17" w:rsidRDefault="00DA022D" w:rsidP="00084426">
            <w:pPr>
              <w:pStyle w:val="Nadpis2"/>
              <w:outlineLvl w:val="1"/>
              <w:rPr>
                <w:lang w:val="cs-CZ"/>
              </w:rPr>
            </w:pPr>
            <w:r w:rsidRPr="00B90A17">
              <w:rPr>
                <w:lang w:val="cs-CZ"/>
              </w:rPr>
              <w:t xml:space="preserve">Vedle Nájemného se Nájemce zavazuje hradit Pronajímateli </w:t>
            </w:r>
            <w:r w:rsidR="009B62E0" w:rsidRPr="00B90A17">
              <w:rPr>
                <w:lang w:val="cs-CZ"/>
              </w:rPr>
              <w:t xml:space="preserve">následující </w:t>
            </w:r>
            <w:r w:rsidRPr="00B90A17">
              <w:rPr>
                <w:lang w:val="cs-CZ"/>
              </w:rPr>
              <w:t>zálohy na poplatky za služby</w:t>
            </w:r>
            <w:r w:rsidR="009B62E0" w:rsidRPr="00B90A17">
              <w:rPr>
                <w:lang w:val="cs-CZ"/>
              </w:rPr>
              <w:t>:</w:t>
            </w:r>
          </w:p>
          <w:p w14:paraId="52EFC4EB" w14:textId="77777777" w:rsidR="009B62E0" w:rsidRPr="00B90A17" w:rsidRDefault="009B62E0" w:rsidP="009B62E0">
            <w:pPr>
              <w:pStyle w:val="Odstavecseseznamem"/>
              <w:ind w:left="360"/>
              <w:rPr>
                <w:lang w:val="cs-CZ"/>
              </w:rPr>
            </w:pPr>
          </w:p>
          <w:tbl>
            <w:tblPr>
              <w:tblStyle w:val="Mkatabulky"/>
              <w:tblW w:w="0" w:type="auto"/>
              <w:tblInd w:w="360" w:type="dxa"/>
              <w:tblLook w:val="04A0" w:firstRow="1" w:lastRow="0" w:firstColumn="1" w:lastColumn="0" w:noHBand="0" w:noVBand="1"/>
            </w:tblPr>
            <w:tblGrid>
              <w:gridCol w:w="4239"/>
              <w:gridCol w:w="2551"/>
              <w:gridCol w:w="2014"/>
            </w:tblGrid>
            <w:tr w:rsidR="009B62E0" w:rsidRPr="00B90A17" w14:paraId="6CC4B656" w14:textId="77777777" w:rsidTr="00396EDC">
              <w:tc>
                <w:tcPr>
                  <w:tcW w:w="4239" w:type="dxa"/>
                </w:tcPr>
                <w:p w14:paraId="53625D1D" w14:textId="77777777" w:rsidR="009B62E0" w:rsidRPr="00B90A17" w:rsidRDefault="009B62E0" w:rsidP="009B62E0">
                  <w:pPr>
                    <w:pStyle w:val="Odstavecseseznamem"/>
                    <w:ind w:left="0"/>
                    <w:rPr>
                      <w:lang w:val="cs-CZ"/>
                    </w:rPr>
                  </w:pPr>
                  <w:r w:rsidRPr="00B90A17">
                    <w:rPr>
                      <w:lang w:val="cs-CZ"/>
                    </w:rPr>
                    <w:t>Zálohy na energie</w:t>
                  </w:r>
                </w:p>
              </w:tc>
              <w:tc>
                <w:tcPr>
                  <w:tcW w:w="2551" w:type="dxa"/>
                </w:tcPr>
                <w:p w14:paraId="7F9AF108" w14:textId="77777777" w:rsidR="009B62E0" w:rsidRPr="00B90A17" w:rsidRDefault="009B62E0" w:rsidP="009B62E0">
                  <w:pPr>
                    <w:pStyle w:val="Odstavecseseznamem"/>
                    <w:ind w:left="0"/>
                    <w:rPr>
                      <w:lang w:val="cs-CZ"/>
                    </w:rPr>
                  </w:pPr>
                  <w:r w:rsidRPr="00B90A17">
                    <w:rPr>
                      <w:lang w:val="cs-CZ"/>
                    </w:rPr>
                    <w:t>Měsíční výše zálohy v Kč</w:t>
                  </w:r>
                </w:p>
              </w:tc>
              <w:tc>
                <w:tcPr>
                  <w:tcW w:w="2014" w:type="dxa"/>
                </w:tcPr>
                <w:p w14:paraId="761DB564" w14:textId="77777777" w:rsidR="009B62E0" w:rsidRPr="00B90A17" w:rsidRDefault="009B62E0" w:rsidP="009B62E0">
                  <w:pPr>
                    <w:pStyle w:val="Odstavecseseznamem"/>
                    <w:ind w:left="0"/>
                    <w:rPr>
                      <w:lang w:val="cs-CZ"/>
                    </w:rPr>
                  </w:pPr>
                  <w:r w:rsidRPr="00B90A17">
                    <w:rPr>
                      <w:lang w:val="cs-CZ"/>
                    </w:rPr>
                    <w:t>Zatížení DPH</w:t>
                  </w:r>
                </w:p>
              </w:tc>
            </w:tr>
            <w:tr w:rsidR="009B62E0" w:rsidRPr="00B90A17" w14:paraId="3F76B966" w14:textId="77777777" w:rsidTr="00396EDC">
              <w:tc>
                <w:tcPr>
                  <w:tcW w:w="4239" w:type="dxa"/>
                </w:tcPr>
                <w:p w14:paraId="5193E891" w14:textId="77777777" w:rsidR="009B62E0" w:rsidRPr="00B90A17" w:rsidRDefault="009B62E0" w:rsidP="009B62E0">
                  <w:pPr>
                    <w:pStyle w:val="Odstavecseseznamem"/>
                    <w:numPr>
                      <w:ilvl w:val="0"/>
                      <w:numId w:val="26"/>
                    </w:numPr>
                    <w:rPr>
                      <w:lang w:val="cs-CZ"/>
                    </w:rPr>
                  </w:pPr>
                  <w:r w:rsidRPr="00B90A17">
                    <w:rPr>
                      <w:lang w:val="cs-CZ"/>
                    </w:rPr>
                    <w:t>elektrická energie</w:t>
                  </w:r>
                </w:p>
              </w:tc>
              <w:tc>
                <w:tcPr>
                  <w:tcW w:w="2551" w:type="dxa"/>
                </w:tcPr>
                <w:p w14:paraId="324DEF19" w14:textId="3D76F273" w:rsidR="009B62E0" w:rsidRPr="00B90A17" w:rsidRDefault="00D30393" w:rsidP="00D74990">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72DA658D" w14:textId="0DCDDB9B" w:rsidR="009B62E0" w:rsidRPr="00B90A17" w:rsidRDefault="00D30393" w:rsidP="009B62E0">
                  <w:pPr>
                    <w:pStyle w:val="Odstavecseseznamem"/>
                    <w:ind w:left="0"/>
                    <w:rPr>
                      <w:lang w:val="cs-CZ"/>
                    </w:rPr>
                  </w:pPr>
                  <w:proofErr w:type="spellStart"/>
                  <w:r w:rsidRPr="00D30393">
                    <w:rPr>
                      <w:highlight w:val="black"/>
                      <w:lang w:val="cs-CZ"/>
                    </w:rPr>
                    <w:t>xxxxxxxxxx</w:t>
                  </w:r>
                  <w:proofErr w:type="spellEnd"/>
                </w:p>
              </w:tc>
            </w:tr>
            <w:tr w:rsidR="009B62E0" w:rsidRPr="00B90A17" w14:paraId="589347A5" w14:textId="77777777" w:rsidTr="00396EDC">
              <w:tc>
                <w:tcPr>
                  <w:tcW w:w="4239" w:type="dxa"/>
                </w:tcPr>
                <w:p w14:paraId="48B35C8A" w14:textId="3208AF75" w:rsidR="009B62E0" w:rsidRPr="00B90A17" w:rsidRDefault="009B62E0" w:rsidP="009B62E0">
                  <w:pPr>
                    <w:pStyle w:val="Odstavecseseznamem"/>
                    <w:numPr>
                      <w:ilvl w:val="0"/>
                      <w:numId w:val="26"/>
                    </w:numPr>
                    <w:rPr>
                      <w:lang w:val="cs-CZ"/>
                    </w:rPr>
                  </w:pPr>
                  <w:r w:rsidRPr="00B90A17">
                    <w:rPr>
                      <w:lang w:val="cs-CZ"/>
                    </w:rPr>
                    <w:t>teplo</w:t>
                  </w:r>
                  <w:r w:rsidR="00D74990">
                    <w:rPr>
                      <w:lang w:val="cs-CZ"/>
                    </w:rPr>
                    <w:t xml:space="preserve"> (plyn)</w:t>
                  </w:r>
                </w:p>
              </w:tc>
              <w:tc>
                <w:tcPr>
                  <w:tcW w:w="2551" w:type="dxa"/>
                </w:tcPr>
                <w:p w14:paraId="23F1F5D9" w14:textId="62B0B399" w:rsidR="009B62E0" w:rsidRPr="00B90A17" w:rsidRDefault="00D30393" w:rsidP="00D74990">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147145E6" w14:textId="4821AD86" w:rsidR="009B62E0" w:rsidRPr="00B90A17" w:rsidRDefault="00D30393" w:rsidP="009B62E0">
                  <w:pPr>
                    <w:pStyle w:val="Odstavecseseznamem"/>
                    <w:ind w:left="0"/>
                    <w:rPr>
                      <w:lang w:val="cs-CZ"/>
                    </w:rPr>
                  </w:pPr>
                  <w:proofErr w:type="spellStart"/>
                  <w:r w:rsidRPr="00D30393">
                    <w:rPr>
                      <w:highlight w:val="black"/>
                      <w:lang w:val="cs-CZ"/>
                    </w:rPr>
                    <w:t>xxxxxxxxxx</w:t>
                  </w:r>
                  <w:proofErr w:type="spellEnd"/>
                </w:p>
              </w:tc>
            </w:tr>
            <w:tr w:rsidR="009B62E0" w:rsidRPr="00B90A17" w14:paraId="7611EF6C" w14:textId="77777777" w:rsidTr="00396EDC">
              <w:tc>
                <w:tcPr>
                  <w:tcW w:w="4239" w:type="dxa"/>
                </w:tcPr>
                <w:p w14:paraId="25305C89" w14:textId="77777777" w:rsidR="009B62E0" w:rsidRPr="00B90A17" w:rsidRDefault="009B62E0" w:rsidP="009B62E0">
                  <w:pPr>
                    <w:pStyle w:val="Odstavecseseznamem"/>
                    <w:numPr>
                      <w:ilvl w:val="0"/>
                      <w:numId w:val="26"/>
                    </w:numPr>
                    <w:rPr>
                      <w:lang w:val="cs-CZ"/>
                    </w:rPr>
                  </w:pPr>
                  <w:r w:rsidRPr="00B90A17">
                    <w:rPr>
                      <w:lang w:val="cs-CZ"/>
                    </w:rPr>
                    <w:t>vodné, stočné</w:t>
                  </w:r>
                </w:p>
              </w:tc>
              <w:tc>
                <w:tcPr>
                  <w:tcW w:w="2551" w:type="dxa"/>
                </w:tcPr>
                <w:p w14:paraId="4B5AB435" w14:textId="6EDC010C" w:rsidR="009B62E0" w:rsidRPr="00B90A17" w:rsidRDefault="00D30393" w:rsidP="005A15E1">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71C0372F" w14:textId="572A97BB" w:rsidR="009B62E0" w:rsidRPr="00B90A17" w:rsidRDefault="00D30393" w:rsidP="009B62E0">
                  <w:pPr>
                    <w:pStyle w:val="Odstavecseseznamem"/>
                    <w:ind w:left="0"/>
                    <w:rPr>
                      <w:lang w:val="cs-CZ"/>
                    </w:rPr>
                  </w:pPr>
                  <w:proofErr w:type="spellStart"/>
                  <w:r w:rsidRPr="00D30393">
                    <w:rPr>
                      <w:highlight w:val="black"/>
                      <w:lang w:val="cs-CZ"/>
                    </w:rPr>
                    <w:t>xxxxxxxxxx</w:t>
                  </w:r>
                  <w:proofErr w:type="spellEnd"/>
                </w:p>
              </w:tc>
            </w:tr>
            <w:tr w:rsidR="009B62E0" w:rsidRPr="00B90A17" w14:paraId="6930726A" w14:textId="77777777" w:rsidTr="00396EDC">
              <w:tc>
                <w:tcPr>
                  <w:tcW w:w="4239" w:type="dxa"/>
                </w:tcPr>
                <w:p w14:paraId="291AEB10" w14:textId="77777777" w:rsidR="009B62E0" w:rsidRPr="00B90A17" w:rsidRDefault="009B62E0" w:rsidP="009B62E0">
                  <w:pPr>
                    <w:pStyle w:val="Odstavecseseznamem"/>
                    <w:ind w:left="0"/>
                    <w:rPr>
                      <w:b/>
                      <w:lang w:val="cs-CZ"/>
                    </w:rPr>
                  </w:pPr>
                  <w:r w:rsidRPr="00B90A17">
                    <w:rPr>
                      <w:b/>
                      <w:lang w:val="cs-CZ"/>
                    </w:rPr>
                    <w:t>Celková výše záloh na energie měsíčně</w:t>
                  </w:r>
                </w:p>
              </w:tc>
              <w:tc>
                <w:tcPr>
                  <w:tcW w:w="2551" w:type="dxa"/>
                </w:tcPr>
                <w:p w14:paraId="08B87CCA" w14:textId="784AFE25" w:rsidR="009B62E0" w:rsidRPr="00B90A17" w:rsidRDefault="00FC6150" w:rsidP="00D74990">
                  <w:pPr>
                    <w:pStyle w:val="Odstavecseseznamem"/>
                    <w:ind w:left="0"/>
                    <w:rPr>
                      <w:b/>
                      <w:lang w:val="cs-CZ"/>
                    </w:rPr>
                  </w:pPr>
                  <w:proofErr w:type="gramStart"/>
                  <w:r w:rsidRPr="00B90A17">
                    <w:rPr>
                      <w:b/>
                      <w:lang w:val="cs-CZ"/>
                    </w:rPr>
                    <w:t>1</w:t>
                  </w:r>
                  <w:r w:rsidR="00D74990">
                    <w:rPr>
                      <w:b/>
                      <w:lang w:val="cs-CZ"/>
                    </w:rPr>
                    <w:t>1.4</w:t>
                  </w:r>
                  <w:r w:rsidRPr="00B90A17">
                    <w:rPr>
                      <w:b/>
                      <w:lang w:val="cs-CZ"/>
                    </w:rPr>
                    <w:t>00</w:t>
                  </w:r>
                  <w:r w:rsidR="009B62E0" w:rsidRPr="00B90A17">
                    <w:rPr>
                      <w:b/>
                      <w:lang w:val="cs-CZ"/>
                    </w:rPr>
                    <w:t>,-</w:t>
                  </w:r>
                  <w:proofErr w:type="gramEnd"/>
                </w:p>
              </w:tc>
              <w:tc>
                <w:tcPr>
                  <w:tcW w:w="2014" w:type="dxa"/>
                </w:tcPr>
                <w:p w14:paraId="2897F8CC" w14:textId="77777777" w:rsidR="009B62E0" w:rsidRPr="00B90A17" w:rsidRDefault="009B62E0" w:rsidP="009B62E0">
                  <w:pPr>
                    <w:pStyle w:val="Odstavecseseznamem"/>
                    <w:ind w:left="0"/>
                    <w:rPr>
                      <w:lang w:val="cs-CZ"/>
                    </w:rPr>
                  </w:pPr>
                </w:p>
              </w:tc>
            </w:tr>
          </w:tbl>
          <w:p w14:paraId="5A8B6E43" w14:textId="29813F06" w:rsidR="00DA022D" w:rsidRPr="00B90A17" w:rsidRDefault="00DA022D" w:rsidP="009B62E0">
            <w:pPr>
              <w:pStyle w:val="Nadpis2"/>
              <w:numPr>
                <w:ilvl w:val="0"/>
                <w:numId w:val="0"/>
              </w:numPr>
              <w:outlineLvl w:val="1"/>
              <w:rPr>
                <w:lang w:val="cs-CZ"/>
              </w:rPr>
            </w:pPr>
          </w:p>
        </w:tc>
      </w:tr>
      <w:tr w:rsidR="009B62E0" w:rsidRPr="004F2FF3" w14:paraId="0404C3CD" w14:textId="77777777" w:rsidTr="007808D5">
        <w:tc>
          <w:tcPr>
            <w:tcW w:w="9997" w:type="dxa"/>
          </w:tcPr>
          <w:p w14:paraId="6CB22965" w14:textId="77777777" w:rsidR="00F64075" w:rsidRPr="00B90A17" w:rsidRDefault="00F64075" w:rsidP="009B62E0">
            <w:pPr>
              <w:pStyle w:val="Nadpis2"/>
              <w:numPr>
                <w:ilvl w:val="0"/>
                <w:numId w:val="0"/>
              </w:numPr>
              <w:ind w:left="425"/>
              <w:outlineLvl w:val="1"/>
              <w:rPr>
                <w:lang w:val="cs-CZ"/>
              </w:rPr>
            </w:pPr>
          </w:p>
          <w:p w14:paraId="71B33BA9" w14:textId="65042FFF" w:rsidR="009B62E0" w:rsidRPr="00B90A17" w:rsidRDefault="009B62E0" w:rsidP="009B62E0">
            <w:pPr>
              <w:pStyle w:val="Nadpis2"/>
              <w:numPr>
                <w:ilvl w:val="0"/>
                <w:numId w:val="0"/>
              </w:numPr>
              <w:ind w:left="425"/>
              <w:outlineLvl w:val="1"/>
              <w:rPr>
                <w:lang w:val="cs-CZ"/>
              </w:rPr>
            </w:pPr>
            <w:r w:rsidRPr="00B90A17">
              <w:rPr>
                <w:lang w:val="cs-CZ"/>
              </w:rPr>
              <w:t>Dále jen „</w:t>
            </w:r>
            <w:r w:rsidRPr="00B90A17">
              <w:rPr>
                <w:b/>
                <w:lang w:val="cs-CZ"/>
              </w:rPr>
              <w:t>Zálohy na energie</w:t>
            </w:r>
            <w:r w:rsidRPr="00B90A17">
              <w:rPr>
                <w:lang w:val="cs-CZ"/>
              </w:rPr>
              <w:t>“.</w:t>
            </w:r>
          </w:p>
        </w:tc>
      </w:tr>
      <w:tr w:rsidR="009B62E0" w:rsidRPr="004F2FF3" w14:paraId="761A1A1F" w14:textId="77777777" w:rsidTr="007808D5">
        <w:tc>
          <w:tcPr>
            <w:tcW w:w="9997" w:type="dxa"/>
          </w:tcPr>
          <w:p w14:paraId="2BB912FC" w14:textId="77777777" w:rsidR="009B62E0" w:rsidRPr="00B90A17" w:rsidRDefault="009B62E0" w:rsidP="009B62E0">
            <w:pPr>
              <w:pStyle w:val="Nadpis2"/>
              <w:numPr>
                <w:ilvl w:val="0"/>
                <w:numId w:val="0"/>
              </w:numPr>
              <w:ind w:left="425"/>
              <w:outlineLvl w:val="1"/>
              <w:rPr>
                <w:lang w:val="cs-CZ"/>
              </w:rPr>
            </w:pPr>
          </w:p>
        </w:tc>
      </w:tr>
      <w:tr w:rsidR="00DA022D" w:rsidRPr="00B90A17" w14:paraId="20EF32D3" w14:textId="77777777" w:rsidTr="007808D5">
        <w:tc>
          <w:tcPr>
            <w:tcW w:w="9997" w:type="dxa"/>
          </w:tcPr>
          <w:p w14:paraId="704B0A99" w14:textId="3EEDC8E3" w:rsidR="009B62E0" w:rsidRPr="00B90A17" w:rsidRDefault="009B62E0" w:rsidP="009B62E0">
            <w:pPr>
              <w:pStyle w:val="Nadpis2"/>
              <w:outlineLvl w:val="1"/>
              <w:rPr>
                <w:lang w:val="cs-CZ"/>
              </w:rPr>
            </w:pPr>
            <w:r w:rsidRPr="00B90A17">
              <w:rPr>
                <w:lang w:val="cs-CZ"/>
              </w:rPr>
              <w:t>Nájemce je rovněž povinen měsíčně platit za následující další služby spojené s nájmem, a to poplatky v paušální výši:</w:t>
            </w:r>
          </w:p>
          <w:p w14:paraId="09E2855F" w14:textId="77777777" w:rsidR="009B62E0" w:rsidRPr="00B90A17" w:rsidRDefault="009B62E0" w:rsidP="009B62E0">
            <w:pPr>
              <w:pStyle w:val="Odstavecseseznamem"/>
              <w:ind w:left="360"/>
              <w:rPr>
                <w:lang w:val="cs-CZ"/>
              </w:rPr>
            </w:pPr>
          </w:p>
          <w:tbl>
            <w:tblPr>
              <w:tblStyle w:val="Mkatabulky"/>
              <w:tblW w:w="0" w:type="auto"/>
              <w:tblInd w:w="360" w:type="dxa"/>
              <w:tblLook w:val="04A0" w:firstRow="1" w:lastRow="0" w:firstColumn="1" w:lastColumn="0" w:noHBand="0" w:noVBand="1"/>
            </w:tblPr>
            <w:tblGrid>
              <w:gridCol w:w="4489"/>
              <w:gridCol w:w="2301"/>
              <w:gridCol w:w="2014"/>
            </w:tblGrid>
            <w:tr w:rsidR="009B62E0" w:rsidRPr="00B90A17" w14:paraId="7670A081" w14:textId="77777777" w:rsidTr="00D74990">
              <w:tc>
                <w:tcPr>
                  <w:tcW w:w="4489" w:type="dxa"/>
                </w:tcPr>
                <w:p w14:paraId="522355AB" w14:textId="74370142" w:rsidR="009B62E0" w:rsidRPr="00B90A17" w:rsidRDefault="009B62E0" w:rsidP="009B62E0">
                  <w:pPr>
                    <w:pStyle w:val="Odstavecseseznamem"/>
                    <w:ind w:left="0"/>
                    <w:rPr>
                      <w:lang w:val="cs-CZ"/>
                    </w:rPr>
                  </w:pPr>
                  <w:r w:rsidRPr="00B90A17">
                    <w:rPr>
                      <w:lang w:val="cs-CZ"/>
                    </w:rPr>
                    <w:t>Další služby s nájmem</w:t>
                  </w:r>
                </w:p>
              </w:tc>
              <w:tc>
                <w:tcPr>
                  <w:tcW w:w="2301" w:type="dxa"/>
                </w:tcPr>
                <w:p w14:paraId="309A57E4" w14:textId="06C084F1" w:rsidR="009B62E0" w:rsidRPr="00B90A17" w:rsidRDefault="009B62E0" w:rsidP="009B62E0">
                  <w:pPr>
                    <w:pStyle w:val="Odstavecseseznamem"/>
                    <w:ind w:left="0"/>
                    <w:rPr>
                      <w:lang w:val="cs-CZ"/>
                    </w:rPr>
                  </w:pPr>
                  <w:r w:rsidRPr="00B90A17">
                    <w:rPr>
                      <w:lang w:val="cs-CZ"/>
                    </w:rPr>
                    <w:t>Měsíční výše poplatku v Kč</w:t>
                  </w:r>
                </w:p>
              </w:tc>
              <w:tc>
                <w:tcPr>
                  <w:tcW w:w="2014" w:type="dxa"/>
                </w:tcPr>
                <w:p w14:paraId="2C2A8658" w14:textId="77777777" w:rsidR="009B62E0" w:rsidRPr="00B90A17" w:rsidRDefault="009B62E0" w:rsidP="009B62E0">
                  <w:pPr>
                    <w:pStyle w:val="Odstavecseseznamem"/>
                    <w:ind w:left="0"/>
                    <w:rPr>
                      <w:lang w:val="cs-CZ"/>
                    </w:rPr>
                  </w:pPr>
                  <w:r w:rsidRPr="00B90A17">
                    <w:rPr>
                      <w:lang w:val="cs-CZ"/>
                    </w:rPr>
                    <w:t>Zatížení DPH</w:t>
                  </w:r>
                </w:p>
              </w:tc>
            </w:tr>
            <w:tr w:rsidR="009B62E0" w:rsidRPr="00B90A17" w14:paraId="568F6DD3" w14:textId="77777777" w:rsidTr="00D74990">
              <w:tc>
                <w:tcPr>
                  <w:tcW w:w="4489" w:type="dxa"/>
                </w:tcPr>
                <w:p w14:paraId="59CA5A17" w14:textId="7D1A4CB5" w:rsidR="009B62E0" w:rsidRPr="00B90A17" w:rsidRDefault="009B62E0" w:rsidP="009B62E0">
                  <w:pPr>
                    <w:pStyle w:val="Odstavecseseznamem"/>
                    <w:numPr>
                      <w:ilvl w:val="0"/>
                      <w:numId w:val="27"/>
                    </w:numPr>
                    <w:rPr>
                      <w:lang w:val="cs-CZ"/>
                    </w:rPr>
                  </w:pPr>
                  <w:r w:rsidRPr="00B90A17">
                    <w:rPr>
                      <w:lang w:val="cs-CZ"/>
                    </w:rPr>
                    <w:t>svoz a likvidace odpadů</w:t>
                  </w:r>
                  <w:r w:rsidR="00D74990">
                    <w:rPr>
                      <w:lang w:val="cs-CZ"/>
                    </w:rPr>
                    <w:t xml:space="preserve"> </w:t>
                  </w:r>
                </w:p>
              </w:tc>
              <w:tc>
                <w:tcPr>
                  <w:tcW w:w="2301" w:type="dxa"/>
                </w:tcPr>
                <w:p w14:paraId="42EF0D7B" w14:textId="4AF069DB" w:rsidR="009B62E0" w:rsidRPr="00B90A17" w:rsidRDefault="00D30393" w:rsidP="005A15E1">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67E4FB74" w14:textId="3765BF59" w:rsidR="009B62E0" w:rsidRPr="00B90A17" w:rsidRDefault="00D30393" w:rsidP="009B62E0">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r>
            <w:tr w:rsidR="009B62E0" w:rsidRPr="00B90A17" w14:paraId="60359AA3" w14:textId="77777777" w:rsidTr="00D74990">
              <w:tc>
                <w:tcPr>
                  <w:tcW w:w="4489" w:type="dxa"/>
                </w:tcPr>
                <w:p w14:paraId="57752BF1" w14:textId="6A6012F7" w:rsidR="009B62E0" w:rsidRPr="00B90A17" w:rsidRDefault="009B62E0" w:rsidP="009B62E0">
                  <w:pPr>
                    <w:pStyle w:val="Odstavecseseznamem"/>
                    <w:numPr>
                      <w:ilvl w:val="0"/>
                      <w:numId w:val="27"/>
                    </w:numPr>
                    <w:rPr>
                      <w:lang w:val="cs-CZ"/>
                    </w:rPr>
                  </w:pPr>
                  <w:r w:rsidRPr="00B90A17">
                    <w:rPr>
                      <w:lang w:val="cs-CZ"/>
                    </w:rPr>
                    <w:t>úklid společných prostor</w:t>
                  </w:r>
                  <w:r w:rsidR="00D74990">
                    <w:rPr>
                      <w:lang w:val="cs-CZ"/>
                    </w:rPr>
                    <w:t xml:space="preserve"> </w:t>
                  </w:r>
                </w:p>
              </w:tc>
              <w:tc>
                <w:tcPr>
                  <w:tcW w:w="2301" w:type="dxa"/>
                </w:tcPr>
                <w:p w14:paraId="452392CB" w14:textId="545BC251" w:rsidR="009B62E0" w:rsidRPr="00B90A17" w:rsidRDefault="00D30393" w:rsidP="00D74990">
                  <w:pPr>
                    <w:pStyle w:val="Odstavecseseznamem"/>
                    <w:ind w:left="0"/>
                    <w:rPr>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00C35236" w14:textId="61F57240" w:rsidR="009B62E0" w:rsidRPr="00B90A17" w:rsidRDefault="00D30393" w:rsidP="00976003">
                  <w:pPr>
                    <w:pStyle w:val="Odstavecseseznamem"/>
                    <w:ind w:left="0"/>
                    <w:rPr>
                      <w:lang w:val="cs-CZ"/>
                    </w:rPr>
                  </w:pPr>
                  <w:proofErr w:type="spellStart"/>
                  <w:r w:rsidRPr="00D30393">
                    <w:rPr>
                      <w:highlight w:val="black"/>
                      <w:lang w:val="cs-CZ"/>
                    </w:rPr>
                    <w:t>xxxxxxxxxx</w:t>
                  </w:r>
                  <w:proofErr w:type="spellEnd"/>
                </w:p>
              </w:tc>
            </w:tr>
            <w:tr w:rsidR="00D74990" w:rsidRPr="00B90A17" w14:paraId="48749EC5" w14:textId="77777777" w:rsidTr="00D74990">
              <w:tc>
                <w:tcPr>
                  <w:tcW w:w="4489" w:type="dxa"/>
                </w:tcPr>
                <w:p w14:paraId="00E1E3A9" w14:textId="3CFBCED9" w:rsidR="00D74990" w:rsidRPr="00B90A17" w:rsidRDefault="00D74990" w:rsidP="009B62E0">
                  <w:pPr>
                    <w:pStyle w:val="Odstavecseseznamem"/>
                    <w:numPr>
                      <w:ilvl w:val="0"/>
                      <w:numId w:val="27"/>
                    </w:numPr>
                    <w:rPr>
                      <w:lang w:val="cs-CZ"/>
                    </w:rPr>
                  </w:pPr>
                  <w:r>
                    <w:rPr>
                      <w:lang w:val="cs-CZ"/>
                    </w:rPr>
                    <w:t>úklid kanceláří dle požadavku</w:t>
                  </w:r>
                </w:p>
              </w:tc>
              <w:tc>
                <w:tcPr>
                  <w:tcW w:w="2301" w:type="dxa"/>
                </w:tcPr>
                <w:p w14:paraId="74E769DD" w14:textId="1CA4C8FD" w:rsidR="00D74990" w:rsidRPr="00B90A17" w:rsidRDefault="00D30393" w:rsidP="005A15E1">
                  <w:pPr>
                    <w:pStyle w:val="Odstavecseseznamem"/>
                    <w:ind w:left="0"/>
                    <w:rPr>
                      <w:rFonts w:asciiTheme="minorHAnsi" w:hAnsiTheme="minorHAnsi"/>
                      <w:lang w:val="cs-CZ"/>
                    </w:rPr>
                  </w:pPr>
                  <w:proofErr w:type="spellStart"/>
                  <w:r w:rsidRPr="00D30393">
                    <w:rPr>
                      <w:highlight w:val="black"/>
                      <w:lang w:val="cs-CZ"/>
                    </w:rPr>
                    <w:t>X</w:t>
                  </w:r>
                  <w:r w:rsidRPr="00D30393">
                    <w:rPr>
                      <w:highlight w:val="black"/>
                      <w:lang w:val="cs-CZ"/>
                    </w:rPr>
                    <w:t>xxxxxxxxx</w:t>
                  </w:r>
                  <w:proofErr w:type="spellEnd"/>
                </w:p>
              </w:tc>
              <w:tc>
                <w:tcPr>
                  <w:tcW w:w="2014" w:type="dxa"/>
                </w:tcPr>
                <w:p w14:paraId="6CD52836" w14:textId="60147343" w:rsidR="00D74990" w:rsidRPr="00B90A17" w:rsidRDefault="00D30393" w:rsidP="00976003">
                  <w:pPr>
                    <w:pStyle w:val="Odstavecseseznamem"/>
                    <w:ind w:left="0"/>
                    <w:rPr>
                      <w:lang w:val="cs-CZ"/>
                    </w:rPr>
                  </w:pPr>
                  <w:proofErr w:type="spellStart"/>
                  <w:r w:rsidRPr="00D30393">
                    <w:rPr>
                      <w:highlight w:val="black"/>
                      <w:lang w:val="cs-CZ"/>
                    </w:rPr>
                    <w:t>xxxxxxxxxx</w:t>
                  </w:r>
                  <w:proofErr w:type="spellEnd"/>
                </w:p>
              </w:tc>
            </w:tr>
            <w:tr w:rsidR="009B62E0" w:rsidRPr="00B90A17" w14:paraId="65216C5E" w14:textId="77777777" w:rsidTr="00D74990">
              <w:tc>
                <w:tcPr>
                  <w:tcW w:w="4489" w:type="dxa"/>
                </w:tcPr>
                <w:p w14:paraId="480A2603" w14:textId="32403525" w:rsidR="009B62E0" w:rsidRPr="00B90A17" w:rsidRDefault="009B62E0" w:rsidP="009B62E0">
                  <w:pPr>
                    <w:pStyle w:val="Odstavecseseznamem"/>
                    <w:ind w:left="0"/>
                    <w:rPr>
                      <w:b/>
                      <w:lang w:val="cs-CZ"/>
                    </w:rPr>
                  </w:pPr>
                  <w:r w:rsidRPr="00B90A17">
                    <w:rPr>
                      <w:b/>
                      <w:lang w:val="cs-CZ"/>
                    </w:rPr>
                    <w:t>Celková výše poplatků za služby měsíčně</w:t>
                  </w:r>
                </w:p>
              </w:tc>
              <w:tc>
                <w:tcPr>
                  <w:tcW w:w="2301" w:type="dxa"/>
                </w:tcPr>
                <w:p w14:paraId="486122B9" w14:textId="7540352D" w:rsidR="009B62E0" w:rsidRPr="00B90A17" w:rsidRDefault="00D74990" w:rsidP="00D74990">
                  <w:pPr>
                    <w:pStyle w:val="Odstavecseseznamem"/>
                    <w:ind w:left="0"/>
                    <w:rPr>
                      <w:lang w:val="cs-CZ"/>
                    </w:rPr>
                  </w:pPr>
                  <w:proofErr w:type="gramStart"/>
                  <w:r>
                    <w:rPr>
                      <w:b/>
                      <w:lang w:val="cs-CZ"/>
                    </w:rPr>
                    <w:t>3.984</w:t>
                  </w:r>
                  <w:r w:rsidR="005A15E1" w:rsidRPr="00B90A17">
                    <w:rPr>
                      <w:b/>
                      <w:lang w:val="cs-CZ"/>
                    </w:rPr>
                    <w:t>,-</w:t>
                  </w:r>
                  <w:proofErr w:type="gramEnd"/>
                </w:p>
              </w:tc>
              <w:tc>
                <w:tcPr>
                  <w:tcW w:w="2014" w:type="dxa"/>
                </w:tcPr>
                <w:p w14:paraId="517DE0AF" w14:textId="77777777" w:rsidR="009B62E0" w:rsidRPr="00B90A17" w:rsidRDefault="009B62E0" w:rsidP="009B62E0">
                  <w:pPr>
                    <w:pStyle w:val="Odstavecseseznamem"/>
                    <w:ind w:left="0"/>
                    <w:rPr>
                      <w:lang w:val="cs-CZ"/>
                    </w:rPr>
                  </w:pPr>
                </w:p>
              </w:tc>
            </w:tr>
          </w:tbl>
          <w:p w14:paraId="3CC2E831" w14:textId="77777777" w:rsidR="00DA022D" w:rsidRPr="00B90A17" w:rsidRDefault="00DA022D" w:rsidP="00DA022D">
            <w:pPr>
              <w:pStyle w:val="Nadpis2"/>
              <w:numPr>
                <w:ilvl w:val="0"/>
                <w:numId w:val="0"/>
              </w:numPr>
              <w:ind w:left="425" w:hanging="425"/>
              <w:outlineLvl w:val="1"/>
              <w:rPr>
                <w:lang w:val="cs-CZ"/>
              </w:rPr>
            </w:pPr>
          </w:p>
        </w:tc>
      </w:tr>
      <w:tr w:rsidR="009B62E0" w:rsidRPr="004F2FF3" w14:paraId="47D6D9E3" w14:textId="77777777" w:rsidTr="007808D5">
        <w:tc>
          <w:tcPr>
            <w:tcW w:w="9997" w:type="dxa"/>
          </w:tcPr>
          <w:p w14:paraId="2371319B" w14:textId="77777777" w:rsidR="00F64075" w:rsidRPr="00B90A17" w:rsidRDefault="00F64075" w:rsidP="009B62E0">
            <w:pPr>
              <w:pStyle w:val="Nadpis2"/>
              <w:numPr>
                <w:ilvl w:val="0"/>
                <w:numId w:val="0"/>
              </w:numPr>
              <w:ind w:left="425" w:hanging="425"/>
              <w:outlineLvl w:val="1"/>
              <w:rPr>
                <w:lang w:val="cs-CZ"/>
              </w:rPr>
            </w:pPr>
          </w:p>
          <w:p w14:paraId="05D12C3C" w14:textId="4217BB17" w:rsidR="009B62E0" w:rsidRPr="00B90A17" w:rsidRDefault="009B62E0" w:rsidP="009B62E0">
            <w:pPr>
              <w:pStyle w:val="Nadpis2"/>
              <w:numPr>
                <w:ilvl w:val="0"/>
                <w:numId w:val="0"/>
              </w:numPr>
              <w:ind w:left="425" w:hanging="425"/>
              <w:outlineLvl w:val="1"/>
              <w:rPr>
                <w:lang w:val="cs-CZ"/>
              </w:rPr>
            </w:pPr>
            <w:r w:rsidRPr="00B90A17">
              <w:rPr>
                <w:lang w:val="cs-CZ"/>
              </w:rPr>
              <w:t>Dále jen „</w:t>
            </w:r>
            <w:r w:rsidRPr="00B90A17">
              <w:rPr>
                <w:b/>
                <w:lang w:val="cs-CZ"/>
              </w:rPr>
              <w:t>Poplatky za služby</w:t>
            </w:r>
            <w:r w:rsidRPr="00B90A17">
              <w:rPr>
                <w:lang w:val="cs-CZ"/>
              </w:rPr>
              <w:t>“.</w:t>
            </w:r>
          </w:p>
          <w:p w14:paraId="1BBD4A44" w14:textId="2F66C38F" w:rsidR="00E309F8" w:rsidRPr="00B90A17" w:rsidRDefault="00E309F8" w:rsidP="00E309F8">
            <w:pPr>
              <w:rPr>
                <w:lang w:val="cs-CZ"/>
              </w:rPr>
            </w:pPr>
            <w:r w:rsidRPr="00B90A17">
              <w:rPr>
                <w:lang w:val="cs-CZ"/>
              </w:rPr>
              <w:t>K dohodnuté výši Poplatků za služby bude účtováno DPH v zákonné výši dle platných právních předpisů.</w:t>
            </w:r>
          </w:p>
        </w:tc>
      </w:tr>
      <w:tr w:rsidR="009B62E0" w:rsidRPr="004F2FF3" w14:paraId="445F34D0" w14:textId="77777777" w:rsidTr="007808D5">
        <w:tc>
          <w:tcPr>
            <w:tcW w:w="9997" w:type="dxa"/>
          </w:tcPr>
          <w:p w14:paraId="79E43F59" w14:textId="77777777" w:rsidR="009B62E0" w:rsidRPr="00B90A17" w:rsidRDefault="009B62E0" w:rsidP="00DA022D">
            <w:pPr>
              <w:pStyle w:val="Nadpis2"/>
              <w:numPr>
                <w:ilvl w:val="0"/>
                <w:numId w:val="0"/>
              </w:numPr>
              <w:ind w:left="425" w:hanging="425"/>
              <w:outlineLvl w:val="1"/>
              <w:rPr>
                <w:lang w:val="cs-CZ"/>
              </w:rPr>
            </w:pPr>
          </w:p>
        </w:tc>
      </w:tr>
      <w:tr w:rsidR="00DA022D" w:rsidRPr="004F2FF3" w14:paraId="2701ECB6" w14:textId="77777777" w:rsidTr="007808D5">
        <w:tc>
          <w:tcPr>
            <w:tcW w:w="9997" w:type="dxa"/>
          </w:tcPr>
          <w:p w14:paraId="5AC837BA" w14:textId="7065A0FC" w:rsidR="00DA022D" w:rsidRPr="00B90A17" w:rsidRDefault="00DA022D" w:rsidP="00DA022D">
            <w:pPr>
              <w:pStyle w:val="Nadpis2"/>
              <w:outlineLvl w:val="1"/>
              <w:rPr>
                <w:lang w:val="cs-CZ"/>
              </w:rPr>
            </w:pPr>
            <w:bookmarkStart w:id="2" w:name="_Ref377501038"/>
            <w:r w:rsidRPr="00B90A17">
              <w:rPr>
                <w:lang w:val="cs-CZ"/>
              </w:rPr>
              <w:t>Služby spojené s užíváním Prostor zahrnují: dodávky elektřiny, vodné a stočné, vytápění, úklid společných prostor</w:t>
            </w:r>
            <w:r w:rsidR="00FC6150" w:rsidRPr="00B90A17">
              <w:rPr>
                <w:lang w:val="cs-CZ"/>
              </w:rPr>
              <w:t xml:space="preserve"> a </w:t>
            </w:r>
            <w:r w:rsidRPr="00B90A17">
              <w:rPr>
                <w:lang w:val="cs-CZ"/>
              </w:rPr>
              <w:t>svoz odpadu.</w:t>
            </w:r>
            <w:bookmarkEnd w:id="2"/>
          </w:p>
        </w:tc>
      </w:tr>
      <w:tr w:rsidR="00DA022D" w:rsidRPr="004F2FF3" w14:paraId="6458D134" w14:textId="77777777" w:rsidTr="007808D5">
        <w:tc>
          <w:tcPr>
            <w:tcW w:w="9997" w:type="dxa"/>
          </w:tcPr>
          <w:p w14:paraId="5BEB8C5A" w14:textId="77777777" w:rsidR="00DA022D" w:rsidRPr="00B90A17" w:rsidRDefault="00DA022D" w:rsidP="00DA022D">
            <w:pPr>
              <w:pStyle w:val="Nadpis2"/>
              <w:numPr>
                <w:ilvl w:val="0"/>
                <w:numId w:val="0"/>
              </w:numPr>
              <w:ind w:left="425" w:hanging="425"/>
              <w:outlineLvl w:val="1"/>
              <w:rPr>
                <w:lang w:val="cs-CZ"/>
              </w:rPr>
            </w:pPr>
          </w:p>
        </w:tc>
      </w:tr>
      <w:tr w:rsidR="00DA022D" w:rsidRPr="004F2FF3" w14:paraId="3C9D599C" w14:textId="77777777" w:rsidTr="007808D5">
        <w:tc>
          <w:tcPr>
            <w:tcW w:w="9997" w:type="dxa"/>
          </w:tcPr>
          <w:p w14:paraId="525A3547" w14:textId="485E02EC" w:rsidR="00DA022D" w:rsidRPr="00D25E3A" w:rsidRDefault="00DA022D" w:rsidP="00F83514">
            <w:pPr>
              <w:pStyle w:val="Nadpis2"/>
              <w:outlineLvl w:val="1"/>
              <w:rPr>
                <w:lang w:val="cs-CZ"/>
              </w:rPr>
            </w:pPr>
            <w:r w:rsidRPr="00D25E3A">
              <w:rPr>
                <w:lang w:val="cs-CZ"/>
              </w:rPr>
              <w:t>Nájemné</w:t>
            </w:r>
            <w:r w:rsidR="009B62E0" w:rsidRPr="00D25E3A">
              <w:rPr>
                <w:lang w:val="cs-CZ"/>
              </w:rPr>
              <w:t xml:space="preserve">, Zálohy na energie </w:t>
            </w:r>
            <w:r w:rsidRPr="00D25E3A">
              <w:rPr>
                <w:lang w:val="cs-CZ"/>
              </w:rPr>
              <w:t>a Poplatky za služby se hradí měsíčně dopředu nejpozději k</w:t>
            </w:r>
            <w:r w:rsidR="00F83514" w:rsidRPr="00D25E3A">
              <w:rPr>
                <w:lang w:val="cs-CZ"/>
              </w:rPr>
              <w:t> </w:t>
            </w:r>
            <w:r w:rsidRPr="00D25E3A">
              <w:rPr>
                <w:lang w:val="cs-CZ"/>
              </w:rPr>
              <w:t>p</w:t>
            </w:r>
            <w:r w:rsidR="00F83514" w:rsidRPr="00D25E3A">
              <w:rPr>
                <w:lang w:val="cs-CZ"/>
              </w:rPr>
              <w:t xml:space="preserve">rvnímu </w:t>
            </w:r>
            <w:r w:rsidR="00F83514" w:rsidRPr="00D25E3A">
              <w:rPr>
                <w:lang w:val="cs-CZ"/>
              </w:rPr>
              <w:lastRenderedPageBreak/>
              <w:t xml:space="preserve">pracovnímu </w:t>
            </w:r>
            <w:r w:rsidRPr="00D25E3A">
              <w:rPr>
                <w:lang w:val="cs-CZ"/>
              </w:rPr>
              <w:t xml:space="preserve">dni </w:t>
            </w:r>
            <w:r w:rsidR="00F83514" w:rsidRPr="00D25E3A">
              <w:rPr>
                <w:lang w:val="cs-CZ"/>
              </w:rPr>
              <w:t xml:space="preserve">příslušného </w:t>
            </w:r>
            <w:r w:rsidRPr="00D25E3A">
              <w:rPr>
                <w:lang w:val="cs-CZ"/>
              </w:rPr>
              <w:t>kalendářního měsíce, za nějž se Nájemné a Poplatky za služby hradí. Nájemce se zavazuje Nájemné</w:t>
            </w:r>
            <w:r w:rsidR="009B62E0" w:rsidRPr="00D25E3A">
              <w:rPr>
                <w:lang w:val="cs-CZ"/>
              </w:rPr>
              <w:t xml:space="preserve">, Zálohy na energie </w:t>
            </w:r>
            <w:r w:rsidRPr="00D25E3A">
              <w:rPr>
                <w:lang w:val="cs-CZ"/>
              </w:rPr>
              <w:t>a Poplatky za služby poukazovat na bankovní účet Pronajímatele č.</w:t>
            </w:r>
            <w:r w:rsidR="003F0E8A" w:rsidRPr="00D25E3A">
              <w:rPr>
                <w:lang w:val="cs-CZ"/>
              </w:rPr>
              <w:t xml:space="preserve"> </w:t>
            </w:r>
            <w:proofErr w:type="spellStart"/>
            <w:r w:rsidR="00D30393" w:rsidRPr="00D30393">
              <w:rPr>
                <w:highlight w:val="black"/>
                <w:lang w:val="cs-CZ"/>
              </w:rPr>
              <w:t>xxxxxxxxxx</w:t>
            </w:r>
            <w:proofErr w:type="spellEnd"/>
            <w:r w:rsidRPr="00D25E3A">
              <w:rPr>
                <w:lang w:val="cs-CZ"/>
              </w:rPr>
              <w:t>, var. symbol:</w:t>
            </w:r>
            <w:r w:rsidR="003F0E8A" w:rsidRPr="00D25E3A">
              <w:rPr>
                <w:lang w:val="cs-CZ"/>
              </w:rPr>
              <w:t xml:space="preserve"> </w:t>
            </w:r>
            <w:proofErr w:type="spellStart"/>
            <w:r w:rsidR="00D30393" w:rsidRPr="00D30393">
              <w:rPr>
                <w:highlight w:val="black"/>
                <w:lang w:val="cs-CZ"/>
              </w:rPr>
              <w:t>xxxxxxxxxx</w:t>
            </w:r>
            <w:proofErr w:type="spellEnd"/>
            <w:r w:rsidR="00D30393" w:rsidRPr="00D25E3A">
              <w:rPr>
                <w:lang w:val="cs-CZ"/>
              </w:rPr>
              <w:t xml:space="preserve"> </w:t>
            </w:r>
            <w:r w:rsidRPr="00D25E3A">
              <w:rPr>
                <w:lang w:val="cs-CZ"/>
              </w:rPr>
              <w:t>nebo na jiný účet Pronajímatele, kterým mu Pronajímatel sdělí (dále jen „</w:t>
            </w:r>
            <w:r w:rsidRPr="00D25E3A">
              <w:rPr>
                <w:b/>
                <w:lang w:val="cs-CZ"/>
              </w:rPr>
              <w:t>Účet pronajímatele</w:t>
            </w:r>
            <w:r w:rsidRPr="00D25E3A">
              <w:rPr>
                <w:lang w:val="cs-CZ"/>
              </w:rPr>
              <w:t xml:space="preserve">“). </w:t>
            </w:r>
            <w:r w:rsidR="00577031" w:rsidRPr="00D25E3A">
              <w:rPr>
                <w:lang w:val="cs-CZ"/>
              </w:rPr>
              <w:t xml:space="preserve">Všechny platby </w:t>
            </w:r>
            <w:r w:rsidRPr="00D25E3A">
              <w:rPr>
                <w:lang w:val="cs-CZ"/>
              </w:rPr>
              <w:t>se budou považovat za uhrazené okamžikem jejich připsání na Účet pronajímatele.</w:t>
            </w:r>
          </w:p>
        </w:tc>
      </w:tr>
      <w:tr w:rsidR="00DA022D" w:rsidRPr="004F2FF3" w14:paraId="37C57F8E" w14:textId="77777777" w:rsidTr="007808D5">
        <w:tc>
          <w:tcPr>
            <w:tcW w:w="9997" w:type="dxa"/>
          </w:tcPr>
          <w:p w14:paraId="47FF488D" w14:textId="77777777" w:rsidR="00DA022D" w:rsidRPr="00B90A17" w:rsidRDefault="00DA022D" w:rsidP="00DA022D">
            <w:pPr>
              <w:pStyle w:val="Nadpis2"/>
              <w:numPr>
                <w:ilvl w:val="0"/>
                <w:numId w:val="0"/>
              </w:numPr>
              <w:outlineLvl w:val="1"/>
              <w:rPr>
                <w:lang w:val="cs-CZ"/>
              </w:rPr>
            </w:pPr>
          </w:p>
        </w:tc>
      </w:tr>
      <w:tr w:rsidR="00DA022D" w:rsidRPr="004F2FF3" w14:paraId="234A18D8" w14:textId="77777777" w:rsidTr="007808D5">
        <w:tc>
          <w:tcPr>
            <w:tcW w:w="9997" w:type="dxa"/>
          </w:tcPr>
          <w:p w14:paraId="20BA39DA" w14:textId="6C8C8857" w:rsidR="00DA022D" w:rsidRPr="00B90A17" w:rsidRDefault="00DA022D" w:rsidP="005A15E1">
            <w:pPr>
              <w:pStyle w:val="Nadpis2"/>
              <w:outlineLvl w:val="1"/>
              <w:rPr>
                <w:lang w:val="cs-CZ"/>
              </w:rPr>
            </w:pPr>
            <w:r w:rsidRPr="00B90A17">
              <w:rPr>
                <w:lang w:val="cs-CZ"/>
              </w:rPr>
              <w:t>Po zaplacení měsíčního Nájemného</w:t>
            </w:r>
            <w:r w:rsidR="00577031" w:rsidRPr="00B90A17">
              <w:rPr>
                <w:lang w:val="cs-CZ"/>
              </w:rPr>
              <w:t xml:space="preserve">, Záloh na energie </w:t>
            </w:r>
            <w:r w:rsidRPr="00B90A17">
              <w:rPr>
                <w:lang w:val="cs-CZ"/>
              </w:rPr>
              <w:t>a Poplatků za služby Pronajímatel vystaví daňový doklad a doručí jej Nájemci.</w:t>
            </w:r>
          </w:p>
        </w:tc>
      </w:tr>
      <w:tr w:rsidR="00DA022D" w:rsidRPr="004F2FF3" w14:paraId="0B78DB4F" w14:textId="77777777" w:rsidTr="007808D5">
        <w:tc>
          <w:tcPr>
            <w:tcW w:w="9997" w:type="dxa"/>
          </w:tcPr>
          <w:p w14:paraId="7945F299" w14:textId="77777777" w:rsidR="00DA022D" w:rsidRPr="00B90A17" w:rsidRDefault="00DA022D" w:rsidP="00DA022D">
            <w:pPr>
              <w:pStyle w:val="Nadpis2"/>
              <w:numPr>
                <w:ilvl w:val="0"/>
                <w:numId w:val="0"/>
              </w:numPr>
              <w:outlineLvl w:val="1"/>
              <w:rPr>
                <w:lang w:val="cs-CZ"/>
              </w:rPr>
            </w:pPr>
          </w:p>
        </w:tc>
      </w:tr>
      <w:tr w:rsidR="00DA022D" w:rsidRPr="004F2FF3" w14:paraId="07074EAE" w14:textId="77777777" w:rsidTr="007808D5">
        <w:tc>
          <w:tcPr>
            <w:tcW w:w="9997" w:type="dxa"/>
          </w:tcPr>
          <w:p w14:paraId="4D22F301" w14:textId="7714E933" w:rsidR="00DA022D" w:rsidRPr="00B90A17" w:rsidRDefault="00DA022D" w:rsidP="00DA022D">
            <w:pPr>
              <w:pStyle w:val="Nadpis2"/>
              <w:outlineLvl w:val="1"/>
              <w:rPr>
                <w:lang w:val="cs-CZ"/>
              </w:rPr>
            </w:pPr>
            <w:r w:rsidRPr="00B90A17">
              <w:rPr>
                <w:lang w:val="cs-CZ"/>
              </w:rPr>
              <w:t>Ocitne-li se Nájemce v prodlení s úhradou Nájemného anebo Poplatků za služby, zavazuje se Pronajímateli zaplatit vedle úroků z prodlení v zákonné výši smluvní pokutu ve výši 0,1 % z dlužné částky za každý započatý den prodlení.</w:t>
            </w:r>
          </w:p>
        </w:tc>
      </w:tr>
      <w:tr w:rsidR="00DA022D" w:rsidRPr="004F2FF3" w14:paraId="42C716DB" w14:textId="77777777" w:rsidTr="007808D5">
        <w:tc>
          <w:tcPr>
            <w:tcW w:w="9997" w:type="dxa"/>
          </w:tcPr>
          <w:p w14:paraId="3E6218B7" w14:textId="77777777" w:rsidR="00DA022D" w:rsidRPr="00B90A17" w:rsidRDefault="00DA022D" w:rsidP="00DA022D">
            <w:pPr>
              <w:rPr>
                <w:lang w:val="cs-CZ"/>
              </w:rPr>
            </w:pPr>
          </w:p>
        </w:tc>
      </w:tr>
      <w:tr w:rsidR="00DA022D" w:rsidRPr="004F2FF3" w14:paraId="4757FB8A" w14:textId="77777777" w:rsidTr="007808D5">
        <w:tc>
          <w:tcPr>
            <w:tcW w:w="9997" w:type="dxa"/>
          </w:tcPr>
          <w:p w14:paraId="6A1F2193" w14:textId="6824E0AD" w:rsidR="00DA022D" w:rsidRPr="00B90A17" w:rsidRDefault="00DA022D" w:rsidP="008D7B06">
            <w:pPr>
              <w:pStyle w:val="Nadpis2"/>
              <w:outlineLvl w:val="1"/>
              <w:rPr>
                <w:lang w:val="cs-CZ"/>
              </w:rPr>
            </w:pPr>
            <w:r w:rsidRPr="00B90A17">
              <w:rPr>
                <w:lang w:val="cs-CZ"/>
              </w:rPr>
              <w:t>S účinností k 1. lednu každého roku počínaje dnem 1.1.20</w:t>
            </w:r>
            <w:r w:rsidR="00974FBE" w:rsidRPr="00B90A17">
              <w:rPr>
                <w:lang w:val="cs-CZ"/>
              </w:rPr>
              <w:t>2</w:t>
            </w:r>
            <w:r w:rsidR="00D74990">
              <w:rPr>
                <w:lang w:val="cs-CZ"/>
              </w:rPr>
              <w:t>1</w:t>
            </w:r>
            <w:r w:rsidRPr="00B90A17">
              <w:rPr>
                <w:lang w:val="cs-CZ"/>
              </w:rPr>
              <w:t xml:space="preserve"> je Pronajímatel oprávněn zvýšit Nájemné</w:t>
            </w:r>
            <w:r w:rsidR="00577031" w:rsidRPr="00B90A17">
              <w:rPr>
                <w:lang w:val="cs-CZ"/>
              </w:rPr>
              <w:t xml:space="preserve"> a Poplatky za služby</w:t>
            </w:r>
            <w:r w:rsidRPr="00B90A17">
              <w:rPr>
                <w:lang w:val="cs-CZ"/>
              </w:rPr>
              <w:t xml:space="preserve"> o roční přírůstek hodnoty indexu spotřebitelských cen zveřejňovaného Českým statistickým úřadem za předcházející rok. Nezvýší-li Pronajímatel v daném roce Nájemné, jeho právo zvýšit Nájemné nezaniká. Pronajímatel může v příštím roce Nájemné zvýšit i o průměrnou roční inflaci, ke které došlo v roce předcházejícím roku, ve kterém zvýšení Nájemného neuplatnil. Pronajímatel je tedy oprávněn sečíst všechny průměrné roční inflace za roky, ve kterých zvýšení Nájemného neuplatnil. Pronajímatel však nemůže na Nájemci požadovat zpětné doplacení částek, o které mohl, ale nezvýšil Nájemné.</w:t>
            </w:r>
            <w:r w:rsidR="00577031" w:rsidRPr="00B90A17">
              <w:rPr>
                <w:lang w:val="cs-CZ"/>
              </w:rPr>
              <w:t xml:space="preserve"> Zálohy na energie</w:t>
            </w:r>
            <w:r w:rsidR="008D7B06">
              <w:rPr>
                <w:lang w:val="cs-CZ"/>
              </w:rPr>
              <w:t xml:space="preserve"> a Poplatky za služby</w:t>
            </w:r>
            <w:r w:rsidR="00577031" w:rsidRPr="00B90A17">
              <w:rPr>
                <w:lang w:val="cs-CZ"/>
              </w:rPr>
              <w:t xml:space="preserve"> je Pronajímatel oprávněn</w:t>
            </w:r>
            <w:r w:rsidR="00D74990">
              <w:rPr>
                <w:lang w:val="cs-CZ"/>
              </w:rPr>
              <w:t xml:space="preserve"> jednostranně </w:t>
            </w:r>
            <w:r w:rsidR="00577031" w:rsidRPr="00B90A17">
              <w:rPr>
                <w:lang w:val="cs-CZ"/>
              </w:rPr>
              <w:t>upravit dle skutečné spotřeby</w:t>
            </w:r>
            <w:r w:rsidR="008D7B06">
              <w:rPr>
                <w:lang w:val="cs-CZ"/>
              </w:rPr>
              <w:t xml:space="preserve"> a </w:t>
            </w:r>
            <w:r w:rsidR="00D74990">
              <w:rPr>
                <w:lang w:val="cs-CZ"/>
              </w:rPr>
              <w:t xml:space="preserve">dle navýšení ceny těchto služeb ze strany dodavatelů. </w:t>
            </w:r>
          </w:p>
        </w:tc>
      </w:tr>
      <w:tr w:rsidR="007808D5" w:rsidRPr="004F2FF3" w14:paraId="71F1D88F" w14:textId="77777777" w:rsidTr="007808D5">
        <w:tc>
          <w:tcPr>
            <w:tcW w:w="9997" w:type="dxa"/>
          </w:tcPr>
          <w:p w14:paraId="36478CD0" w14:textId="77777777" w:rsidR="007808D5" w:rsidRPr="00B90A17" w:rsidRDefault="007808D5" w:rsidP="00DA022D">
            <w:pPr>
              <w:rPr>
                <w:lang w:val="cs-CZ"/>
              </w:rPr>
            </w:pPr>
          </w:p>
        </w:tc>
      </w:tr>
      <w:tr w:rsidR="00DD24B1" w:rsidRPr="004F2FF3" w14:paraId="36FDE6F3" w14:textId="77777777" w:rsidTr="007808D5">
        <w:tc>
          <w:tcPr>
            <w:tcW w:w="9997" w:type="dxa"/>
          </w:tcPr>
          <w:p w14:paraId="374D9946" w14:textId="76F2D87B" w:rsidR="00DD24B1" w:rsidRPr="00B90A17" w:rsidRDefault="00DD24B1" w:rsidP="00D74990">
            <w:pPr>
              <w:pStyle w:val="Nadpis2"/>
              <w:outlineLvl w:val="1"/>
              <w:rPr>
                <w:lang w:val="cs-CZ"/>
              </w:rPr>
            </w:pPr>
            <w:r w:rsidRPr="00B90A17">
              <w:rPr>
                <w:lang w:val="cs-CZ"/>
              </w:rPr>
              <w:t>Pronajímatel vyúčtuje Zálohy na energie nejpozději do čtyř měsíců po konci zúčtovacího období a doručení vyúčtování od poskytovatelů/dodavatelů těchto služeb. Nedoplatek, p</w:t>
            </w:r>
            <w:r w:rsidR="00D74990">
              <w:rPr>
                <w:lang w:val="cs-CZ"/>
              </w:rPr>
              <w:t xml:space="preserve">opř. přeplatek je splatný na základě daňového dokladu do 15 </w:t>
            </w:r>
            <w:r w:rsidRPr="00B90A17">
              <w:rPr>
                <w:lang w:val="cs-CZ"/>
              </w:rPr>
              <w:t xml:space="preserve">dnů od </w:t>
            </w:r>
            <w:r w:rsidR="00D74990">
              <w:rPr>
                <w:lang w:val="cs-CZ"/>
              </w:rPr>
              <w:t>doručení</w:t>
            </w:r>
            <w:r w:rsidRPr="00B90A17">
              <w:rPr>
                <w:lang w:val="cs-CZ"/>
              </w:rPr>
              <w:t>.</w:t>
            </w:r>
          </w:p>
        </w:tc>
      </w:tr>
      <w:tr w:rsidR="00EA5813" w:rsidRPr="004F2FF3" w14:paraId="6BA114E9" w14:textId="77777777" w:rsidTr="007808D5">
        <w:tc>
          <w:tcPr>
            <w:tcW w:w="9997" w:type="dxa"/>
          </w:tcPr>
          <w:p w14:paraId="2F1249AC" w14:textId="77777777" w:rsidR="00EA5813" w:rsidRPr="00B90A17" w:rsidRDefault="00EA5813" w:rsidP="00EA5813">
            <w:pPr>
              <w:pStyle w:val="Nadpis2"/>
              <w:numPr>
                <w:ilvl w:val="0"/>
                <w:numId w:val="0"/>
              </w:numPr>
              <w:ind w:left="425"/>
              <w:outlineLvl w:val="1"/>
              <w:rPr>
                <w:lang w:val="cs-CZ"/>
              </w:rPr>
            </w:pPr>
          </w:p>
        </w:tc>
      </w:tr>
      <w:tr w:rsidR="00D55B9B" w:rsidRPr="004F2FF3" w14:paraId="09126CE7" w14:textId="77777777" w:rsidTr="007808D5">
        <w:tc>
          <w:tcPr>
            <w:tcW w:w="9997" w:type="dxa"/>
          </w:tcPr>
          <w:p w14:paraId="110F0A7F" w14:textId="521D3BAA" w:rsidR="00D55B9B" w:rsidRPr="00B90A17" w:rsidRDefault="00D55B9B" w:rsidP="00D55B9B">
            <w:pPr>
              <w:pStyle w:val="Nadpis2"/>
              <w:outlineLvl w:val="1"/>
              <w:rPr>
                <w:lang w:val="cs-CZ"/>
              </w:rPr>
            </w:pPr>
            <w:r w:rsidRPr="00B90A17">
              <w:rPr>
                <w:lang w:val="cs-CZ"/>
              </w:rPr>
              <w:t>Smluvní strany výslovně sjednávají, že Nájemce není povinen hradit nájemné za umístění klimatizačních jednotek dle čl. 2.4 na střeše Budovy. Nájemce potvrzuje a činí nesporným, že je výlučným vlastníkem těchto klimatizačních jednotek a v plném rozsahu odpovídá za jakoukoliv škodu, způsobenou tímto zařízením na B</w:t>
            </w:r>
            <w:r w:rsidR="008D7B06">
              <w:rPr>
                <w:lang w:val="cs-CZ"/>
              </w:rPr>
              <w:t xml:space="preserve">udově. Nájemce je povinen </w:t>
            </w:r>
            <w:r w:rsidR="002E4311">
              <w:rPr>
                <w:lang w:val="cs-CZ"/>
              </w:rPr>
              <w:t xml:space="preserve">provádět pravidelnou kontrolu a údržbu tohoto zařízení </w:t>
            </w:r>
          </w:p>
        </w:tc>
      </w:tr>
      <w:tr w:rsidR="00D55B9B" w:rsidRPr="004F2FF3" w14:paraId="321A687D" w14:textId="77777777" w:rsidTr="007808D5">
        <w:tc>
          <w:tcPr>
            <w:tcW w:w="9997" w:type="dxa"/>
          </w:tcPr>
          <w:p w14:paraId="55BF9740" w14:textId="77777777" w:rsidR="00D55B9B" w:rsidRPr="00B90A17" w:rsidRDefault="00D55B9B" w:rsidP="00DA022D">
            <w:pPr>
              <w:rPr>
                <w:lang w:val="cs-CZ"/>
              </w:rPr>
            </w:pPr>
          </w:p>
        </w:tc>
      </w:tr>
      <w:tr w:rsidR="00DA022D" w:rsidRPr="00B90A17" w14:paraId="3C87C26B" w14:textId="77777777" w:rsidTr="007808D5">
        <w:tc>
          <w:tcPr>
            <w:tcW w:w="9997" w:type="dxa"/>
          </w:tcPr>
          <w:p w14:paraId="72D2A1C7" w14:textId="5503E387" w:rsidR="00DA022D" w:rsidRPr="00B90A17" w:rsidRDefault="00DA022D" w:rsidP="00DA022D">
            <w:pPr>
              <w:pStyle w:val="Nadpis1"/>
              <w:outlineLvl w:val="0"/>
              <w:rPr>
                <w:lang w:val="cs-CZ"/>
              </w:rPr>
            </w:pPr>
            <w:r w:rsidRPr="00B90A17">
              <w:rPr>
                <w:lang w:val="cs-CZ"/>
              </w:rPr>
              <w:t>Práva a povinnosti Pronajímatele</w:t>
            </w:r>
          </w:p>
        </w:tc>
      </w:tr>
      <w:tr w:rsidR="00DA022D" w:rsidRPr="00B90A17" w14:paraId="392A1FAA" w14:textId="77777777" w:rsidTr="007808D5">
        <w:tc>
          <w:tcPr>
            <w:tcW w:w="9997" w:type="dxa"/>
          </w:tcPr>
          <w:p w14:paraId="3F3A5CC9" w14:textId="77777777" w:rsidR="00DA022D" w:rsidRPr="00B90A17" w:rsidRDefault="00DA022D" w:rsidP="00DA022D">
            <w:pPr>
              <w:rPr>
                <w:lang w:val="cs-CZ"/>
              </w:rPr>
            </w:pPr>
          </w:p>
        </w:tc>
      </w:tr>
      <w:tr w:rsidR="00DA022D" w:rsidRPr="00B90A17" w14:paraId="717CB62C" w14:textId="77777777" w:rsidTr="007808D5">
        <w:tc>
          <w:tcPr>
            <w:tcW w:w="9997" w:type="dxa"/>
          </w:tcPr>
          <w:p w14:paraId="42A810A7" w14:textId="403417BB" w:rsidR="00DA022D" w:rsidRPr="00B90A17" w:rsidRDefault="00DA022D" w:rsidP="00413AE0">
            <w:pPr>
              <w:pStyle w:val="Nadpis2"/>
              <w:outlineLvl w:val="1"/>
              <w:rPr>
                <w:lang w:val="cs-CZ"/>
              </w:rPr>
            </w:pPr>
            <w:r w:rsidRPr="00B90A17">
              <w:rPr>
                <w:lang w:val="cs-CZ"/>
              </w:rPr>
              <w:t xml:space="preserve">Pronajímatel se zavazuje předat Prostory Nájemci ve stavu způsobilém k sjednanému účelu nájmu dle čl. </w:t>
            </w:r>
            <w:r w:rsidRPr="00B90A17">
              <w:rPr>
                <w:lang w:val="cs-CZ"/>
              </w:rPr>
              <w:fldChar w:fldCharType="begin"/>
            </w:r>
            <w:r w:rsidRPr="00B90A17">
              <w:rPr>
                <w:lang w:val="cs-CZ"/>
              </w:rPr>
              <w:instrText xml:space="preserve"> REF _Ref377496780 \r \h  \* MERGEFORMAT </w:instrText>
            </w:r>
            <w:r w:rsidRPr="00B90A17">
              <w:rPr>
                <w:lang w:val="cs-CZ"/>
              </w:rPr>
            </w:r>
            <w:r w:rsidRPr="00B90A17">
              <w:rPr>
                <w:lang w:val="cs-CZ"/>
              </w:rPr>
              <w:fldChar w:fldCharType="separate"/>
            </w:r>
            <w:r w:rsidRPr="00B90A17">
              <w:rPr>
                <w:lang w:val="cs-CZ"/>
              </w:rPr>
              <w:t>3</w:t>
            </w:r>
            <w:r w:rsidR="00413AE0" w:rsidRPr="00B90A17">
              <w:rPr>
                <w:lang w:val="cs-CZ"/>
              </w:rPr>
              <w:t xml:space="preserve"> </w:t>
            </w:r>
            <w:r w:rsidRPr="00B90A17">
              <w:rPr>
                <w:lang w:val="cs-CZ"/>
              </w:rPr>
              <w:fldChar w:fldCharType="end"/>
            </w:r>
            <w:r w:rsidRPr="00B90A17">
              <w:rPr>
                <w:lang w:val="cs-CZ"/>
              </w:rPr>
              <w:t xml:space="preserve">této Smlouvy a umožnit Nájemci užívat Prostory v souladu s touto Smlouvou. </w:t>
            </w:r>
          </w:p>
        </w:tc>
      </w:tr>
      <w:tr w:rsidR="00DA022D" w:rsidRPr="00B90A17" w14:paraId="62DA55E3" w14:textId="77777777" w:rsidTr="007808D5">
        <w:tc>
          <w:tcPr>
            <w:tcW w:w="9997" w:type="dxa"/>
          </w:tcPr>
          <w:p w14:paraId="58659F42" w14:textId="77777777" w:rsidR="00DA022D" w:rsidRPr="00B90A17" w:rsidRDefault="00DA022D" w:rsidP="00DA022D">
            <w:pPr>
              <w:rPr>
                <w:lang w:val="cs-CZ"/>
              </w:rPr>
            </w:pPr>
          </w:p>
        </w:tc>
      </w:tr>
      <w:tr w:rsidR="00DA022D" w:rsidRPr="00B90A17" w14:paraId="6465D0CF" w14:textId="77777777" w:rsidTr="007808D5">
        <w:tc>
          <w:tcPr>
            <w:tcW w:w="9997" w:type="dxa"/>
          </w:tcPr>
          <w:p w14:paraId="2CB63D2D" w14:textId="4A1653D2" w:rsidR="00DA022D" w:rsidRPr="00B90A17" w:rsidRDefault="00DA022D" w:rsidP="002E4311">
            <w:pPr>
              <w:pStyle w:val="Nadpis2"/>
              <w:outlineLvl w:val="1"/>
              <w:rPr>
                <w:lang w:val="cs-CZ"/>
              </w:rPr>
            </w:pPr>
            <w:r w:rsidRPr="00B90A17">
              <w:rPr>
                <w:lang w:val="cs-CZ"/>
              </w:rPr>
              <w:t>Pronajímatel se zavazuje zajistit dodávky služeb uvedených v čl.</w:t>
            </w:r>
            <w:r w:rsidR="002E4311">
              <w:rPr>
                <w:lang w:val="cs-CZ"/>
              </w:rPr>
              <w:t xml:space="preserve"> 5 </w:t>
            </w:r>
            <w:r w:rsidRPr="00B90A17">
              <w:rPr>
                <w:lang w:val="cs-CZ"/>
              </w:rPr>
              <w:t>této Smlouvy, přičemž neodpovídá za výpadky těchto dodávek těchto služeb, pokud prokáže, že k nim nedošlo jeho vinou.</w:t>
            </w:r>
          </w:p>
        </w:tc>
      </w:tr>
      <w:tr w:rsidR="00DA022D" w:rsidRPr="00B90A17" w14:paraId="0384FB3C" w14:textId="77777777" w:rsidTr="007808D5">
        <w:tc>
          <w:tcPr>
            <w:tcW w:w="9997" w:type="dxa"/>
          </w:tcPr>
          <w:p w14:paraId="310877CF" w14:textId="77777777" w:rsidR="00DA022D" w:rsidRPr="00B90A17" w:rsidRDefault="00DA022D" w:rsidP="00DA022D">
            <w:pPr>
              <w:rPr>
                <w:lang w:val="cs-CZ"/>
              </w:rPr>
            </w:pPr>
          </w:p>
        </w:tc>
      </w:tr>
      <w:tr w:rsidR="00DA022D" w:rsidRPr="004F2FF3" w14:paraId="0B2E0E93" w14:textId="77777777" w:rsidTr="007808D5">
        <w:tc>
          <w:tcPr>
            <w:tcW w:w="9997" w:type="dxa"/>
          </w:tcPr>
          <w:p w14:paraId="1FA6DAF4" w14:textId="52273D0E" w:rsidR="00DA022D" w:rsidRPr="00B90A17" w:rsidRDefault="00DA022D" w:rsidP="00DA022D">
            <w:pPr>
              <w:pStyle w:val="Nadpis2"/>
              <w:outlineLvl w:val="1"/>
              <w:rPr>
                <w:lang w:val="cs-CZ"/>
              </w:rPr>
            </w:pPr>
            <w:r w:rsidRPr="00B90A17">
              <w:rPr>
                <w:lang w:val="cs-CZ"/>
              </w:rPr>
              <w:t>Pronajímatel nebo jím oprávněná osoba mohou vstupovat do Prostor za účelem kontroly, zda Nájemce užívá Prostory řádně nebo za účelem provedení údržby a nezbytných oprav Prostor/Budovy nebo kontroly elektrického vedení a plynových, vodovodních a jiných vedení po předchozím upozornění Nájemce. V případě havarijní situace je Pronajímatel oprávněn vstoupit do Prostor bez předchozího upozornění Nájemce. Za tímto účelem budou u Pronajímatele uloženy náhradní klíče od Prostor, a to v zapečetěné obálce. O případném použití těchto náhradních klíčů bude Pronajímatel Nájemce informovat bez zbytečného odkladu.</w:t>
            </w:r>
          </w:p>
        </w:tc>
      </w:tr>
      <w:tr w:rsidR="00DA022D" w:rsidRPr="004F2FF3" w14:paraId="051C0F4E" w14:textId="77777777" w:rsidTr="007808D5">
        <w:tc>
          <w:tcPr>
            <w:tcW w:w="9997" w:type="dxa"/>
          </w:tcPr>
          <w:p w14:paraId="00F1D6A7" w14:textId="77777777" w:rsidR="00DA022D" w:rsidRPr="00B90A17" w:rsidRDefault="00DA022D" w:rsidP="00DA022D">
            <w:pPr>
              <w:rPr>
                <w:lang w:val="cs-CZ"/>
              </w:rPr>
            </w:pPr>
          </w:p>
        </w:tc>
      </w:tr>
      <w:tr w:rsidR="00DA022D" w:rsidRPr="00B90A17" w14:paraId="2FEF354A" w14:textId="77777777" w:rsidTr="007808D5">
        <w:tc>
          <w:tcPr>
            <w:tcW w:w="9997" w:type="dxa"/>
          </w:tcPr>
          <w:p w14:paraId="77D8F6C9" w14:textId="098E6B83" w:rsidR="00DA022D" w:rsidRPr="00B90A17" w:rsidRDefault="00DA022D" w:rsidP="00DA022D">
            <w:pPr>
              <w:pStyle w:val="Nadpis1"/>
              <w:outlineLvl w:val="0"/>
              <w:rPr>
                <w:lang w:val="cs-CZ"/>
              </w:rPr>
            </w:pPr>
            <w:r w:rsidRPr="00B90A17">
              <w:rPr>
                <w:lang w:val="cs-CZ"/>
              </w:rPr>
              <w:t>Práva a povinnosti Nájemce</w:t>
            </w:r>
          </w:p>
        </w:tc>
      </w:tr>
      <w:tr w:rsidR="00DA022D" w:rsidRPr="00B90A17" w14:paraId="26C23FD1" w14:textId="77777777" w:rsidTr="007808D5">
        <w:tc>
          <w:tcPr>
            <w:tcW w:w="9997" w:type="dxa"/>
          </w:tcPr>
          <w:p w14:paraId="50F4FED9" w14:textId="77777777" w:rsidR="00DA022D" w:rsidRPr="00B90A17" w:rsidRDefault="00DA022D" w:rsidP="00DA022D">
            <w:pPr>
              <w:rPr>
                <w:lang w:val="cs-CZ"/>
              </w:rPr>
            </w:pPr>
          </w:p>
        </w:tc>
      </w:tr>
      <w:tr w:rsidR="00DA022D" w:rsidRPr="004F2FF3" w14:paraId="7FF4E8E8" w14:textId="77777777" w:rsidTr="007808D5">
        <w:tc>
          <w:tcPr>
            <w:tcW w:w="9997" w:type="dxa"/>
          </w:tcPr>
          <w:p w14:paraId="7E55E9E7" w14:textId="706DAEA4" w:rsidR="00DA022D" w:rsidRPr="00B90A17" w:rsidRDefault="00DA022D" w:rsidP="00DA022D">
            <w:pPr>
              <w:pStyle w:val="Nadpis2"/>
              <w:outlineLvl w:val="1"/>
              <w:rPr>
                <w:lang w:val="cs-CZ"/>
              </w:rPr>
            </w:pPr>
            <w:r w:rsidRPr="00B90A17">
              <w:rPr>
                <w:lang w:val="cs-CZ"/>
              </w:rPr>
              <w:t xml:space="preserve">Nájemce se zavazuje Prostory a společné prostory v Budově užívat pro účel sjednaný v čl. </w:t>
            </w:r>
            <w:r w:rsidRPr="00B90A17">
              <w:rPr>
                <w:lang w:val="cs-CZ"/>
              </w:rPr>
              <w:fldChar w:fldCharType="begin"/>
            </w:r>
            <w:r w:rsidRPr="00B90A17">
              <w:rPr>
                <w:lang w:val="cs-CZ"/>
              </w:rPr>
              <w:instrText xml:space="preserve"> REF _Ref281990575 \r \h  \* MERGEFORMAT </w:instrText>
            </w:r>
            <w:r w:rsidRPr="00B90A17">
              <w:rPr>
                <w:lang w:val="cs-CZ"/>
              </w:rPr>
            </w:r>
            <w:r w:rsidRPr="00B90A17">
              <w:rPr>
                <w:lang w:val="cs-CZ"/>
              </w:rPr>
              <w:fldChar w:fldCharType="separate"/>
            </w:r>
            <w:r w:rsidRPr="00B90A17">
              <w:rPr>
                <w:lang w:val="cs-CZ"/>
              </w:rPr>
              <w:t>3</w:t>
            </w:r>
            <w:r w:rsidRPr="00B90A17">
              <w:rPr>
                <w:lang w:val="cs-CZ"/>
              </w:rPr>
              <w:fldChar w:fldCharType="end"/>
            </w:r>
            <w:r w:rsidRPr="00B90A17">
              <w:rPr>
                <w:lang w:val="cs-CZ"/>
              </w:rPr>
              <w:t xml:space="preserve"> této Smlouvy a tak, aby nerušil Pronajímatele, ostatní nájemce nebo jiné osoby v Budově.</w:t>
            </w:r>
          </w:p>
        </w:tc>
      </w:tr>
      <w:tr w:rsidR="00DA022D" w:rsidRPr="004F2FF3" w14:paraId="417AA746" w14:textId="77777777" w:rsidTr="007808D5">
        <w:tc>
          <w:tcPr>
            <w:tcW w:w="9997" w:type="dxa"/>
          </w:tcPr>
          <w:p w14:paraId="7197F9D3" w14:textId="77777777" w:rsidR="00DA022D" w:rsidRPr="00B90A17" w:rsidRDefault="00DA022D" w:rsidP="00DA022D">
            <w:pPr>
              <w:rPr>
                <w:lang w:val="cs-CZ"/>
              </w:rPr>
            </w:pPr>
          </w:p>
        </w:tc>
      </w:tr>
      <w:tr w:rsidR="00DA022D" w:rsidRPr="00B90A17" w14:paraId="7DC7C75A" w14:textId="77777777" w:rsidTr="007808D5">
        <w:tc>
          <w:tcPr>
            <w:tcW w:w="9997" w:type="dxa"/>
          </w:tcPr>
          <w:p w14:paraId="7A6CD337" w14:textId="1AE8CCDC" w:rsidR="00DA022D" w:rsidRPr="00B90A17" w:rsidRDefault="00DA022D" w:rsidP="00DA022D">
            <w:pPr>
              <w:pStyle w:val="Nadpis2"/>
              <w:outlineLvl w:val="1"/>
              <w:rPr>
                <w:lang w:val="cs-CZ"/>
              </w:rPr>
            </w:pPr>
            <w:r w:rsidRPr="00B90A17">
              <w:rPr>
                <w:lang w:val="cs-CZ"/>
              </w:rPr>
              <w:t>Nájemce se zavazuje dodržovat požární bezpečnostní předpisy a předpisy na ochranu zdraví a bezpečnosti na pracovišti a zajistit, aby zaměstnanci Nájemce byli s těmito předpisy obeznámeni. V Budově a jejím bezprostředním okolí není povoleno kouření.</w:t>
            </w:r>
          </w:p>
        </w:tc>
      </w:tr>
      <w:tr w:rsidR="00DA022D" w:rsidRPr="00B90A17" w14:paraId="087AB3CD" w14:textId="77777777" w:rsidTr="007808D5">
        <w:tc>
          <w:tcPr>
            <w:tcW w:w="9997" w:type="dxa"/>
          </w:tcPr>
          <w:p w14:paraId="7437C02D" w14:textId="77777777" w:rsidR="00DA022D" w:rsidRPr="00B90A17" w:rsidRDefault="00DA022D" w:rsidP="00DA022D">
            <w:pPr>
              <w:rPr>
                <w:lang w:val="cs-CZ"/>
              </w:rPr>
            </w:pPr>
          </w:p>
        </w:tc>
      </w:tr>
      <w:tr w:rsidR="00DA022D" w:rsidRPr="00B90A17" w14:paraId="7B75F52A" w14:textId="77777777" w:rsidTr="007808D5">
        <w:tc>
          <w:tcPr>
            <w:tcW w:w="9997" w:type="dxa"/>
          </w:tcPr>
          <w:p w14:paraId="369BCE5B" w14:textId="2690C3E6" w:rsidR="00DA022D" w:rsidRPr="00B90A17" w:rsidRDefault="00DA022D" w:rsidP="00577031">
            <w:pPr>
              <w:pStyle w:val="Nadpis2"/>
              <w:outlineLvl w:val="1"/>
              <w:rPr>
                <w:lang w:val="cs-CZ"/>
              </w:rPr>
            </w:pPr>
            <w:r w:rsidRPr="00B90A17">
              <w:rPr>
                <w:lang w:val="cs-CZ"/>
              </w:rPr>
              <w:t>Nájemce se zavazuje užívat Prostory s řádnou péčí</w:t>
            </w:r>
            <w:r w:rsidR="00413AE0" w:rsidRPr="00B90A17">
              <w:rPr>
                <w:lang w:val="cs-CZ"/>
              </w:rPr>
              <w:t xml:space="preserve"> tak, aby nedocházelo k jejich poškození nebo nadměrnému opotřebení</w:t>
            </w:r>
            <w:r w:rsidRPr="00B90A17">
              <w:rPr>
                <w:lang w:val="cs-CZ"/>
              </w:rPr>
              <w:t xml:space="preserve"> a pravidelně je na své náklady udržovat, zejména se zavazuje (i) provádět pravidelnou kontrolu a malé opravy podlahových krytin nebo povrchové vrstvy podlah, dveří a zámků, stropních trámů a nástěnných svítidel, nezakrytých trubek, topení, uzavíracích kohoutů, nádrží a umyvadel nacházejících se v Prostorách, a pravidelnou údržbu vnitřních stěn, jako např. bílení</w:t>
            </w:r>
            <w:r w:rsidR="00413AE0" w:rsidRPr="00B90A17">
              <w:rPr>
                <w:lang w:val="cs-CZ"/>
              </w:rPr>
              <w:t xml:space="preserve">, </w:t>
            </w:r>
            <w:r w:rsidRPr="00B90A17">
              <w:rPr>
                <w:lang w:val="cs-CZ"/>
              </w:rPr>
              <w:t>(</w:t>
            </w:r>
            <w:proofErr w:type="spellStart"/>
            <w:r w:rsidRPr="00B90A17">
              <w:rPr>
                <w:lang w:val="cs-CZ"/>
              </w:rPr>
              <w:t>ii</w:t>
            </w:r>
            <w:proofErr w:type="spellEnd"/>
            <w:r w:rsidRPr="00B90A17">
              <w:rPr>
                <w:lang w:val="cs-CZ"/>
              </w:rPr>
              <w:t>) provádět čištění přípojek a odtoku umyvadel a WC v Prostorách, a (</w:t>
            </w:r>
            <w:proofErr w:type="spellStart"/>
            <w:r w:rsidRPr="00B90A17">
              <w:rPr>
                <w:lang w:val="cs-CZ"/>
              </w:rPr>
              <w:t>iii</w:t>
            </w:r>
            <w:proofErr w:type="spellEnd"/>
            <w:r w:rsidRPr="00B90A17">
              <w:rPr>
                <w:lang w:val="cs-CZ"/>
              </w:rPr>
              <w:t xml:space="preserve">) provádět případné další </w:t>
            </w:r>
            <w:r w:rsidR="00413AE0" w:rsidRPr="00B90A17">
              <w:rPr>
                <w:lang w:val="cs-CZ"/>
              </w:rPr>
              <w:t xml:space="preserve">drobné opravy a běžnou údržbu </w:t>
            </w:r>
            <w:r w:rsidR="00274A47" w:rsidRPr="00B90A17">
              <w:rPr>
                <w:lang w:val="cs-CZ"/>
              </w:rPr>
              <w:t xml:space="preserve">Prostor do výše </w:t>
            </w:r>
            <w:r w:rsidR="00D76B4B" w:rsidRPr="00B90A17">
              <w:rPr>
                <w:lang w:val="cs-CZ"/>
              </w:rPr>
              <w:t>5</w:t>
            </w:r>
            <w:r w:rsidR="00274A47" w:rsidRPr="00B90A17">
              <w:rPr>
                <w:lang w:val="cs-CZ"/>
              </w:rPr>
              <w:t xml:space="preserve">.000,- </w:t>
            </w:r>
            <w:r w:rsidRPr="00B90A17">
              <w:rPr>
                <w:lang w:val="cs-CZ"/>
              </w:rPr>
              <w:t>Kč za takov</w:t>
            </w:r>
            <w:r w:rsidR="00274A47" w:rsidRPr="00B90A17">
              <w:rPr>
                <w:lang w:val="cs-CZ"/>
              </w:rPr>
              <w:t>ou drobnou opravu</w:t>
            </w:r>
            <w:r w:rsidRPr="00B90A17">
              <w:rPr>
                <w:lang w:val="cs-CZ"/>
              </w:rPr>
              <w:t>.</w:t>
            </w:r>
          </w:p>
        </w:tc>
      </w:tr>
      <w:tr w:rsidR="00DA022D" w:rsidRPr="00B90A17" w14:paraId="2313A7C1" w14:textId="77777777" w:rsidTr="007808D5">
        <w:tc>
          <w:tcPr>
            <w:tcW w:w="9997" w:type="dxa"/>
          </w:tcPr>
          <w:p w14:paraId="774B3D19" w14:textId="77777777" w:rsidR="00DA022D" w:rsidRPr="00B90A17" w:rsidRDefault="00DA022D" w:rsidP="00DA022D">
            <w:pPr>
              <w:pStyle w:val="Nadpis2"/>
              <w:numPr>
                <w:ilvl w:val="0"/>
                <w:numId w:val="0"/>
              </w:numPr>
              <w:ind w:left="425" w:hanging="425"/>
              <w:outlineLvl w:val="1"/>
              <w:rPr>
                <w:lang w:val="cs-CZ"/>
              </w:rPr>
            </w:pPr>
          </w:p>
        </w:tc>
      </w:tr>
      <w:tr w:rsidR="00DA022D" w:rsidRPr="004F2FF3" w14:paraId="1F16D15F" w14:textId="77777777" w:rsidTr="007808D5">
        <w:tc>
          <w:tcPr>
            <w:tcW w:w="9997" w:type="dxa"/>
          </w:tcPr>
          <w:p w14:paraId="441763FD" w14:textId="0481B9E8" w:rsidR="00DA022D" w:rsidRPr="00B90A17" w:rsidRDefault="00DA022D" w:rsidP="00DA022D">
            <w:pPr>
              <w:pStyle w:val="Nadpis2"/>
              <w:outlineLvl w:val="1"/>
              <w:rPr>
                <w:lang w:val="cs-CZ"/>
              </w:rPr>
            </w:pPr>
            <w:r w:rsidRPr="00B90A17">
              <w:rPr>
                <w:lang w:val="cs-CZ"/>
              </w:rPr>
              <w:t xml:space="preserve">Nájemce je povinen informovat Pronajímatele neprodleně o potřebě oprav, které má Pronajímatel provádět, a je v takovém případě povinen Pronajímateli umožnit provedení těchto </w:t>
            </w:r>
            <w:proofErr w:type="gramStart"/>
            <w:r w:rsidRPr="00B90A17">
              <w:rPr>
                <w:lang w:val="cs-CZ"/>
              </w:rPr>
              <w:t>oprav</w:t>
            </w:r>
            <w:proofErr w:type="gramEnd"/>
            <w:r w:rsidRPr="00B90A17">
              <w:rPr>
                <w:lang w:val="cs-CZ"/>
              </w:rPr>
              <w:t xml:space="preserve"> popř. dalších nezbytných prací, měření, atp. Pokud tak Nájemce neučiní, bude odpovědný za škodu vzniklou Pronajímateli.</w:t>
            </w:r>
          </w:p>
        </w:tc>
      </w:tr>
      <w:tr w:rsidR="00DA022D" w:rsidRPr="004F2FF3" w14:paraId="6ABF8014" w14:textId="77777777" w:rsidTr="007808D5">
        <w:tc>
          <w:tcPr>
            <w:tcW w:w="9997" w:type="dxa"/>
          </w:tcPr>
          <w:p w14:paraId="496ADD49" w14:textId="77777777" w:rsidR="00DA022D" w:rsidRPr="00B90A17" w:rsidRDefault="00DA022D" w:rsidP="00DA022D">
            <w:pPr>
              <w:pStyle w:val="Nadpis2"/>
              <w:numPr>
                <w:ilvl w:val="0"/>
                <w:numId w:val="0"/>
              </w:numPr>
              <w:ind w:left="425" w:hanging="425"/>
              <w:outlineLvl w:val="1"/>
              <w:rPr>
                <w:lang w:val="cs-CZ"/>
              </w:rPr>
            </w:pPr>
          </w:p>
        </w:tc>
      </w:tr>
      <w:tr w:rsidR="00DA022D" w:rsidRPr="004F2FF3" w14:paraId="02942D93" w14:textId="77777777" w:rsidTr="007808D5">
        <w:tc>
          <w:tcPr>
            <w:tcW w:w="9997" w:type="dxa"/>
          </w:tcPr>
          <w:p w14:paraId="001FE1BB" w14:textId="39152857" w:rsidR="00DA022D" w:rsidRPr="00B90A17" w:rsidRDefault="00DA022D" w:rsidP="00DA022D">
            <w:pPr>
              <w:pStyle w:val="Nadpis2"/>
              <w:outlineLvl w:val="1"/>
              <w:rPr>
                <w:lang w:val="cs-CZ"/>
              </w:rPr>
            </w:pPr>
            <w:r w:rsidRPr="00B90A17">
              <w:rPr>
                <w:lang w:val="cs-CZ"/>
              </w:rPr>
              <w:t xml:space="preserve">Nájemce nesmí provádět žádné stavební ani jiné úpravy Prostor (trvalé ani dočasné), aniž by si k tomu nejprve opatřil písemný souhlas Pronajímatele. </w:t>
            </w:r>
          </w:p>
        </w:tc>
      </w:tr>
      <w:tr w:rsidR="00DA022D" w:rsidRPr="004F2FF3" w14:paraId="5060281D" w14:textId="77777777" w:rsidTr="007808D5">
        <w:tc>
          <w:tcPr>
            <w:tcW w:w="9997" w:type="dxa"/>
          </w:tcPr>
          <w:p w14:paraId="09A5233E" w14:textId="77777777" w:rsidR="00DA022D" w:rsidRPr="00B90A17" w:rsidRDefault="00DA022D" w:rsidP="00DA022D">
            <w:pPr>
              <w:pStyle w:val="Nadpis2"/>
              <w:numPr>
                <w:ilvl w:val="0"/>
                <w:numId w:val="0"/>
              </w:numPr>
              <w:ind w:left="425"/>
              <w:outlineLvl w:val="1"/>
              <w:rPr>
                <w:lang w:val="cs-CZ"/>
              </w:rPr>
            </w:pPr>
          </w:p>
        </w:tc>
      </w:tr>
      <w:tr w:rsidR="00DA022D" w:rsidRPr="004F2FF3" w14:paraId="557F0D85" w14:textId="77777777" w:rsidTr="007808D5">
        <w:tc>
          <w:tcPr>
            <w:tcW w:w="9997" w:type="dxa"/>
          </w:tcPr>
          <w:p w14:paraId="13EFBCE3" w14:textId="664D59B9" w:rsidR="00DA022D" w:rsidRPr="00B90A17" w:rsidRDefault="00DA022D" w:rsidP="002E4311">
            <w:pPr>
              <w:pStyle w:val="Nadpis2"/>
              <w:outlineLvl w:val="1"/>
              <w:rPr>
                <w:lang w:val="cs-CZ"/>
              </w:rPr>
            </w:pPr>
            <w:r w:rsidRPr="00B90A17">
              <w:rPr>
                <w:lang w:val="cs-CZ"/>
              </w:rPr>
              <w:t>Nájemce je povinen nechat si pojistit veškerý svůj movitý majet</w:t>
            </w:r>
            <w:r w:rsidR="002E4311">
              <w:rPr>
                <w:lang w:val="cs-CZ"/>
              </w:rPr>
              <w:t xml:space="preserve">ek umístěný </w:t>
            </w:r>
            <w:r w:rsidRPr="00B90A17">
              <w:rPr>
                <w:lang w:val="cs-CZ"/>
              </w:rPr>
              <w:t>v Prostorách. Nájemce bere na vědomí a souhlasí, že Pronajímatel neodpovídá za žádné škody, odcizení nebo znehodnocení předmětů Nájemce umístěných v Prostorách. Nájemce je povinen uzavřít pojištění své odpovědnosti za případnou škodu způsobenou v prostorech nebo v/na Budově. Na výzvu Pronajímatele je Nájemce povinen předložit Pronajímateli doklad prokazující takové pojištění.</w:t>
            </w:r>
          </w:p>
        </w:tc>
      </w:tr>
      <w:tr w:rsidR="00DA022D" w:rsidRPr="004F2FF3" w14:paraId="576296D2" w14:textId="77777777" w:rsidTr="007808D5">
        <w:tc>
          <w:tcPr>
            <w:tcW w:w="9997" w:type="dxa"/>
          </w:tcPr>
          <w:p w14:paraId="0636934B" w14:textId="77777777" w:rsidR="00DA022D" w:rsidRPr="00B90A17" w:rsidRDefault="00DA022D" w:rsidP="00DA022D">
            <w:pPr>
              <w:pStyle w:val="Nadpis2"/>
              <w:numPr>
                <w:ilvl w:val="0"/>
                <w:numId w:val="0"/>
              </w:numPr>
              <w:ind w:left="425" w:hanging="425"/>
              <w:outlineLvl w:val="1"/>
              <w:rPr>
                <w:lang w:val="cs-CZ"/>
              </w:rPr>
            </w:pPr>
          </w:p>
        </w:tc>
      </w:tr>
      <w:tr w:rsidR="00DA022D" w:rsidRPr="004F2FF3" w14:paraId="02434062" w14:textId="77777777" w:rsidTr="007808D5">
        <w:tc>
          <w:tcPr>
            <w:tcW w:w="9997" w:type="dxa"/>
          </w:tcPr>
          <w:p w14:paraId="5DD94F85" w14:textId="3C20A1D8" w:rsidR="00DA022D" w:rsidRPr="00D25E3A" w:rsidRDefault="00DA022D" w:rsidP="00274A47">
            <w:pPr>
              <w:pStyle w:val="Nadpis2"/>
              <w:outlineLvl w:val="1"/>
              <w:rPr>
                <w:lang w:val="cs-CZ"/>
              </w:rPr>
            </w:pPr>
            <w:r w:rsidRPr="00D25E3A">
              <w:rPr>
                <w:lang w:val="cs-CZ"/>
              </w:rPr>
              <w:t>Nájemce je povinen neprodleně a na své náklady odstranit veškeré škody v Prostorách a na Budově způsobené Nájemcem, jeho zaměstnanci, klienty, hosty či jinými osobami</w:t>
            </w:r>
            <w:r w:rsidR="00311234" w:rsidRPr="00D25E3A">
              <w:rPr>
                <w:lang w:val="cs-CZ"/>
              </w:rPr>
              <w:t xml:space="preserve">, kterým </w:t>
            </w:r>
            <w:r w:rsidR="004F2FF3">
              <w:rPr>
                <w:lang w:val="cs-CZ"/>
              </w:rPr>
              <w:t xml:space="preserve">Nájemce </w:t>
            </w:r>
            <w:r w:rsidR="00311234" w:rsidRPr="00D25E3A">
              <w:rPr>
                <w:lang w:val="cs-CZ"/>
              </w:rPr>
              <w:t>umožnil přístup do Prostor a do Budovy.</w:t>
            </w:r>
            <w:r w:rsidRPr="00D25E3A">
              <w:rPr>
                <w:lang w:val="cs-CZ"/>
              </w:rPr>
              <w:t xml:space="preserve"> Pokud Nájemce tuto škodu i přes písemnou výzvu Pronajímatele neodstraní, je Pronajímatel oprávněn provést nezbytné úkony na náklady Nájemce.</w:t>
            </w:r>
          </w:p>
        </w:tc>
      </w:tr>
      <w:tr w:rsidR="00DA022D" w:rsidRPr="004F2FF3" w14:paraId="5E5649DF" w14:textId="77777777" w:rsidTr="007808D5">
        <w:tc>
          <w:tcPr>
            <w:tcW w:w="9997" w:type="dxa"/>
          </w:tcPr>
          <w:p w14:paraId="69099CB5" w14:textId="77777777" w:rsidR="00DA022D" w:rsidRPr="00B90A17" w:rsidRDefault="00DA022D" w:rsidP="00DA022D">
            <w:pPr>
              <w:rPr>
                <w:lang w:val="cs-CZ"/>
              </w:rPr>
            </w:pPr>
          </w:p>
        </w:tc>
      </w:tr>
      <w:tr w:rsidR="00DA022D" w:rsidRPr="004F2FF3" w14:paraId="2262E297" w14:textId="77777777" w:rsidTr="007808D5">
        <w:tc>
          <w:tcPr>
            <w:tcW w:w="9997" w:type="dxa"/>
          </w:tcPr>
          <w:p w14:paraId="196F3699" w14:textId="1B958E50" w:rsidR="00DA022D" w:rsidRPr="00B90A17" w:rsidRDefault="00DA022D" w:rsidP="00274A47">
            <w:pPr>
              <w:pStyle w:val="Nadpis2"/>
              <w:outlineLvl w:val="1"/>
              <w:rPr>
                <w:lang w:val="cs-CZ"/>
              </w:rPr>
            </w:pPr>
            <w:r w:rsidRPr="00B90A17">
              <w:rPr>
                <w:lang w:val="cs-CZ"/>
              </w:rPr>
              <w:t xml:space="preserve">Poté, co </w:t>
            </w:r>
            <w:r w:rsidR="00274A47" w:rsidRPr="00B90A17">
              <w:rPr>
                <w:lang w:val="cs-CZ"/>
              </w:rPr>
              <w:t>smluvní strana podá výpově</w:t>
            </w:r>
            <w:r w:rsidRPr="00B90A17">
              <w:rPr>
                <w:lang w:val="cs-CZ"/>
              </w:rPr>
              <w:t>ď nebo ve lhůtě tří (3) měsíců před koncem nájmu dle této Smlouvy je Nájemce povinen umožnit zájemci o nájem Prostor si tyto prohlédnout v doprovodu Pronajímatele anebo Pronajímatelem zmocněné osoby.</w:t>
            </w:r>
          </w:p>
        </w:tc>
      </w:tr>
      <w:tr w:rsidR="00DA022D" w:rsidRPr="004F2FF3" w14:paraId="05D70946" w14:textId="77777777" w:rsidTr="007808D5">
        <w:tc>
          <w:tcPr>
            <w:tcW w:w="9997" w:type="dxa"/>
          </w:tcPr>
          <w:p w14:paraId="469B8EC6" w14:textId="77777777" w:rsidR="00DA022D" w:rsidRPr="00B90A17" w:rsidRDefault="00DA022D" w:rsidP="00DA022D">
            <w:pPr>
              <w:rPr>
                <w:lang w:val="cs-CZ"/>
              </w:rPr>
            </w:pPr>
          </w:p>
        </w:tc>
      </w:tr>
      <w:tr w:rsidR="00DA022D" w:rsidRPr="004F2FF3" w14:paraId="58C2D0F4" w14:textId="77777777" w:rsidTr="007808D5">
        <w:tc>
          <w:tcPr>
            <w:tcW w:w="9997" w:type="dxa"/>
          </w:tcPr>
          <w:p w14:paraId="6804B02F" w14:textId="7DCC6FD7" w:rsidR="00DA022D" w:rsidRPr="00B90A17" w:rsidRDefault="00DA022D" w:rsidP="00DA022D">
            <w:pPr>
              <w:pStyle w:val="Nadpis2"/>
              <w:outlineLvl w:val="1"/>
              <w:rPr>
                <w:lang w:val="cs-CZ"/>
              </w:rPr>
            </w:pPr>
            <w:r w:rsidRPr="00B90A17">
              <w:rPr>
                <w:lang w:val="cs-CZ"/>
              </w:rPr>
              <w:t>Nájemce není oprávněn dále podnajmout Prostory nebo jejich část třetí osobě bez předchozího písemného souhlasu Pronajímatele.</w:t>
            </w:r>
          </w:p>
        </w:tc>
      </w:tr>
      <w:tr w:rsidR="00DA022D" w:rsidRPr="004F2FF3" w14:paraId="76109DBA" w14:textId="77777777" w:rsidTr="007808D5">
        <w:tc>
          <w:tcPr>
            <w:tcW w:w="9997" w:type="dxa"/>
          </w:tcPr>
          <w:p w14:paraId="44D6F83B" w14:textId="77777777" w:rsidR="00DA022D" w:rsidRPr="00B90A17" w:rsidRDefault="00DA022D" w:rsidP="00DA022D">
            <w:pPr>
              <w:rPr>
                <w:lang w:val="cs-CZ"/>
              </w:rPr>
            </w:pPr>
          </w:p>
        </w:tc>
      </w:tr>
      <w:tr w:rsidR="00DA022D" w:rsidRPr="004F2FF3" w14:paraId="454D3B26" w14:textId="77777777" w:rsidTr="007808D5">
        <w:tc>
          <w:tcPr>
            <w:tcW w:w="9997" w:type="dxa"/>
          </w:tcPr>
          <w:p w14:paraId="45CE7998" w14:textId="7EDA5B7C" w:rsidR="00DA022D" w:rsidRPr="00B90A17" w:rsidRDefault="00DA022D" w:rsidP="00DA022D">
            <w:pPr>
              <w:pStyle w:val="Nadpis2"/>
              <w:outlineLvl w:val="1"/>
              <w:rPr>
                <w:lang w:val="cs-CZ"/>
              </w:rPr>
            </w:pPr>
            <w:r w:rsidRPr="00B90A17">
              <w:rPr>
                <w:lang w:val="cs-CZ"/>
              </w:rPr>
              <w:t>Nájemce není oprávněn bez předchozího písemného souhlasu Pronajímatele umístit v/na Budově a/nebo u vstupu Prostor štíty, návěstí nebo obdobná znamení.</w:t>
            </w:r>
          </w:p>
        </w:tc>
      </w:tr>
      <w:tr w:rsidR="00DA022D" w:rsidRPr="004F2FF3" w14:paraId="462B9CA1" w14:textId="77777777" w:rsidTr="007808D5">
        <w:tc>
          <w:tcPr>
            <w:tcW w:w="9997" w:type="dxa"/>
          </w:tcPr>
          <w:p w14:paraId="3EE2F9D2" w14:textId="77777777" w:rsidR="00DA022D" w:rsidRPr="00B90A17" w:rsidRDefault="00DA022D" w:rsidP="00DA022D">
            <w:pPr>
              <w:rPr>
                <w:lang w:val="cs-CZ"/>
              </w:rPr>
            </w:pPr>
          </w:p>
        </w:tc>
      </w:tr>
      <w:tr w:rsidR="00DA022D" w:rsidRPr="004F2FF3" w14:paraId="534E098E" w14:textId="77777777" w:rsidTr="007808D5">
        <w:tc>
          <w:tcPr>
            <w:tcW w:w="9997" w:type="dxa"/>
          </w:tcPr>
          <w:p w14:paraId="1E919D58" w14:textId="56746E50" w:rsidR="00DA022D" w:rsidRPr="00B90A17" w:rsidRDefault="00DA022D" w:rsidP="00DA022D">
            <w:pPr>
              <w:pStyle w:val="Nadpis2"/>
              <w:outlineLvl w:val="1"/>
              <w:rPr>
                <w:lang w:val="cs-CZ"/>
              </w:rPr>
            </w:pPr>
            <w:r w:rsidRPr="00B90A17">
              <w:rPr>
                <w:lang w:val="cs-CZ"/>
              </w:rPr>
              <w:t>Nájemce je povinen udržovat čistotu a pořádek v Prostorech a Budově.</w:t>
            </w:r>
          </w:p>
        </w:tc>
      </w:tr>
      <w:tr w:rsidR="00DA022D" w:rsidRPr="004F2FF3" w14:paraId="46147E98" w14:textId="77777777" w:rsidTr="007808D5">
        <w:tc>
          <w:tcPr>
            <w:tcW w:w="9997" w:type="dxa"/>
          </w:tcPr>
          <w:p w14:paraId="29874951" w14:textId="77777777" w:rsidR="00DA022D" w:rsidRPr="00B90A17" w:rsidRDefault="00DA022D" w:rsidP="00DA022D">
            <w:pPr>
              <w:rPr>
                <w:lang w:val="cs-CZ"/>
              </w:rPr>
            </w:pPr>
          </w:p>
        </w:tc>
      </w:tr>
      <w:tr w:rsidR="00DA022D" w:rsidRPr="00B90A17" w14:paraId="01DDEAB8" w14:textId="77777777" w:rsidTr="007808D5">
        <w:tc>
          <w:tcPr>
            <w:tcW w:w="9997" w:type="dxa"/>
          </w:tcPr>
          <w:p w14:paraId="270D0282" w14:textId="5A1D673B" w:rsidR="00DA022D" w:rsidRPr="00B90A17" w:rsidRDefault="00DA022D" w:rsidP="00DA022D">
            <w:pPr>
              <w:pStyle w:val="Nadpis1"/>
              <w:outlineLvl w:val="0"/>
              <w:rPr>
                <w:lang w:val="cs-CZ"/>
              </w:rPr>
            </w:pPr>
            <w:r w:rsidRPr="00B90A17">
              <w:rPr>
                <w:lang w:val="cs-CZ"/>
              </w:rPr>
              <w:t>Ukončení nájmu</w:t>
            </w:r>
          </w:p>
        </w:tc>
      </w:tr>
      <w:tr w:rsidR="00DA022D" w:rsidRPr="00B90A17" w14:paraId="6D6E47C7" w14:textId="77777777" w:rsidTr="007808D5">
        <w:tc>
          <w:tcPr>
            <w:tcW w:w="9997" w:type="dxa"/>
          </w:tcPr>
          <w:p w14:paraId="39823417" w14:textId="77777777" w:rsidR="00DA022D" w:rsidRPr="00B90A17" w:rsidRDefault="00DA022D" w:rsidP="00DA022D">
            <w:pPr>
              <w:rPr>
                <w:lang w:val="cs-CZ"/>
              </w:rPr>
            </w:pPr>
          </w:p>
        </w:tc>
      </w:tr>
      <w:tr w:rsidR="00DA022D" w:rsidRPr="004F2FF3" w14:paraId="6DA5946F" w14:textId="77777777" w:rsidTr="007808D5">
        <w:tc>
          <w:tcPr>
            <w:tcW w:w="9997" w:type="dxa"/>
          </w:tcPr>
          <w:p w14:paraId="34ACC6F3" w14:textId="669672AF" w:rsidR="00DA022D" w:rsidRPr="00B90A17" w:rsidRDefault="00DA022D" w:rsidP="00DA022D">
            <w:pPr>
              <w:pStyle w:val="Nadpis2"/>
              <w:outlineLvl w:val="1"/>
              <w:rPr>
                <w:lang w:val="cs-CZ"/>
              </w:rPr>
            </w:pPr>
            <w:r w:rsidRPr="00B90A17">
              <w:rPr>
                <w:lang w:val="cs-CZ"/>
              </w:rPr>
              <w:t>Nájem podle této Smlouvy zaniká:</w:t>
            </w:r>
          </w:p>
        </w:tc>
      </w:tr>
      <w:tr w:rsidR="00DA022D" w:rsidRPr="004F2FF3" w14:paraId="146AE944" w14:textId="77777777" w:rsidTr="007808D5">
        <w:tc>
          <w:tcPr>
            <w:tcW w:w="9997" w:type="dxa"/>
          </w:tcPr>
          <w:p w14:paraId="043C524D" w14:textId="77777777" w:rsidR="00DA022D" w:rsidRPr="00B90A17" w:rsidRDefault="00DA022D" w:rsidP="00DA022D">
            <w:pPr>
              <w:rPr>
                <w:lang w:val="cs-CZ"/>
              </w:rPr>
            </w:pPr>
          </w:p>
        </w:tc>
      </w:tr>
      <w:tr w:rsidR="00DA022D" w:rsidRPr="004F2FF3" w14:paraId="62B32376" w14:textId="77777777" w:rsidTr="007808D5">
        <w:tc>
          <w:tcPr>
            <w:tcW w:w="9997" w:type="dxa"/>
          </w:tcPr>
          <w:p w14:paraId="1E179F69" w14:textId="12F9A35C" w:rsidR="00DA022D" w:rsidRPr="00B90A17" w:rsidRDefault="00DA022D" w:rsidP="00274A47">
            <w:pPr>
              <w:pStyle w:val="Nadpis3"/>
              <w:outlineLvl w:val="2"/>
              <w:rPr>
                <w:lang w:val="cs-CZ"/>
              </w:rPr>
            </w:pPr>
            <w:r w:rsidRPr="00B90A17">
              <w:rPr>
                <w:lang w:val="cs-CZ"/>
              </w:rPr>
              <w:t xml:space="preserve">písemnou dohodou mezi smluvními stranami; nebo </w:t>
            </w:r>
          </w:p>
        </w:tc>
      </w:tr>
      <w:tr w:rsidR="00DA022D" w:rsidRPr="00B90A17" w14:paraId="7314A4F6" w14:textId="77777777" w:rsidTr="007808D5">
        <w:tc>
          <w:tcPr>
            <w:tcW w:w="9997" w:type="dxa"/>
          </w:tcPr>
          <w:p w14:paraId="0D64518B" w14:textId="282A2361" w:rsidR="00DA022D" w:rsidRPr="00B90A17" w:rsidRDefault="00DA022D" w:rsidP="00A55BFA">
            <w:pPr>
              <w:pStyle w:val="Nadpis3"/>
              <w:outlineLvl w:val="2"/>
              <w:rPr>
                <w:lang w:val="cs-CZ"/>
              </w:rPr>
            </w:pPr>
            <w:r w:rsidRPr="00B90A17">
              <w:rPr>
                <w:lang w:val="cs-CZ"/>
              </w:rPr>
              <w:t>uplynutím výpovědní doby.</w:t>
            </w:r>
          </w:p>
        </w:tc>
      </w:tr>
      <w:tr w:rsidR="00DA022D" w:rsidRPr="00B90A17" w14:paraId="7311CF1E" w14:textId="77777777" w:rsidTr="007808D5">
        <w:tc>
          <w:tcPr>
            <w:tcW w:w="9997" w:type="dxa"/>
          </w:tcPr>
          <w:p w14:paraId="7A097264" w14:textId="459A5B5A" w:rsidR="00DA022D" w:rsidRPr="00B90A17" w:rsidRDefault="00DA022D" w:rsidP="00DA022D">
            <w:pPr>
              <w:rPr>
                <w:lang w:val="cs-CZ"/>
              </w:rPr>
            </w:pPr>
          </w:p>
        </w:tc>
      </w:tr>
      <w:tr w:rsidR="00DA022D" w:rsidRPr="00B90A17" w14:paraId="37B5EFD3" w14:textId="77777777" w:rsidTr="007808D5">
        <w:tc>
          <w:tcPr>
            <w:tcW w:w="9997" w:type="dxa"/>
          </w:tcPr>
          <w:p w14:paraId="0D43A956" w14:textId="37148F67" w:rsidR="00DA022D" w:rsidRPr="00B90A17" w:rsidRDefault="00DA022D" w:rsidP="00EB0E35">
            <w:pPr>
              <w:pStyle w:val="Nadpis2"/>
              <w:outlineLvl w:val="1"/>
              <w:rPr>
                <w:lang w:val="cs-CZ"/>
              </w:rPr>
            </w:pPr>
            <w:bookmarkStart w:id="3" w:name="_Ref377502088"/>
            <w:r w:rsidRPr="00B90A17">
              <w:rPr>
                <w:lang w:val="cs-CZ"/>
              </w:rPr>
              <w:t>Pronajímatel je oprávněn tuto Smlouvu písemně vypovědět</w:t>
            </w:r>
            <w:r w:rsidR="00EB0E35" w:rsidRPr="00B90A17">
              <w:rPr>
                <w:lang w:val="cs-CZ"/>
              </w:rPr>
              <w:t xml:space="preserve"> bez výpovědní doby, porušuje-li nájemce své povinnosti zvlášť záv</w:t>
            </w:r>
            <w:r w:rsidR="001E7790" w:rsidRPr="00B90A17">
              <w:rPr>
                <w:lang w:val="cs-CZ"/>
              </w:rPr>
              <w:t>ažným způsobem, což je zejména</w:t>
            </w:r>
            <w:r w:rsidR="00EB0E35" w:rsidRPr="00B90A17">
              <w:rPr>
                <w:lang w:val="cs-CZ"/>
              </w:rPr>
              <w:t xml:space="preserve"> </w:t>
            </w:r>
            <w:r w:rsidRPr="00B90A17">
              <w:rPr>
                <w:lang w:val="cs-CZ"/>
              </w:rPr>
              <w:t>z následujících důvodů:</w:t>
            </w:r>
            <w:bookmarkEnd w:id="3"/>
          </w:p>
        </w:tc>
      </w:tr>
      <w:tr w:rsidR="00DA022D" w:rsidRPr="00B90A17" w14:paraId="7E2EF10F" w14:textId="77777777" w:rsidTr="007808D5">
        <w:tc>
          <w:tcPr>
            <w:tcW w:w="9997" w:type="dxa"/>
          </w:tcPr>
          <w:p w14:paraId="5D125880" w14:textId="77777777" w:rsidR="00DA022D" w:rsidRPr="00B90A17" w:rsidRDefault="00DA022D" w:rsidP="00DA022D">
            <w:pPr>
              <w:rPr>
                <w:lang w:val="cs-CZ"/>
              </w:rPr>
            </w:pPr>
          </w:p>
        </w:tc>
      </w:tr>
      <w:tr w:rsidR="00DA022D" w:rsidRPr="00B90A17" w14:paraId="05740CE1" w14:textId="77777777" w:rsidTr="007808D5">
        <w:tc>
          <w:tcPr>
            <w:tcW w:w="9997" w:type="dxa"/>
          </w:tcPr>
          <w:p w14:paraId="69E2B98B" w14:textId="641A4277" w:rsidR="00DA022D" w:rsidRPr="00B90A17" w:rsidRDefault="00DA022D" w:rsidP="00DA022D">
            <w:pPr>
              <w:pStyle w:val="Nadpis3"/>
              <w:outlineLvl w:val="2"/>
              <w:rPr>
                <w:lang w:val="cs-CZ"/>
              </w:rPr>
            </w:pPr>
            <w:r w:rsidRPr="00B90A17">
              <w:rPr>
                <w:lang w:val="cs-CZ"/>
              </w:rPr>
              <w:t>Nájemce je</w:t>
            </w:r>
            <w:r w:rsidR="00577031" w:rsidRPr="00B90A17">
              <w:rPr>
                <w:lang w:val="cs-CZ"/>
              </w:rPr>
              <w:t xml:space="preserve"> v prodlení s úhradou Nájemného, Záloh na energie </w:t>
            </w:r>
            <w:r w:rsidRPr="00B90A17">
              <w:rPr>
                <w:lang w:val="cs-CZ"/>
              </w:rPr>
              <w:t>nebo Poplatků za služby po dobu delší než jeden (1) měsíc;</w:t>
            </w:r>
          </w:p>
        </w:tc>
      </w:tr>
      <w:tr w:rsidR="00DA022D" w:rsidRPr="00B90A17" w14:paraId="55436A77" w14:textId="77777777" w:rsidTr="007808D5">
        <w:tc>
          <w:tcPr>
            <w:tcW w:w="9997" w:type="dxa"/>
          </w:tcPr>
          <w:p w14:paraId="501ECF28" w14:textId="77777777" w:rsidR="00DA022D" w:rsidRPr="00B90A17" w:rsidRDefault="00DA022D" w:rsidP="00DA022D">
            <w:pPr>
              <w:rPr>
                <w:lang w:val="cs-CZ"/>
              </w:rPr>
            </w:pPr>
          </w:p>
        </w:tc>
      </w:tr>
      <w:tr w:rsidR="00DA022D" w:rsidRPr="00B90A17" w14:paraId="7CE07B00" w14:textId="77777777" w:rsidTr="007808D5">
        <w:tc>
          <w:tcPr>
            <w:tcW w:w="9997" w:type="dxa"/>
          </w:tcPr>
          <w:p w14:paraId="16584D2C" w14:textId="65D1CCF8" w:rsidR="00DA022D" w:rsidRPr="00B90A17" w:rsidRDefault="00DA022D" w:rsidP="00274A47">
            <w:pPr>
              <w:pStyle w:val="Nadpis3"/>
              <w:outlineLvl w:val="2"/>
              <w:rPr>
                <w:lang w:val="cs-CZ"/>
              </w:rPr>
            </w:pPr>
            <w:r w:rsidRPr="00B90A17">
              <w:rPr>
                <w:lang w:val="cs-CZ"/>
              </w:rPr>
              <w:t>Nájemce používá Prostory v rozporu s účelem nájmu sjednaným v čl. </w:t>
            </w:r>
            <w:r w:rsidRPr="00B90A17">
              <w:rPr>
                <w:lang w:val="cs-CZ"/>
              </w:rPr>
              <w:fldChar w:fldCharType="begin"/>
            </w:r>
            <w:r w:rsidRPr="00B90A17">
              <w:rPr>
                <w:lang w:val="cs-CZ"/>
              </w:rPr>
              <w:instrText xml:space="preserve"> REF _Ref377496780 \r \h  \* MERGEFORMAT </w:instrText>
            </w:r>
            <w:r w:rsidRPr="00B90A17">
              <w:rPr>
                <w:lang w:val="cs-CZ"/>
              </w:rPr>
            </w:r>
            <w:r w:rsidRPr="00B90A17">
              <w:rPr>
                <w:lang w:val="cs-CZ"/>
              </w:rPr>
              <w:fldChar w:fldCharType="separate"/>
            </w:r>
            <w:r w:rsidRPr="00B90A17">
              <w:rPr>
                <w:lang w:val="cs-CZ"/>
              </w:rPr>
              <w:t>3</w:t>
            </w:r>
            <w:r w:rsidRPr="00B90A17">
              <w:rPr>
                <w:lang w:val="cs-CZ"/>
              </w:rPr>
              <w:fldChar w:fldCharType="end"/>
            </w:r>
            <w:r w:rsidRPr="00B90A17">
              <w:rPr>
                <w:lang w:val="cs-CZ"/>
              </w:rPr>
              <w:t xml:space="preserve"> této Smlouvy;</w:t>
            </w:r>
          </w:p>
        </w:tc>
      </w:tr>
      <w:tr w:rsidR="00DA022D" w:rsidRPr="00B90A17" w14:paraId="4B157C74" w14:textId="77777777" w:rsidTr="007808D5">
        <w:tc>
          <w:tcPr>
            <w:tcW w:w="9997" w:type="dxa"/>
          </w:tcPr>
          <w:p w14:paraId="4ADBBCFD" w14:textId="77777777" w:rsidR="00DA022D" w:rsidRPr="00B90A17" w:rsidRDefault="00DA022D" w:rsidP="00DA022D">
            <w:pPr>
              <w:rPr>
                <w:lang w:val="cs-CZ"/>
              </w:rPr>
            </w:pPr>
          </w:p>
        </w:tc>
      </w:tr>
      <w:tr w:rsidR="00DA022D" w:rsidRPr="00311234" w14:paraId="356D1A15" w14:textId="77777777" w:rsidTr="007808D5">
        <w:tc>
          <w:tcPr>
            <w:tcW w:w="9997" w:type="dxa"/>
          </w:tcPr>
          <w:p w14:paraId="125456F8" w14:textId="0A595BD6" w:rsidR="00DA022D" w:rsidRPr="00D25E3A" w:rsidRDefault="00DA022D" w:rsidP="00274A47">
            <w:pPr>
              <w:pStyle w:val="Nadpis3"/>
              <w:outlineLvl w:val="2"/>
              <w:rPr>
                <w:lang w:val="cs-CZ"/>
              </w:rPr>
            </w:pPr>
            <w:r w:rsidRPr="00D25E3A">
              <w:rPr>
                <w:lang w:val="cs-CZ"/>
              </w:rPr>
              <w:t>Nájemce bez předchozího písemného souhlasu změní předmět činnosti uvedený v čl.</w:t>
            </w:r>
            <w:r w:rsidR="00311234" w:rsidRPr="00D25E3A">
              <w:rPr>
                <w:lang w:val="cs-CZ"/>
              </w:rPr>
              <w:t xml:space="preserve"> 3</w:t>
            </w:r>
            <w:r w:rsidRPr="00D25E3A">
              <w:rPr>
                <w:lang w:val="cs-CZ"/>
              </w:rPr>
              <w:t xml:space="preserve"> této Smlouvy</w:t>
            </w:r>
            <w:r w:rsidR="00364BDB" w:rsidRPr="00D25E3A">
              <w:rPr>
                <w:lang w:val="cs-CZ"/>
              </w:rPr>
              <w:t xml:space="preserve"> nebo dá Prostory bez souhlasu Pronajímatele do podnájmu</w:t>
            </w:r>
            <w:r w:rsidRPr="00D25E3A">
              <w:rPr>
                <w:lang w:val="cs-CZ"/>
              </w:rPr>
              <w:t>;</w:t>
            </w:r>
          </w:p>
        </w:tc>
      </w:tr>
      <w:tr w:rsidR="00DA022D" w:rsidRPr="00311234" w14:paraId="71BD31A9" w14:textId="77777777" w:rsidTr="007808D5">
        <w:tc>
          <w:tcPr>
            <w:tcW w:w="9997" w:type="dxa"/>
          </w:tcPr>
          <w:p w14:paraId="358E640F" w14:textId="77777777" w:rsidR="00DA022D" w:rsidRPr="00B90A17" w:rsidRDefault="00DA022D" w:rsidP="00DA022D">
            <w:pPr>
              <w:rPr>
                <w:lang w:val="cs-CZ"/>
              </w:rPr>
            </w:pPr>
          </w:p>
        </w:tc>
      </w:tr>
      <w:tr w:rsidR="00DA022D" w:rsidRPr="003F0E8A" w14:paraId="05A138B9" w14:textId="77777777" w:rsidTr="007808D5">
        <w:tc>
          <w:tcPr>
            <w:tcW w:w="9997" w:type="dxa"/>
          </w:tcPr>
          <w:p w14:paraId="02271EA7" w14:textId="1942512F" w:rsidR="00DA022D" w:rsidRPr="00B90A17" w:rsidRDefault="00DA022D" w:rsidP="00DA022D">
            <w:pPr>
              <w:pStyle w:val="Nadpis3"/>
              <w:outlineLvl w:val="2"/>
              <w:rPr>
                <w:lang w:val="cs-CZ"/>
              </w:rPr>
            </w:pPr>
            <w:r w:rsidRPr="00B90A17">
              <w:rPr>
                <w:lang w:val="cs-CZ"/>
              </w:rPr>
              <w:t>osoby, které vstupují do Prostor nebo užívají Prostory se souhlasem Nájemce, a/nebo Nájemce hrubě porušují klid nebo pořádek v Budově a/nebo jejím okolí;</w:t>
            </w:r>
          </w:p>
        </w:tc>
      </w:tr>
      <w:tr w:rsidR="00DA022D" w:rsidRPr="003F0E8A" w14:paraId="033286E3" w14:textId="77777777" w:rsidTr="007808D5">
        <w:tc>
          <w:tcPr>
            <w:tcW w:w="9997" w:type="dxa"/>
          </w:tcPr>
          <w:p w14:paraId="1509C237" w14:textId="77777777" w:rsidR="00DA022D" w:rsidRPr="00B90A17" w:rsidRDefault="00DA022D" w:rsidP="00DA022D">
            <w:pPr>
              <w:rPr>
                <w:lang w:val="cs-CZ"/>
              </w:rPr>
            </w:pPr>
          </w:p>
        </w:tc>
      </w:tr>
      <w:tr w:rsidR="00DA022D" w:rsidRPr="003F0E8A" w14:paraId="4C9B061B" w14:textId="77777777" w:rsidTr="007808D5">
        <w:tc>
          <w:tcPr>
            <w:tcW w:w="9997" w:type="dxa"/>
          </w:tcPr>
          <w:p w14:paraId="446D7454" w14:textId="396280E4" w:rsidR="00DA022D" w:rsidRPr="00B90A17" w:rsidRDefault="00DA022D" w:rsidP="00DA022D">
            <w:pPr>
              <w:pStyle w:val="Nadpis3"/>
              <w:outlineLvl w:val="2"/>
              <w:rPr>
                <w:lang w:val="cs-CZ"/>
              </w:rPr>
            </w:pPr>
            <w:r w:rsidRPr="00B90A17">
              <w:rPr>
                <w:lang w:val="cs-CZ"/>
              </w:rPr>
              <w:t>Nájemce užívá Prostory způsobem, jenž může vést k jejich poškození</w:t>
            </w:r>
            <w:r w:rsidR="001E7790" w:rsidRPr="00B90A17">
              <w:rPr>
                <w:lang w:val="cs-CZ"/>
              </w:rPr>
              <w:t xml:space="preserve"> nebo poškozuje Budovu.</w:t>
            </w:r>
          </w:p>
        </w:tc>
      </w:tr>
      <w:tr w:rsidR="00DA022D" w:rsidRPr="003F0E8A" w14:paraId="4984AD8E" w14:textId="77777777" w:rsidTr="007808D5">
        <w:tc>
          <w:tcPr>
            <w:tcW w:w="9997" w:type="dxa"/>
          </w:tcPr>
          <w:p w14:paraId="72462088" w14:textId="77777777" w:rsidR="00DA022D" w:rsidRPr="00B90A17" w:rsidRDefault="00DA022D" w:rsidP="00DA022D">
            <w:pPr>
              <w:rPr>
                <w:lang w:val="cs-CZ"/>
              </w:rPr>
            </w:pPr>
          </w:p>
        </w:tc>
      </w:tr>
      <w:tr w:rsidR="001E7790" w:rsidRPr="003F0E8A" w14:paraId="74C3961D" w14:textId="77777777" w:rsidTr="007808D5">
        <w:tc>
          <w:tcPr>
            <w:tcW w:w="9997" w:type="dxa"/>
          </w:tcPr>
          <w:p w14:paraId="17AA2113" w14:textId="509CCCB8" w:rsidR="001E7790" w:rsidRPr="00B90A17" w:rsidRDefault="001E7790" w:rsidP="001E7790">
            <w:pPr>
              <w:pStyle w:val="Nadpis2"/>
              <w:outlineLvl w:val="1"/>
              <w:rPr>
                <w:lang w:val="cs-CZ"/>
              </w:rPr>
            </w:pPr>
            <w:r w:rsidRPr="00B90A17">
              <w:rPr>
                <w:lang w:val="cs-CZ"/>
              </w:rPr>
              <w:t xml:space="preserve">Pronajímatel je </w:t>
            </w:r>
            <w:r w:rsidR="00364BDB">
              <w:rPr>
                <w:lang w:val="cs-CZ"/>
              </w:rPr>
              <w:t xml:space="preserve">dále </w:t>
            </w:r>
            <w:r w:rsidRPr="00B90A17">
              <w:rPr>
                <w:lang w:val="cs-CZ"/>
              </w:rPr>
              <w:t>oprávněn tuto Smlouvu dále vypovědět, pokud:</w:t>
            </w:r>
          </w:p>
        </w:tc>
      </w:tr>
      <w:tr w:rsidR="001E7790" w:rsidRPr="003F0E8A" w14:paraId="047FB6A1" w14:textId="77777777" w:rsidTr="007808D5">
        <w:tc>
          <w:tcPr>
            <w:tcW w:w="9997" w:type="dxa"/>
          </w:tcPr>
          <w:p w14:paraId="7F1284DB" w14:textId="77777777" w:rsidR="001E7790" w:rsidRPr="00B90A17" w:rsidRDefault="001E7790" w:rsidP="00DA022D">
            <w:pPr>
              <w:rPr>
                <w:lang w:val="cs-CZ"/>
              </w:rPr>
            </w:pPr>
          </w:p>
        </w:tc>
      </w:tr>
      <w:tr w:rsidR="00DA022D" w:rsidRPr="004F2FF3" w14:paraId="380AA66A" w14:textId="77777777" w:rsidTr="007808D5">
        <w:tc>
          <w:tcPr>
            <w:tcW w:w="9997" w:type="dxa"/>
          </w:tcPr>
          <w:p w14:paraId="71C54590" w14:textId="3C14F9A9" w:rsidR="00DA022D" w:rsidRPr="00B90A17" w:rsidRDefault="00DA022D" w:rsidP="001E7790">
            <w:pPr>
              <w:pStyle w:val="Nadpis3"/>
              <w:outlineLvl w:val="2"/>
              <w:rPr>
                <w:lang w:val="cs-CZ"/>
              </w:rPr>
            </w:pPr>
            <w:r w:rsidRPr="00B90A17">
              <w:rPr>
                <w:lang w:val="cs-CZ"/>
              </w:rPr>
              <w:t xml:space="preserve"> Nájemce hrubě</w:t>
            </w:r>
            <w:r w:rsidR="001E7790" w:rsidRPr="00B90A17">
              <w:rPr>
                <w:lang w:val="cs-CZ"/>
              </w:rPr>
              <w:t xml:space="preserve"> porušuje </w:t>
            </w:r>
            <w:r w:rsidRPr="00B90A17">
              <w:rPr>
                <w:lang w:val="cs-CZ"/>
              </w:rPr>
              <w:t xml:space="preserve">jakékoliv </w:t>
            </w:r>
            <w:r w:rsidR="001E7790" w:rsidRPr="00B90A17">
              <w:rPr>
                <w:lang w:val="cs-CZ"/>
              </w:rPr>
              <w:t xml:space="preserve">jiné </w:t>
            </w:r>
            <w:r w:rsidRPr="00B90A17">
              <w:rPr>
                <w:lang w:val="cs-CZ"/>
              </w:rPr>
              <w:t>své povinnosti vůči Pronajímateli</w:t>
            </w:r>
            <w:r w:rsidR="00696653">
              <w:rPr>
                <w:lang w:val="cs-CZ"/>
              </w:rPr>
              <w:t xml:space="preserve"> neuvedené v čl.</w:t>
            </w:r>
            <w:r w:rsidR="00311234">
              <w:rPr>
                <w:lang w:val="cs-CZ"/>
              </w:rPr>
              <w:t xml:space="preserve"> 8.2. </w:t>
            </w:r>
            <w:r w:rsidR="001E7790" w:rsidRPr="00B90A17">
              <w:rPr>
                <w:lang w:val="cs-CZ"/>
              </w:rPr>
              <w:t>výše;</w:t>
            </w:r>
          </w:p>
        </w:tc>
      </w:tr>
      <w:tr w:rsidR="00DA022D" w:rsidRPr="004F2FF3" w14:paraId="7B3073DB" w14:textId="77777777" w:rsidTr="007808D5">
        <w:tc>
          <w:tcPr>
            <w:tcW w:w="9997" w:type="dxa"/>
          </w:tcPr>
          <w:p w14:paraId="0037E3F2" w14:textId="77777777" w:rsidR="00DA022D" w:rsidRPr="00B90A17" w:rsidRDefault="00DA022D" w:rsidP="00DA022D">
            <w:pPr>
              <w:rPr>
                <w:lang w:val="cs-CZ"/>
              </w:rPr>
            </w:pPr>
          </w:p>
        </w:tc>
      </w:tr>
      <w:tr w:rsidR="001E7790" w:rsidRPr="004F2FF3" w14:paraId="550C0EF0" w14:textId="77777777" w:rsidTr="007808D5">
        <w:tc>
          <w:tcPr>
            <w:tcW w:w="9997" w:type="dxa"/>
          </w:tcPr>
          <w:p w14:paraId="7FD2CCE9" w14:textId="33E89928" w:rsidR="001E7790" w:rsidRPr="00B90A17" w:rsidRDefault="001E7790" w:rsidP="00364BDB">
            <w:pPr>
              <w:pStyle w:val="Nadpis3"/>
              <w:outlineLvl w:val="2"/>
              <w:rPr>
                <w:lang w:val="cs-CZ"/>
              </w:rPr>
            </w:pPr>
            <w:r w:rsidRPr="00B90A17">
              <w:rPr>
                <w:lang w:val="cs-CZ"/>
              </w:rPr>
              <w:t xml:space="preserve">má-li být Budova, v níž se </w:t>
            </w:r>
            <w:r w:rsidR="00364BDB">
              <w:rPr>
                <w:lang w:val="cs-CZ"/>
              </w:rPr>
              <w:t xml:space="preserve">Prostory </w:t>
            </w:r>
            <w:r w:rsidRPr="00B90A17">
              <w:rPr>
                <w:lang w:val="cs-CZ"/>
              </w:rPr>
              <w:t>nachází, odstraněna, anebo přestavována tak, že to brání dalšímu užívání prostoru, a Pronajímatel to při uzavření této Smlouvy nemusel ani nemohl předvídat.</w:t>
            </w:r>
          </w:p>
        </w:tc>
      </w:tr>
      <w:tr w:rsidR="001E7790" w:rsidRPr="004F2FF3" w14:paraId="6D9908E5" w14:textId="77777777" w:rsidTr="007808D5">
        <w:tc>
          <w:tcPr>
            <w:tcW w:w="9997" w:type="dxa"/>
          </w:tcPr>
          <w:p w14:paraId="7631BFD3" w14:textId="77777777" w:rsidR="001E7790" w:rsidRPr="00B90A17" w:rsidRDefault="001E7790" w:rsidP="00DA022D">
            <w:pPr>
              <w:rPr>
                <w:lang w:val="cs-CZ"/>
              </w:rPr>
            </w:pPr>
          </w:p>
        </w:tc>
      </w:tr>
      <w:tr w:rsidR="00DA022D" w:rsidRPr="004F2FF3" w14:paraId="028ABB6F" w14:textId="77777777" w:rsidTr="007808D5">
        <w:tc>
          <w:tcPr>
            <w:tcW w:w="9997" w:type="dxa"/>
          </w:tcPr>
          <w:p w14:paraId="79E52BD0" w14:textId="4191E05E" w:rsidR="00DA022D" w:rsidRPr="00B90A17" w:rsidRDefault="00DA022D" w:rsidP="00F60E58">
            <w:pPr>
              <w:pStyle w:val="Nadpis2"/>
              <w:outlineLvl w:val="1"/>
              <w:rPr>
                <w:lang w:val="cs-CZ"/>
              </w:rPr>
            </w:pPr>
            <w:r w:rsidRPr="00B90A17">
              <w:rPr>
                <w:lang w:val="cs-CZ"/>
              </w:rPr>
              <w:t>Nájemce je oprávněn tuto Smlouvu</w:t>
            </w:r>
            <w:r w:rsidR="00F60E58" w:rsidRPr="00B90A17">
              <w:rPr>
                <w:lang w:val="cs-CZ"/>
              </w:rPr>
              <w:t xml:space="preserve"> písemně vypovědět bez výpovědní doby</w:t>
            </w:r>
            <w:r w:rsidRPr="00B90A17">
              <w:rPr>
                <w:lang w:val="cs-CZ"/>
              </w:rPr>
              <w:t>, pokud:</w:t>
            </w:r>
          </w:p>
        </w:tc>
      </w:tr>
      <w:tr w:rsidR="00DA022D" w:rsidRPr="004F2FF3" w14:paraId="05FEBD24" w14:textId="77777777" w:rsidTr="007808D5">
        <w:tc>
          <w:tcPr>
            <w:tcW w:w="9997" w:type="dxa"/>
          </w:tcPr>
          <w:p w14:paraId="1F45519D" w14:textId="77777777" w:rsidR="00DA022D" w:rsidRPr="00B90A17" w:rsidRDefault="00DA022D" w:rsidP="00DA022D">
            <w:pPr>
              <w:rPr>
                <w:lang w:val="cs-CZ"/>
              </w:rPr>
            </w:pPr>
          </w:p>
        </w:tc>
      </w:tr>
      <w:tr w:rsidR="00DA022D" w:rsidRPr="004F2FF3" w14:paraId="1BD7FB12" w14:textId="77777777" w:rsidTr="007808D5">
        <w:tc>
          <w:tcPr>
            <w:tcW w:w="9997" w:type="dxa"/>
          </w:tcPr>
          <w:p w14:paraId="3BCA01C6" w14:textId="47A105E3" w:rsidR="00DA022D" w:rsidRPr="00D25E3A" w:rsidRDefault="00DA022D" w:rsidP="00DA022D">
            <w:pPr>
              <w:pStyle w:val="Nadpis3"/>
              <w:outlineLvl w:val="2"/>
              <w:rPr>
                <w:lang w:val="cs-CZ"/>
              </w:rPr>
            </w:pPr>
            <w:r w:rsidRPr="00D25E3A">
              <w:rPr>
                <w:lang w:val="cs-CZ"/>
              </w:rPr>
              <w:t>se Prostory bez Nájemcova zavinění stanou naprosto nevyhovujícími pro sjednaný účel dle čl.</w:t>
            </w:r>
            <w:r w:rsidR="00311234" w:rsidRPr="00D25E3A">
              <w:rPr>
                <w:lang w:val="cs-CZ"/>
              </w:rPr>
              <w:t xml:space="preserve"> 3</w:t>
            </w:r>
            <w:r w:rsidRPr="00D25E3A">
              <w:rPr>
                <w:lang w:val="cs-CZ"/>
              </w:rPr>
              <w:t xml:space="preserve"> této Smlouvy po dobu delší než jeden (1) měsíc;</w:t>
            </w:r>
          </w:p>
        </w:tc>
      </w:tr>
      <w:tr w:rsidR="00DA022D" w:rsidRPr="004F2FF3" w14:paraId="65FCC47C" w14:textId="77777777" w:rsidTr="007808D5">
        <w:tc>
          <w:tcPr>
            <w:tcW w:w="9997" w:type="dxa"/>
          </w:tcPr>
          <w:p w14:paraId="47C79ADC" w14:textId="77777777" w:rsidR="00DA022D" w:rsidRPr="00B90A17" w:rsidRDefault="00DA022D" w:rsidP="00DA022D">
            <w:pPr>
              <w:rPr>
                <w:lang w:val="cs-CZ"/>
              </w:rPr>
            </w:pPr>
          </w:p>
        </w:tc>
      </w:tr>
      <w:tr w:rsidR="00DA022D" w:rsidRPr="004F2FF3" w14:paraId="591252BC" w14:textId="77777777" w:rsidTr="007808D5">
        <w:tc>
          <w:tcPr>
            <w:tcW w:w="9997" w:type="dxa"/>
          </w:tcPr>
          <w:p w14:paraId="3E703C69" w14:textId="1E6B2967" w:rsidR="00DA022D" w:rsidRPr="00B90A17" w:rsidRDefault="00DA022D" w:rsidP="00DA022D">
            <w:pPr>
              <w:pStyle w:val="Nadpis3"/>
              <w:outlineLvl w:val="2"/>
              <w:rPr>
                <w:lang w:val="cs-CZ"/>
              </w:rPr>
            </w:pPr>
            <w:r w:rsidRPr="00B90A17">
              <w:rPr>
                <w:lang w:val="cs-CZ"/>
              </w:rPr>
              <w:t>jsou Prostory zničeny a Pronajímatel Nájemci nenabídne jiné Prostory obdobné velikosti za obdobných podmínek do jednoho (1) měsíce ode dne takového zničení Prostor.</w:t>
            </w:r>
          </w:p>
        </w:tc>
      </w:tr>
      <w:tr w:rsidR="00DA022D" w:rsidRPr="004F2FF3" w14:paraId="648427BC" w14:textId="77777777" w:rsidTr="007808D5">
        <w:tc>
          <w:tcPr>
            <w:tcW w:w="9997" w:type="dxa"/>
          </w:tcPr>
          <w:p w14:paraId="2EFCE052" w14:textId="77777777" w:rsidR="00DA022D" w:rsidRPr="00B90A17" w:rsidRDefault="00DA022D" w:rsidP="00DA022D">
            <w:pPr>
              <w:rPr>
                <w:lang w:val="cs-CZ"/>
              </w:rPr>
            </w:pPr>
          </w:p>
        </w:tc>
      </w:tr>
      <w:tr w:rsidR="00DA022D" w:rsidRPr="004F2FF3" w14:paraId="3B895194" w14:textId="77777777" w:rsidTr="007808D5">
        <w:tc>
          <w:tcPr>
            <w:tcW w:w="9997" w:type="dxa"/>
          </w:tcPr>
          <w:p w14:paraId="0A8F5D6B" w14:textId="521A3ED7" w:rsidR="00DA022D" w:rsidRPr="00B90A17" w:rsidRDefault="00DA022D" w:rsidP="00F60E58">
            <w:pPr>
              <w:pStyle w:val="Nadpis2"/>
              <w:outlineLvl w:val="1"/>
              <w:rPr>
                <w:lang w:val="cs-CZ"/>
              </w:rPr>
            </w:pPr>
            <w:r w:rsidRPr="00B90A17">
              <w:rPr>
                <w:lang w:val="cs-CZ"/>
              </w:rPr>
              <w:t>Výpovědní lhůta</w:t>
            </w:r>
            <w:r w:rsidR="00A55BFA" w:rsidRPr="00B90A17">
              <w:rPr>
                <w:lang w:val="cs-CZ"/>
              </w:rPr>
              <w:t xml:space="preserve"> pro výpověď dle čl. </w:t>
            </w:r>
            <w:r w:rsidR="00696653">
              <w:rPr>
                <w:lang w:val="cs-CZ"/>
              </w:rPr>
              <w:t>8</w:t>
            </w:r>
            <w:r w:rsidR="005234DD" w:rsidRPr="00B90A17">
              <w:rPr>
                <w:lang w:val="cs-CZ"/>
              </w:rPr>
              <w:t>.3</w:t>
            </w:r>
            <w:r w:rsidR="001E7790" w:rsidRPr="00B90A17">
              <w:rPr>
                <w:lang w:val="cs-CZ"/>
              </w:rPr>
              <w:t xml:space="preserve"> </w:t>
            </w:r>
            <w:r w:rsidR="005234DD" w:rsidRPr="00B90A17">
              <w:rPr>
                <w:lang w:val="cs-CZ"/>
              </w:rPr>
              <w:t xml:space="preserve">výše činí </w:t>
            </w:r>
            <w:r w:rsidRPr="00B90A17">
              <w:rPr>
                <w:lang w:val="cs-CZ"/>
              </w:rPr>
              <w:t>jeden (1) měsíc a začíná běžet prvním dnem kalendářního měsíce bezprostředně následujícího po měsíci, v němž byla tato výpověď předána druhé smluvní straně.</w:t>
            </w:r>
          </w:p>
        </w:tc>
      </w:tr>
      <w:tr w:rsidR="00DA022D" w:rsidRPr="004F2FF3" w14:paraId="3BD72340" w14:textId="77777777" w:rsidTr="007808D5">
        <w:tc>
          <w:tcPr>
            <w:tcW w:w="9997" w:type="dxa"/>
          </w:tcPr>
          <w:p w14:paraId="1E0B5D87" w14:textId="77777777" w:rsidR="00DA022D" w:rsidRPr="00B90A17" w:rsidRDefault="00DA022D" w:rsidP="00DA022D">
            <w:pPr>
              <w:rPr>
                <w:lang w:val="cs-CZ"/>
              </w:rPr>
            </w:pPr>
          </w:p>
        </w:tc>
      </w:tr>
      <w:tr w:rsidR="005234DD" w:rsidRPr="004F2FF3" w14:paraId="2AA87852" w14:textId="77777777" w:rsidTr="007808D5">
        <w:tc>
          <w:tcPr>
            <w:tcW w:w="9997" w:type="dxa"/>
          </w:tcPr>
          <w:p w14:paraId="7023DB7F" w14:textId="0174B212" w:rsidR="005234DD" w:rsidRPr="00B90A17" w:rsidRDefault="005234DD" w:rsidP="005234DD">
            <w:pPr>
              <w:pStyle w:val="Nadpis2"/>
              <w:outlineLvl w:val="1"/>
              <w:rPr>
                <w:lang w:val="cs-CZ"/>
              </w:rPr>
            </w:pPr>
            <w:r w:rsidRPr="00B90A17">
              <w:rPr>
                <w:lang w:val="cs-CZ"/>
              </w:rPr>
              <w:t>Pronajímatel i Nájemce jsou dále oprávněni tuto Smlouvu vypovědět bez uvedení důvodu s výpovědní lhůtou tří (3) měsíců.</w:t>
            </w:r>
          </w:p>
        </w:tc>
      </w:tr>
      <w:tr w:rsidR="005234DD" w:rsidRPr="004F2FF3" w14:paraId="256CF9C8" w14:textId="77777777" w:rsidTr="007808D5">
        <w:tc>
          <w:tcPr>
            <w:tcW w:w="9997" w:type="dxa"/>
          </w:tcPr>
          <w:p w14:paraId="3B96DB6F" w14:textId="77777777" w:rsidR="005234DD" w:rsidRPr="00B90A17" w:rsidRDefault="005234DD" w:rsidP="00DA022D">
            <w:pPr>
              <w:rPr>
                <w:lang w:val="cs-CZ"/>
              </w:rPr>
            </w:pPr>
          </w:p>
        </w:tc>
      </w:tr>
      <w:tr w:rsidR="00DA022D" w:rsidRPr="004F2FF3" w14:paraId="18EA3D52" w14:textId="77777777" w:rsidTr="007808D5">
        <w:tc>
          <w:tcPr>
            <w:tcW w:w="9997" w:type="dxa"/>
          </w:tcPr>
          <w:p w14:paraId="47701C2D" w14:textId="0EAD1C67" w:rsidR="00DA022D" w:rsidRPr="00B90A17" w:rsidRDefault="00DA022D" w:rsidP="00EA5813">
            <w:pPr>
              <w:pStyle w:val="Nadpis2"/>
              <w:outlineLvl w:val="1"/>
              <w:rPr>
                <w:lang w:val="cs-CZ"/>
              </w:rPr>
            </w:pPr>
            <w:r w:rsidRPr="00B90A17">
              <w:rPr>
                <w:lang w:val="cs-CZ"/>
              </w:rPr>
              <w:t xml:space="preserve">Pokud se smluvní strany nedohodnou písemně jinak, ke dni zániku nájmu v souladu s touto Smlouvou Nájemce předá Pronajímateli zpět vyklizené Prostory ve stavu, v jakém byly Nájemci </w:t>
            </w:r>
            <w:r w:rsidRPr="00B90A17">
              <w:rPr>
                <w:lang w:val="cs-CZ"/>
              </w:rPr>
              <w:lastRenderedPageBreak/>
              <w:t xml:space="preserve">Prostory Pronajímatelem předány s přihlédnutím k běžnému opotřebení. Smluvní strany se dohodly, že při </w:t>
            </w:r>
            <w:r w:rsidR="00B3329F" w:rsidRPr="00B90A17">
              <w:rPr>
                <w:lang w:val="cs-CZ"/>
              </w:rPr>
              <w:t xml:space="preserve">odevzdání </w:t>
            </w:r>
            <w:r w:rsidRPr="00B90A17">
              <w:rPr>
                <w:lang w:val="cs-CZ"/>
              </w:rPr>
              <w:t xml:space="preserve">Prostor </w:t>
            </w:r>
            <w:proofErr w:type="gramStart"/>
            <w:r w:rsidRPr="00B90A17">
              <w:rPr>
                <w:lang w:val="cs-CZ"/>
              </w:rPr>
              <w:t>sepíší</w:t>
            </w:r>
            <w:proofErr w:type="gramEnd"/>
            <w:r w:rsidRPr="00B90A17">
              <w:rPr>
                <w:lang w:val="cs-CZ"/>
              </w:rPr>
              <w:t xml:space="preserve"> a podepíší předávací protokol. V něm uvedou mj. i seznam (případných) škod způsobených Nájemcem. V případě škod způsobených Nájemcem je Nájemce povinen veškeré takové škody neprodleně odstranit na své náklady dle pokynů Pronajímatele a uhradit Pronajímateli </w:t>
            </w:r>
            <w:r w:rsidR="00EA5813" w:rsidRPr="00B90A17">
              <w:rPr>
                <w:lang w:val="cs-CZ"/>
              </w:rPr>
              <w:t xml:space="preserve">vzniklou </w:t>
            </w:r>
            <w:r w:rsidR="00B3329F" w:rsidRPr="00B90A17">
              <w:rPr>
                <w:lang w:val="cs-CZ"/>
              </w:rPr>
              <w:t>škod</w:t>
            </w:r>
            <w:r w:rsidR="00EA5813" w:rsidRPr="00B90A17">
              <w:rPr>
                <w:lang w:val="cs-CZ"/>
              </w:rPr>
              <w:t>u</w:t>
            </w:r>
            <w:r w:rsidR="00B3329F" w:rsidRPr="00B90A17">
              <w:rPr>
                <w:lang w:val="cs-CZ"/>
              </w:rPr>
              <w:t>.</w:t>
            </w:r>
          </w:p>
        </w:tc>
      </w:tr>
      <w:tr w:rsidR="00DA022D" w:rsidRPr="004F2FF3" w14:paraId="08B9193D" w14:textId="77777777" w:rsidTr="007808D5">
        <w:tc>
          <w:tcPr>
            <w:tcW w:w="9997" w:type="dxa"/>
          </w:tcPr>
          <w:p w14:paraId="32504B9A" w14:textId="77777777" w:rsidR="00DA022D" w:rsidRPr="00B90A17" w:rsidRDefault="00DA022D" w:rsidP="00DA022D">
            <w:pPr>
              <w:rPr>
                <w:lang w:val="cs-CZ"/>
              </w:rPr>
            </w:pPr>
          </w:p>
        </w:tc>
      </w:tr>
      <w:tr w:rsidR="00DA022D" w:rsidRPr="004F2FF3" w14:paraId="52FC6E66" w14:textId="77777777" w:rsidTr="007808D5">
        <w:tc>
          <w:tcPr>
            <w:tcW w:w="9997" w:type="dxa"/>
          </w:tcPr>
          <w:p w14:paraId="094FBC6E" w14:textId="31E65914" w:rsidR="00DA022D" w:rsidRPr="00B90A17" w:rsidRDefault="00DA022D" w:rsidP="00DA022D">
            <w:pPr>
              <w:pStyle w:val="Nadpis2"/>
              <w:outlineLvl w:val="1"/>
              <w:rPr>
                <w:lang w:val="cs-CZ"/>
              </w:rPr>
            </w:pPr>
            <w:r w:rsidRPr="00B90A17">
              <w:rPr>
                <w:lang w:val="cs-CZ"/>
              </w:rPr>
              <w:t xml:space="preserve">V případě, že Nájemce ke dni ukončení nájmu dle této Smlouvy nevyklidí a protokolárně nepředá Prostory zpět Pronajímateli, má pronajímatel nárok na úhradu smluvní pokuty ve výši </w:t>
            </w:r>
            <w:proofErr w:type="gramStart"/>
            <w:r w:rsidRPr="00B90A17">
              <w:rPr>
                <w:lang w:val="cs-CZ"/>
              </w:rPr>
              <w:t>2.000,-</w:t>
            </w:r>
            <w:proofErr w:type="gramEnd"/>
            <w:r w:rsidRPr="00B90A17">
              <w:rPr>
                <w:lang w:val="cs-CZ"/>
              </w:rPr>
              <w:t xml:space="preserve"> Kč za každý započatý den prodlení s předáním Prostor. Úhradou smluvní pokuty není nikterak dotčen nárok Pronajímatele na náhradu škody. </w:t>
            </w:r>
          </w:p>
        </w:tc>
      </w:tr>
      <w:tr w:rsidR="00DA022D" w:rsidRPr="004F2FF3" w14:paraId="54C74FCB" w14:textId="77777777" w:rsidTr="007808D5">
        <w:tc>
          <w:tcPr>
            <w:tcW w:w="9997" w:type="dxa"/>
          </w:tcPr>
          <w:p w14:paraId="5A06DFDF" w14:textId="77777777" w:rsidR="00DA022D" w:rsidRPr="00B90A17" w:rsidRDefault="00DA022D" w:rsidP="00DA022D">
            <w:pPr>
              <w:pStyle w:val="Nadpis2"/>
              <w:numPr>
                <w:ilvl w:val="0"/>
                <w:numId w:val="0"/>
              </w:numPr>
              <w:ind w:left="425"/>
              <w:outlineLvl w:val="1"/>
              <w:rPr>
                <w:lang w:val="cs-CZ"/>
              </w:rPr>
            </w:pPr>
          </w:p>
        </w:tc>
      </w:tr>
      <w:tr w:rsidR="00DA022D" w:rsidRPr="004F2FF3" w14:paraId="6ECEAE1F" w14:textId="77777777" w:rsidTr="007808D5">
        <w:tc>
          <w:tcPr>
            <w:tcW w:w="9997" w:type="dxa"/>
          </w:tcPr>
          <w:p w14:paraId="59AA215C" w14:textId="03890795" w:rsidR="00DA022D" w:rsidRPr="00B90A17" w:rsidRDefault="00DA022D" w:rsidP="00B3329F">
            <w:pPr>
              <w:pStyle w:val="Nadpis2"/>
              <w:outlineLvl w:val="1"/>
              <w:rPr>
                <w:lang w:val="cs-CZ"/>
              </w:rPr>
            </w:pPr>
            <w:r w:rsidRPr="00B90A17">
              <w:rPr>
                <w:lang w:val="cs-CZ"/>
              </w:rPr>
              <w:t>V případě, že Nájemce ke dni ukončení nájmu dle této Smlouvy nevyklidí a protokolárně nepředá Prostory zpět Pronajímateli, je Pronajímatel oprávněn do Prostor vstoupit, vykázat z nich všechny osoby a Prostory vyklidit</w:t>
            </w:r>
            <w:r w:rsidR="00B3329F" w:rsidRPr="00B90A17">
              <w:rPr>
                <w:lang w:val="cs-CZ"/>
              </w:rPr>
              <w:t xml:space="preserve"> a věci uskladnit </w:t>
            </w:r>
            <w:r w:rsidRPr="00B90A17">
              <w:rPr>
                <w:lang w:val="cs-CZ"/>
              </w:rPr>
              <w:t>na náklady Nájemce. K takovým věcem má Pronajímatel zadržovací právo na zajištění náhrady nákladů vynaložených k uskladnění a k zajištění jakýchkoliv dluhů Nájemce dle této Smlouvy.</w:t>
            </w:r>
          </w:p>
        </w:tc>
      </w:tr>
      <w:tr w:rsidR="00DA022D" w:rsidRPr="004F2FF3" w14:paraId="0F9AE0ED" w14:textId="77777777" w:rsidTr="007808D5">
        <w:tc>
          <w:tcPr>
            <w:tcW w:w="9997" w:type="dxa"/>
          </w:tcPr>
          <w:p w14:paraId="07A2E795" w14:textId="77777777" w:rsidR="00DA022D" w:rsidRPr="00B90A17" w:rsidRDefault="00DA022D" w:rsidP="00DA022D">
            <w:pPr>
              <w:rPr>
                <w:lang w:val="cs-CZ"/>
              </w:rPr>
            </w:pPr>
          </w:p>
        </w:tc>
      </w:tr>
      <w:tr w:rsidR="00DA022D" w:rsidRPr="00B90A17" w14:paraId="157B8BDD" w14:textId="77777777" w:rsidTr="007808D5">
        <w:tc>
          <w:tcPr>
            <w:tcW w:w="9997" w:type="dxa"/>
          </w:tcPr>
          <w:p w14:paraId="1958F819" w14:textId="096A16EF" w:rsidR="00DA022D" w:rsidRPr="00B90A17" w:rsidRDefault="00DA022D" w:rsidP="00DA022D">
            <w:pPr>
              <w:pStyle w:val="Nadpis1"/>
              <w:outlineLvl w:val="0"/>
              <w:rPr>
                <w:lang w:val="cs-CZ"/>
              </w:rPr>
            </w:pPr>
            <w:r w:rsidRPr="00B90A17">
              <w:rPr>
                <w:lang w:val="cs-CZ"/>
              </w:rPr>
              <w:t>Závěrečná ustanovení</w:t>
            </w:r>
          </w:p>
        </w:tc>
      </w:tr>
      <w:tr w:rsidR="00DA022D" w:rsidRPr="00B90A17" w14:paraId="6C576C8F" w14:textId="77777777" w:rsidTr="007808D5">
        <w:tc>
          <w:tcPr>
            <w:tcW w:w="9997" w:type="dxa"/>
          </w:tcPr>
          <w:p w14:paraId="3FB1569B" w14:textId="77777777" w:rsidR="00DA022D" w:rsidRPr="00B90A17" w:rsidRDefault="00DA022D" w:rsidP="00DA022D">
            <w:pPr>
              <w:rPr>
                <w:lang w:val="cs-CZ"/>
              </w:rPr>
            </w:pPr>
          </w:p>
        </w:tc>
      </w:tr>
      <w:tr w:rsidR="00DA022D" w:rsidRPr="00696653" w14:paraId="3A532B38" w14:textId="77777777" w:rsidTr="007808D5">
        <w:tc>
          <w:tcPr>
            <w:tcW w:w="9997" w:type="dxa"/>
          </w:tcPr>
          <w:p w14:paraId="70ECA581" w14:textId="5A662543" w:rsidR="00DA022D" w:rsidRPr="00B90A17" w:rsidRDefault="00DA022D" w:rsidP="00696653">
            <w:pPr>
              <w:pStyle w:val="Nadpis2"/>
              <w:outlineLvl w:val="1"/>
              <w:rPr>
                <w:lang w:val="cs-CZ"/>
              </w:rPr>
            </w:pPr>
            <w:bookmarkStart w:id="4" w:name="_Ref377501526"/>
            <w:r w:rsidRPr="00B90A17">
              <w:rPr>
                <w:lang w:val="cs-CZ"/>
              </w:rPr>
              <w:t>Veškerá oznámení, sdělení, pokyny či jiné dokumenty podle této Smlouvy lze doručovat osobně, kurýrní službou, poštou druhé straně na její adresu uvedenou v tomto čl.</w:t>
            </w:r>
            <w:r w:rsidR="00696653">
              <w:rPr>
                <w:lang w:val="cs-CZ"/>
              </w:rPr>
              <w:t xml:space="preserve"> 9.1</w:t>
            </w:r>
            <w:r w:rsidRPr="00B90A17">
              <w:rPr>
                <w:lang w:val="cs-CZ"/>
              </w:rPr>
              <w:t xml:space="preserve"> nebo na jinou adresu oznámenou touto Smluvní stranou druhé smluvní straně s předstihem minimálně patnácti (15) pracovních dnů v souladu s tímto čl.</w:t>
            </w:r>
            <w:r w:rsidR="00696653">
              <w:rPr>
                <w:lang w:val="cs-CZ"/>
              </w:rPr>
              <w:t xml:space="preserve"> 9.1</w:t>
            </w:r>
            <w:r w:rsidRPr="00B90A17">
              <w:rPr>
                <w:lang w:val="cs-CZ"/>
              </w:rPr>
              <w:t xml:space="preserve"> Veškerá oznámení, sdělení, pokyny či jiné dokumenty se budou považovat za učiněné v případě (i) doručení osobně nebo kurýrní službou okamžikem doručení, (</w:t>
            </w:r>
            <w:proofErr w:type="spellStart"/>
            <w:r w:rsidRPr="00B90A17">
              <w:rPr>
                <w:lang w:val="cs-CZ"/>
              </w:rPr>
              <w:t>ii</w:t>
            </w:r>
            <w:proofErr w:type="spellEnd"/>
            <w:r w:rsidRPr="00B90A17">
              <w:rPr>
                <w:lang w:val="cs-CZ"/>
              </w:rPr>
              <w:t>) zasílání poštou tři (3) pracovní dny po podání na poště v obálce opatřené adresou uvedenou v tomto čl.</w:t>
            </w:r>
            <w:r w:rsidR="00696653">
              <w:rPr>
                <w:lang w:val="cs-CZ"/>
              </w:rPr>
              <w:t xml:space="preserve"> 9.1</w:t>
            </w:r>
            <w:r w:rsidRPr="00B90A17">
              <w:rPr>
                <w:lang w:val="cs-CZ"/>
              </w:rPr>
              <w:t xml:space="preserve"> s předplaceným poštovným. Doručovací adresy podle této Smlouvy jsou následující:</w:t>
            </w:r>
            <w:bookmarkEnd w:id="4"/>
          </w:p>
        </w:tc>
      </w:tr>
      <w:tr w:rsidR="00DA022D" w:rsidRPr="00696653" w14:paraId="4415127C" w14:textId="77777777" w:rsidTr="007808D5">
        <w:tc>
          <w:tcPr>
            <w:tcW w:w="9997" w:type="dxa"/>
          </w:tcPr>
          <w:p w14:paraId="23ADE38E" w14:textId="77777777" w:rsidR="00DA022D" w:rsidRPr="00B90A17" w:rsidRDefault="00DA022D" w:rsidP="00DA022D">
            <w:pPr>
              <w:rPr>
                <w:lang w:val="cs-CZ"/>
              </w:rPr>
            </w:pPr>
          </w:p>
        </w:tc>
      </w:tr>
      <w:tr w:rsidR="00DA022D" w:rsidRPr="004F2FF3" w14:paraId="1897210A" w14:textId="77777777" w:rsidTr="007808D5">
        <w:tc>
          <w:tcPr>
            <w:tcW w:w="9997" w:type="dxa"/>
          </w:tcPr>
          <w:p w14:paraId="1AA31C48" w14:textId="5B315EA8" w:rsidR="00DA022D" w:rsidRPr="00B90A17" w:rsidRDefault="00DA022D" w:rsidP="00DA022D">
            <w:pPr>
              <w:pStyle w:val="NormlnodsazenNadpis2"/>
              <w:rPr>
                <w:lang w:val="cs-CZ"/>
              </w:rPr>
            </w:pPr>
            <w:r w:rsidRPr="00B90A17">
              <w:rPr>
                <w:lang w:val="cs-CZ"/>
              </w:rPr>
              <w:t xml:space="preserve">V případě </w:t>
            </w:r>
            <w:r w:rsidRPr="00B90A17">
              <w:rPr>
                <w:b/>
                <w:lang w:val="cs-CZ"/>
              </w:rPr>
              <w:t>Pronajímatele</w:t>
            </w:r>
            <w:r w:rsidRPr="00B90A17">
              <w:rPr>
                <w:lang w:val="cs-CZ"/>
              </w:rPr>
              <w:t>:</w:t>
            </w:r>
          </w:p>
          <w:p w14:paraId="338D5B27" w14:textId="3C5FE448" w:rsidR="00DA022D" w:rsidRPr="00B90A17" w:rsidRDefault="0010744B" w:rsidP="00DA022D">
            <w:pPr>
              <w:pStyle w:val="NormlnodsazenNadpis2"/>
              <w:rPr>
                <w:bCs/>
                <w:lang w:val="cs-CZ"/>
              </w:rPr>
            </w:pPr>
            <w:proofErr w:type="spellStart"/>
            <w:r w:rsidRPr="00B90A17">
              <w:rPr>
                <w:b/>
                <w:lang w:val="cs-CZ"/>
              </w:rPr>
              <w:t>Empora</w:t>
            </w:r>
            <w:proofErr w:type="spellEnd"/>
            <w:r w:rsidRPr="00B90A17">
              <w:rPr>
                <w:b/>
                <w:lang w:val="cs-CZ"/>
              </w:rPr>
              <w:t xml:space="preserve"> </w:t>
            </w:r>
            <w:proofErr w:type="spellStart"/>
            <w:r w:rsidRPr="00B90A17">
              <w:rPr>
                <w:b/>
                <w:lang w:val="cs-CZ"/>
              </w:rPr>
              <w:t>Anstalt</w:t>
            </w:r>
            <w:proofErr w:type="spellEnd"/>
            <w:r w:rsidRPr="00B90A17">
              <w:rPr>
                <w:b/>
                <w:lang w:val="cs-CZ"/>
              </w:rPr>
              <w:t>, odštěpný závod Česká republika</w:t>
            </w:r>
          </w:p>
          <w:p w14:paraId="7772E6C0" w14:textId="2020FD05" w:rsidR="00DA022D" w:rsidRPr="00B90A17" w:rsidRDefault="00DA022D" w:rsidP="009F468B">
            <w:pPr>
              <w:pStyle w:val="NormlnodsazenNadpis2"/>
              <w:rPr>
                <w:lang w:val="cs-CZ"/>
              </w:rPr>
            </w:pPr>
            <w:r w:rsidRPr="00B90A17">
              <w:rPr>
                <w:lang w:val="cs-CZ"/>
              </w:rPr>
              <w:t>Adresa: Jánský vršek 323/13, Malá Strana, 118 00 Praha 1</w:t>
            </w:r>
          </w:p>
        </w:tc>
      </w:tr>
      <w:tr w:rsidR="00DA022D" w:rsidRPr="004F2FF3" w14:paraId="4642588B" w14:textId="77777777" w:rsidTr="007808D5">
        <w:tc>
          <w:tcPr>
            <w:tcW w:w="9997" w:type="dxa"/>
          </w:tcPr>
          <w:p w14:paraId="78DB2DA2" w14:textId="77777777" w:rsidR="00DA022D" w:rsidRPr="00B90A17" w:rsidRDefault="00DA022D" w:rsidP="00DA022D">
            <w:pPr>
              <w:pStyle w:val="NormlnodsazenNadpis2"/>
              <w:rPr>
                <w:lang w:val="cs-CZ"/>
              </w:rPr>
            </w:pPr>
          </w:p>
        </w:tc>
      </w:tr>
      <w:tr w:rsidR="00DA022D" w:rsidRPr="004F2FF3" w14:paraId="6A449AF3" w14:textId="77777777" w:rsidTr="007808D5">
        <w:tc>
          <w:tcPr>
            <w:tcW w:w="9997" w:type="dxa"/>
          </w:tcPr>
          <w:p w14:paraId="306FF2DE" w14:textId="51012438" w:rsidR="00DA022D" w:rsidRPr="00B90A17" w:rsidRDefault="00DA022D" w:rsidP="00DA022D">
            <w:pPr>
              <w:pStyle w:val="NormlnodsazenNadpis2"/>
              <w:rPr>
                <w:lang w:val="cs-CZ"/>
              </w:rPr>
            </w:pPr>
            <w:r w:rsidRPr="00B90A17">
              <w:rPr>
                <w:lang w:val="cs-CZ"/>
              </w:rPr>
              <w:t xml:space="preserve">V případě </w:t>
            </w:r>
            <w:r w:rsidRPr="00B90A17">
              <w:rPr>
                <w:b/>
                <w:lang w:val="cs-CZ"/>
              </w:rPr>
              <w:t>Nájemce</w:t>
            </w:r>
            <w:r w:rsidRPr="00B90A17">
              <w:rPr>
                <w:lang w:val="cs-CZ"/>
              </w:rPr>
              <w:t>:</w:t>
            </w:r>
          </w:p>
          <w:p w14:paraId="68F6ED12" w14:textId="7FFD3E47" w:rsidR="00364BDB" w:rsidRDefault="00364BDB" w:rsidP="00364BDB">
            <w:pPr>
              <w:pStyle w:val="NormlnodsazenNadpis2"/>
              <w:rPr>
                <w:b/>
                <w:lang w:val="cs-CZ"/>
              </w:rPr>
            </w:pPr>
            <w:r>
              <w:rPr>
                <w:b/>
                <w:lang w:val="cs-CZ"/>
              </w:rPr>
              <w:t>RBP, zdravotní pojišťovna</w:t>
            </w:r>
          </w:p>
          <w:p w14:paraId="7E7B52F9" w14:textId="076BAF9B" w:rsidR="00DA022D" w:rsidRDefault="00EA5813" w:rsidP="00364BDB">
            <w:pPr>
              <w:pStyle w:val="NormlnodsazenNadpis2"/>
              <w:rPr>
                <w:lang w:val="cs-CZ"/>
              </w:rPr>
            </w:pPr>
            <w:r w:rsidRPr="00B90A17">
              <w:rPr>
                <w:lang w:val="cs-CZ"/>
              </w:rPr>
              <w:t xml:space="preserve">Adresa: </w:t>
            </w:r>
            <w:r w:rsidR="00364BDB" w:rsidRPr="00364BDB">
              <w:rPr>
                <w:lang w:val="cs-CZ"/>
              </w:rPr>
              <w:t>Michálkovická 967/108, Slezská Ostrava, 710 00 Ostrava</w:t>
            </w:r>
            <w:r w:rsidR="00364BDB">
              <w:rPr>
                <w:lang w:val="cs-CZ"/>
              </w:rPr>
              <w:t>; nebo adresa Budovy a prostor dle této Smlouvy</w:t>
            </w:r>
            <w:r w:rsidR="00311234">
              <w:rPr>
                <w:lang w:val="cs-CZ"/>
              </w:rPr>
              <w:t>.</w:t>
            </w:r>
          </w:p>
          <w:p w14:paraId="7A4B9553" w14:textId="6CF141EF" w:rsidR="00000924" w:rsidRPr="00B90A17" w:rsidRDefault="00000924" w:rsidP="00364BDB">
            <w:pPr>
              <w:pStyle w:val="NormlnodsazenNadpis2"/>
              <w:rPr>
                <w:lang w:val="cs-CZ"/>
              </w:rPr>
            </w:pPr>
          </w:p>
        </w:tc>
      </w:tr>
      <w:tr w:rsidR="00DA022D" w:rsidRPr="004F2FF3" w14:paraId="2343D32D" w14:textId="77777777" w:rsidTr="007808D5">
        <w:tc>
          <w:tcPr>
            <w:tcW w:w="9997" w:type="dxa"/>
          </w:tcPr>
          <w:p w14:paraId="67731F83" w14:textId="16DB4FB5" w:rsidR="00DA022D" w:rsidRPr="00B90A17" w:rsidRDefault="00DA022D" w:rsidP="00DA022D">
            <w:pPr>
              <w:pStyle w:val="Nadpis2"/>
              <w:outlineLvl w:val="1"/>
              <w:rPr>
                <w:lang w:val="cs-CZ"/>
              </w:rPr>
            </w:pPr>
            <w:r w:rsidRPr="00B90A17">
              <w:rPr>
                <w:lang w:val="cs-CZ"/>
              </w:rPr>
              <w:t>Veškerá oznámení, pokyny, sdělení nebo jiné dokumenty doručované dle této Smlouvy budou vyhotovovány v jazyce českém.</w:t>
            </w:r>
          </w:p>
        </w:tc>
      </w:tr>
      <w:tr w:rsidR="00DA022D" w:rsidRPr="004F2FF3" w14:paraId="2E4D3232" w14:textId="77777777" w:rsidTr="007808D5">
        <w:tc>
          <w:tcPr>
            <w:tcW w:w="9997" w:type="dxa"/>
          </w:tcPr>
          <w:p w14:paraId="7C0919CB" w14:textId="77777777" w:rsidR="00DA022D" w:rsidRPr="00B90A17" w:rsidRDefault="00DA022D" w:rsidP="00DA022D">
            <w:pPr>
              <w:rPr>
                <w:lang w:val="cs-CZ"/>
              </w:rPr>
            </w:pPr>
          </w:p>
        </w:tc>
      </w:tr>
      <w:tr w:rsidR="00DA022D" w:rsidRPr="004F2FF3" w14:paraId="220A5EA0" w14:textId="77777777" w:rsidTr="007808D5">
        <w:tc>
          <w:tcPr>
            <w:tcW w:w="9997" w:type="dxa"/>
          </w:tcPr>
          <w:p w14:paraId="1D0FD1A6" w14:textId="7B53FFAD" w:rsidR="00DA022D" w:rsidRPr="00B90A17" w:rsidRDefault="00DA022D" w:rsidP="00DA022D">
            <w:pPr>
              <w:pStyle w:val="Nadpis2"/>
              <w:outlineLvl w:val="1"/>
              <w:rPr>
                <w:lang w:val="cs-CZ"/>
              </w:rPr>
            </w:pPr>
            <w:r w:rsidRPr="00B90A17">
              <w:rPr>
                <w:lang w:val="cs-CZ"/>
              </w:rPr>
              <w:t>Tato Smlouva nabývá platnosti a účinnosti okamžikem jejího podpisu smluvními stranami.</w:t>
            </w:r>
          </w:p>
        </w:tc>
      </w:tr>
      <w:tr w:rsidR="00DA022D" w:rsidRPr="004F2FF3" w14:paraId="33E69396" w14:textId="77777777" w:rsidTr="007808D5">
        <w:tc>
          <w:tcPr>
            <w:tcW w:w="9997" w:type="dxa"/>
          </w:tcPr>
          <w:p w14:paraId="02DCEBBB" w14:textId="77777777" w:rsidR="00DA022D" w:rsidRPr="00B90A17" w:rsidRDefault="00DA022D" w:rsidP="00DA022D">
            <w:pPr>
              <w:rPr>
                <w:lang w:val="cs-CZ"/>
              </w:rPr>
            </w:pPr>
          </w:p>
        </w:tc>
      </w:tr>
      <w:tr w:rsidR="00DA022D" w:rsidRPr="004F2FF3" w14:paraId="6AEE16E1" w14:textId="77777777" w:rsidTr="007808D5">
        <w:tc>
          <w:tcPr>
            <w:tcW w:w="9997" w:type="dxa"/>
          </w:tcPr>
          <w:p w14:paraId="4D80FBB9" w14:textId="2A64959C" w:rsidR="00DA022D" w:rsidRPr="00B90A17" w:rsidRDefault="00DA022D" w:rsidP="00DA022D">
            <w:pPr>
              <w:pStyle w:val="Nadpis2"/>
              <w:outlineLvl w:val="1"/>
              <w:rPr>
                <w:lang w:val="cs-CZ"/>
              </w:rPr>
            </w:pPr>
            <w:r w:rsidRPr="00B90A17">
              <w:rPr>
                <w:lang w:val="cs-CZ"/>
              </w:rPr>
              <w:t>Tato Smlouva a její výklad se řídí právním řádem České republiky.</w:t>
            </w:r>
          </w:p>
        </w:tc>
      </w:tr>
      <w:tr w:rsidR="00DA022D" w:rsidRPr="004F2FF3" w14:paraId="3B80CF32" w14:textId="77777777" w:rsidTr="007808D5">
        <w:tc>
          <w:tcPr>
            <w:tcW w:w="9997" w:type="dxa"/>
          </w:tcPr>
          <w:p w14:paraId="4AF0B245" w14:textId="77777777" w:rsidR="00DA022D" w:rsidRPr="00B90A17" w:rsidRDefault="00DA022D" w:rsidP="00DA022D">
            <w:pPr>
              <w:rPr>
                <w:lang w:val="cs-CZ"/>
              </w:rPr>
            </w:pPr>
          </w:p>
        </w:tc>
      </w:tr>
      <w:tr w:rsidR="00DA022D" w:rsidRPr="004F2FF3" w14:paraId="7FDFCAAB" w14:textId="77777777" w:rsidTr="007808D5">
        <w:tc>
          <w:tcPr>
            <w:tcW w:w="9997" w:type="dxa"/>
          </w:tcPr>
          <w:p w14:paraId="6738CAB1" w14:textId="344C90B8" w:rsidR="00DA022D" w:rsidRPr="00B90A17" w:rsidRDefault="00DA022D" w:rsidP="00B032A9">
            <w:pPr>
              <w:pStyle w:val="Nadpis2"/>
              <w:outlineLvl w:val="1"/>
              <w:rPr>
                <w:lang w:val="cs-CZ"/>
              </w:rPr>
            </w:pPr>
            <w:r w:rsidRPr="00B90A17">
              <w:rPr>
                <w:lang w:val="cs-CZ"/>
              </w:rPr>
              <w:t>Smluvní strany tímto výslovně souhlasí a potvrzují, že pro účely této Smlouvy se nepoužijí následující ustanovení § 2208, 2210 (3), 2212 (2), 2219 (2), 2220 (1) poslední věta, 2230 (1), 2233 (2), 2303, 2304, 2305, 2310, 2311,</w:t>
            </w:r>
            <w:r w:rsidR="00B032A9" w:rsidRPr="00B90A17">
              <w:rPr>
                <w:lang w:val="cs-CZ"/>
              </w:rPr>
              <w:t xml:space="preserve"> 2312,</w:t>
            </w:r>
            <w:r w:rsidRPr="00B90A17">
              <w:rPr>
                <w:lang w:val="cs-CZ"/>
              </w:rPr>
              <w:t xml:space="preserve"> 2314 a 2315 občanského zákoníku, a veškerá ustanovení právních předpisů, která jsou fakticky vyloučena dohodou smluvních stran obsaženou v této Smlouvě. V případě nahrazení uvedených předpisů budou vyloučena ustanovení nových předpisů, která se svým významem s uvedenými ustanoveními shodují.</w:t>
            </w:r>
          </w:p>
        </w:tc>
      </w:tr>
      <w:tr w:rsidR="00DA022D" w:rsidRPr="004F2FF3" w14:paraId="611AD46E" w14:textId="77777777" w:rsidTr="007808D5">
        <w:tc>
          <w:tcPr>
            <w:tcW w:w="9997" w:type="dxa"/>
          </w:tcPr>
          <w:p w14:paraId="476F0000" w14:textId="77777777" w:rsidR="00DA022D" w:rsidRPr="00B90A17" w:rsidRDefault="00DA022D" w:rsidP="00DA022D">
            <w:pPr>
              <w:rPr>
                <w:lang w:val="cs-CZ"/>
              </w:rPr>
            </w:pPr>
          </w:p>
        </w:tc>
      </w:tr>
      <w:tr w:rsidR="00DA022D" w:rsidRPr="004F2FF3" w14:paraId="25315B07" w14:textId="77777777" w:rsidTr="007808D5">
        <w:tc>
          <w:tcPr>
            <w:tcW w:w="9997" w:type="dxa"/>
          </w:tcPr>
          <w:p w14:paraId="387C36C7" w14:textId="6C8B11FA" w:rsidR="00DA022D" w:rsidRPr="00B90A17" w:rsidRDefault="00DA022D" w:rsidP="00DA022D">
            <w:pPr>
              <w:pStyle w:val="Nadpis2"/>
              <w:outlineLvl w:val="1"/>
              <w:rPr>
                <w:lang w:val="cs-CZ"/>
              </w:rPr>
            </w:pPr>
            <w:r w:rsidRPr="00B90A17">
              <w:rPr>
                <w:lang w:val="cs-CZ"/>
              </w:rPr>
              <w:t>Případné spory z této Smlouvy nebo v souvislosti s ní bude řešit příslušný soud.</w:t>
            </w:r>
          </w:p>
        </w:tc>
      </w:tr>
      <w:tr w:rsidR="00DA022D" w:rsidRPr="004F2FF3" w14:paraId="7470EBA6" w14:textId="77777777" w:rsidTr="007808D5">
        <w:tc>
          <w:tcPr>
            <w:tcW w:w="9997" w:type="dxa"/>
          </w:tcPr>
          <w:p w14:paraId="717DE040" w14:textId="77777777" w:rsidR="00DA022D" w:rsidRPr="00B90A17" w:rsidRDefault="00DA022D" w:rsidP="00DA022D">
            <w:pPr>
              <w:pStyle w:val="Nadpis2"/>
              <w:numPr>
                <w:ilvl w:val="0"/>
                <w:numId w:val="0"/>
              </w:numPr>
              <w:ind w:left="425" w:hanging="425"/>
              <w:outlineLvl w:val="1"/>
              <w:rPr>
                <w:lang w:val="cs-CZ"/>
              </w:rPr>
            </w:pPr>
          </w:p>
        </w:tc>
      </w:tr>
      <w:tr w:rsidR="00DA022D" w:rsidRPr="004F2FF3" w14:paraId="4252B089" w14:textId="77777777" w:rsidTr="007808D5">
        <w:tc>
          <w:tcPr>
            <w:tcW w:w="9997" w:type="dxa"/>
          </w:tcPr>
          <w:p w14:paraId="35F6D3CD" w14:textId="619B63BD" w:rsidR="00DA022D" w:rsidRPr="00B90A17" w:rsidRDefault="00DA022D" w:rsidP="00DA022D">
            <w:pPr>
              <w:pStyle w:val="Nadpis2"/>
              <w:outlineLvl w:val="1"/>
              <w:rPr>
                <w:lang w:val="cs-CZ"/>
              </w:rPr>
            </w:pPr>
            <w:r w:rsidRPr="00B90A17">
              <w:rPr>
                <w:lang w:val="cs-CZ"/>
              </w:rPr>
              <w:t>Nájemce není oprávněn postupovat jakákoliv práva vyplývající z této Smlouvy nebo tuto Smlouvu na třetí osobu bez předchozího písemného souhlasu Pronajímatele.</w:t>
            </w:r>
          </w:p>
        </w:tc>
      </w:tr>
      <w:tr w:rsidR="00DA022D" w:rsidRPr="004F2FF3" w14:paraId="01026AC3" w14:textId="77777777" w:rsidTr="007808D5">
        <w:tc>
          <w:tcPr>
            <w:tcW w:w="9997" w:type="dxa"/>
          </w:tcPr>
          <w:p w14:paraId="794B52CE" w14:textId="77777777" w:rsidR="00DA022D" w:rsidRPr="00B90A17" w:rsidRDefault="00DA022D" w:rsidP="00DA022D">
            <w:pPr>
              <w:rPr>
                <w:lang w:val="cs-CZ"/>
              </w:rPr>
            </w:pPr>
          </w:p>
        </w:tc>
      </w:tr>
      <w:tr w:rsidR="00DA022D" w:rsidRPr="004F2FF3" w14:paraId="0EEA8940" w14:textId="77777777" w:rsidTr="007808D5">
        <w:tc>
          <w:tcPr>
            <w:tcW w:w="9997" w:type="dxa"/>
          </w:tcPr>
          <w:p w14:paraId="454856AE" w14:textId="57757994" w:rsidR="00DA022D" w:rsidRPr="00B90A17" w:rsidRDefault="00DA022D" w:rsidP="00DA022D">
            <w:pPr>
              <w:pStyle w:val="Nadpis2"/>
              <w:outlineLvl w:val="1"/>
              <w:rPr>
                <w:lang w:val="cs-CZ"/>
              </w:rPr>
            </w:pPr>
            <w:r w:rsidRPr="00B90A17">
              <w:rPr>
                <w:lang w:val="cs-CZ"/>
              </w:rPr>
              <w:t>Pokud některé ustanovení této Smlouvy v nějakém ohledu je nebo se stane neúčinným, neplatným nebo nevymahatelným, účinnost, platnost či nevymahatelnost ostatních ustanovení této Smlouvy tím zůstane nedotčena. Smluvní strany se zavazují jednat v dobré víře a nahradit takto neúčinné, neplatné nebo nevymahatelné ustanovení účinným, platným a vymahatelným ustanovením co možná nejvíce odpovídajícím účelu a obsahu neúčinného, neplatného nebo nevymahatelného ustanovení.</w:t>
            </w:r>
          </w:p>
        </w:tc>
      </w:tr>
      <w:tr w:rsidR="00DA022D" w:rsidRPr="004F2FF3" w14:paraId="786A9626" w14:textId="77777777" w:rsidTr="007808D5">
        <w:tc>
          <w:tcPr>
            <w:tcW w:w="9997" w:type="dxa"/>
          </w:tcPr>
          <w:p w14:paraId="56A0150B" w14:textId="77777777" w:rsidR="00DA022D" w:rsidRPr="00B90A17" w:rsidRDefault="00DA022D" w:rsidP="00DA022D">
            <w:pPr>
              <w:rPr>
                <w:lang w:val="cs-CZ"/>
              </w:rPr>
            </w:pPr>
          </w:p>
        </w:tc>
      </w:tr>
      <w:tr w:rsidR="00DA022D" w:rsidRPr="004F2FF3" w14:paraId="55912368" w14:textId="77777777" w:rsidTr="007808D5">
        <w:tc>
          <w:tcPr>
            <w:tcW w:w="9997" w:type="dxa"/>
          </w:tcPr>
          <w:p w14:paraId="5A30B6D2" w14:textId="6C46C0FC" w:rsidR="00DA022D" w:rsidRPr="00B90A17" w:rsidRDefault="00DA022D" w:rsidP="00DA022D">
            <w:pPr>
              <w:pStyle w:val="Nadpis2"/>
              <w:outlineLvl w:val="1"/>
              <w:rPr>
                <w:lang w:val="cs-CZ"/>
              </w:rPr>
            </w:pPr>
            <w:r w:rsidRPr="00B90A17">
              <w:rPr>
                <w:lang w:val="cs-CZ"/>
              </w:rPr>
              <w:t>Tuto Smlouvu lze měnit pouze ve formě písemných dodatků podepsaných oběma smluvními stranami.</w:t>
            </w:r>
          </w:p>
        </w:tc>
      </w:tr>
      <w:tr w:rsidR="00DA022D" w:rsidRPr="004F2FF3" w14:paraId="02488210" w14:textId="77777777" w:rsidTr="007808D5">
        <w:tc>
          <w:tcPr>
            <w:tcW w:w="9997" w:type="dxa"/>
          </w:tcPr>
          <w:p w14:paraId="4F296904" w14:textId="77777777" w:rsidR="00DA022D" w:rsidRPr="00B90A17" w:rsidRDefault="00DA022D" w:rsidP="00DA022D">
            <w:pPr>
              <w:rPr>
                <w:lang w:val="cs-CZ"/>
              </w:rPr>
            </w:pPr>
          </w:p>
        </w:tc>
      </w:tr>
      <w:tr w:rsidR="00DA022D" w:rsidRPr="004F2FF3" w14:paraId="1F1F6D0B" w14:textId="77777777" w:rsidTr="007808D5">
        <w:tc>
          <w:tcPr>
            <w:tcW w:w="9997" w:type="dxa"/>
          </w:tcPr>
          <w:p w14:paraId="2B77E2B4" w14:textId="379E0AFE" w:rsidR="00DA022D" w:rsidRPr="00B90A17" w:rsidRDefault="00DA022D" w:rsidP="00364BDB">
            <w:pPr>
              <w:pStyle w:val="Nadpis2"/>
              <w:outlineLvl w:val="1"/>
              <w:rPr>
                <w:lang w:val="cs-CZ"/>
              </w:rPr>
            </w:pPr>
            <w:r w:rsidRPr="00B90A17">
              <w:rPr>
                <w:lang w:val="cs-CZ"/>
              </w:rPr>
              <w:t>Tato Smlouva byla vyho</w:t>
            </w:r>
            <w:r w:rsidR="00364BDB">
              <w:rPr>
                <w:lang w:val="cs-CZ"/>
              </w:rPr>
              <w:t>tovena ve dvou (2) stejnopisech</w:t>
            </w:r>
            <w:r w:rsidRPr="00B90A17">
              <w:rPr>
                <w:lang w:val="cs-CZ"/>
              </w:rPr>
              <w:t xml:space="preserve">, z nichž každá smluvní strana obdrží jeden (1) </w:t>
            </w:r>
            <w:r w:rsidR="00364BDB">
              <w:rPr>
                <w:lang w:val="cs-CZ"/>
              </w:rPr>
              <w:t xml:space="preserve">stejnopis </w:t>
            </w:r>
            <w:r w:rsidRPr="00B90A17">
              <w:rPr>
                <w:lang w:val="cs-CZ"/>
              </w:rPr>
              <w:t>této Smlouvy.</w:t>
            </w:r>
          </w:p>
        </w:tc>
      </w:tr>
      <w:tr w:rsidR="00DA022D" w:rsidRPr="004F2FF3" w14:paraId="79F9BBB7" w14:textId="77777777" w:rsidTr="007808D5">
        <w:tc>
          <w:tcPr>
            <w:tcW w:w="9997" w:type="dxa"/>
          </w:tcPr>
          <w:p w14:paraId="3C082B6B" w14:textId="77777777" w:rsidR="00DA022D" w:rsidRPr="00B90A17" w:rsidRDefault="00DA022D" w:rsidP="00DA022D">
            <w:pPr>
              <w:rPr>
                <w:lang w:val="cs-CZ"/>
              </w:rPr>
            </w:pPr>
          </w:p>
        </w:tc>
      </w:tr>
      <w:tr w:rsidR="00DA022D" w:rsidRPr="004F2FF3" w14:paraId="4987DD3A" w14:textId="77777777" w:rsidTr="007808D5">
        <w:tc>
          <w:tcPr>
            <w:tcW w:w="9997" w:type="dxa"/>
          </w:tcPr>
          <w:p w14:paraId="41CD2EC8" w14:textId="0A523168" w:rsidR="00DA022D" w:rsidRPr="00B90A17" w:rsidRDefault="00DA022D" w:rsidP="00DA022D">
            <w:pPr>
              <w:rPr>
                <w:szCs w:val="24"/>
                <w:lang w:val="cs-CZ"/>
              </w:rPr>
            </w:pPr>
            <w:r w:rsidRPr="00B90A17">
              <w:rPr>
                <w:lang w:val="cs-CZ"/>
              </w:rPr>
              <w:t>NA DŮKAZ TOHO, že smluvní strany s obsahem této Smlouvy souhlasí, rozumí jí a zavazují se k její</w:t>
            </w:r>
            <w:r w:rsidRPr="00B90A17">
              <w:rPr>
                <w:szCs w:val="24"/>
                <w:lang w:val="cs-CZ"/>
              </w:rPr>
              <w:t xml:space="preserve">mu plnění, připojují své </w:t>
            </w:r>
            <w:r w:rsidRPr="00B90A17">
              <w:rPr>
                <w:lang w:val="cs-CZ"/>
              </w:rPr>
              <w:t>podpisy a prohlašují, že tato Smlouva byla uzavřena podle jejich svobodné a vážné vůle prosté tísně, zejména tísně finanční v den uvedený v jejím záhlaví.</w:t>
            </w:r>
          </w:p>
        </w:tc>
      </w:tr>
      <w:tr w:rsidR="00DA022D" w:rsidRPr="004F2FF3" w14:paraId="3C715116" w14:textId="77777777" w:rsidTr="007808D5">
        <w:tc>
          <w:tcPr>
            <w:tcW w:w="9997" w:type="dxa"/>
          </w:tcPr>
          <w:p w14:paraId="7C3ECAEA" w14:textId="77777777" w:rsidR="00DA022D" w:rsidRPr="00B90A17" w:rsidRDefault="00DA022D" w:rsidP="00DA022D">
            <w:pPr>
              <w:rPr>
                <w:szCs w:val="24"/>
                <w:lang w:val="cs-CZ"/>
              </w:rPr>
            </w:pPr>
          </w:p>
        </w:tc>
      </w:tr>
    </w:tbl>
    <w:p w14:paraId="5233AB7E" w14:textId="32F188DA" w:rsidR="001E0BF0" w:rsidRPr="00B90A17" w:rsidRDefault="005234DD" w:rsidP="001E0BF0">
      <w:pPr>
        <w:rPr>
          <w:lang w:val="cs-CZ"/>
        </w:rPr>
      </w:pPr>
      <w:r w:rsidRPr="00B90A17">
        <w:rPr>
          <w:lang w:val="cs-CZ"/>
        </w:rPr>
        <w:t>V</w:t>
      </w:r>
      <w:r w:rsidR="00577031" w:rsidRPr="00B90A17">
        <w:rPr>
          <w:lang w:val="cs-CZ"/>
        </w:rPr>
        <w:t xml:space="preserve"> _________</w:t>
      </w:r>
      <w:r w:rsidRPr="00B90A17">
        <w:rPr>
          <w:lang w:val="cs-CZ"/>
        </w:rPr>
        <w:t xml:space="preserve"> dne </w:t>
      </w:r>
      <w:r w:rsidR="00577031" w:rsidRPr="00B90A17">
        <w:rPr>
          <w:lang w:val="cs-CZ"/>
        </w:rPr>
        <w:t>_</w:t>
      </w:r>
      <w:proofErr w:type="gramStart"/>
      <w:r w:rsidR="00577031" w:rsidRPr="00B90A17">
        <w:rPr>
          <w:lang w:val="cs-CZ"/>
        </w:rPr>
        <w:t>_._</w:t>
      </w:r>
      <w:proofErr w:type="gramEnd"/>
      <w:r w:rsidR="00577031" w:rsidRPr="00B90A17">
        <w:rPr>
          <w:lang w:val="cs-CZ"/>
        </w:rPr>
        <w:t>_.20</w:t>
      </w:r>
      <w:r w:rsidR="001A690C" w:rsidRPr="00B90A17">
        <w:rPr>
          <w:lang w:val="cs-CZ"/>
        </w:rPr>
        <w:t>20</w:t>
      </w:r>
      <w:r w:rsidR="001E0BF0" w:rsidRPr="00B90A17">
        <w:rPr>
          <w:lang w:val="cs-CZ"/>
        </w:rPr>
        <w:tab/>
      </w:r>
      <w:r w:rsidR="001E0BF0" w:rsidRPr="00B90A17">
        <w:rPr>
          <w:lang w:val="cs-CZ"/>
        </w:rPr>
        <w:tab/>
      </w:r>
      <w:r w:rsidR="001E0BF0" w:rsidRPr="00B90A17">
        <w:rPr>
          <w:lang w:val="cs-CZ"/>
        </w:rPr>
        <w:tab/>
      </w:r>
      <w:r w:rsidR="001E0BF0" w:rsidRPr="00B90A17">
        <w:rPr>
          <w:lang w:val="cs-CZ"/>
        </w:rPr>
        <w:tab/>
      </w:r>
      <w:r w:rsidR="001E0BF0" w:rsidRPr="00311234">
        <w:rPr>
          <w:color w:val="000000" w:themeColor="text1"/>
          <w:lang w:val="cs-CZ"/>
        </w:rPr>
        <w:t xml:space="preserve">V </w:t>
      </w:r>
      <w:r w:rsidR="00000924" w:rsidRPr="00311234">
        <w:rPr>
          <w:color w:val="000000" w:themeColor="text1"/>
          <w:lang w:val="cs-CZ"/>
        </w:rPr>
        <w:t>Ostravě</w:t>
      </w:r>
      <w:r w:rsidR="001E0BF0" w:rsidRPr="00311234">
        <w:rPr>
          <w:color w:val="000000" w:themeColor="text1"/>
          <w:lang w:val="cs-CZ"/>
        </w:rPr>
        <w:t xml:space="preserve"> dne</w:t>
      </w:r>
      <w:r w:rsidR="00000924" w:rsidRPr="00311234">
        <w:rPr>
          <w:color w:val="000000" w:themeColor="text1"/>
          <w:lang w:val="cs-CZ"/>
        </w:rPr>
        <w:t xml:space="preserve"> </w:t>
      </w:r>
      <w:r w:rsidR="001E0BF0" w:rsidRPr="00311234">
        <w:rPr>
          <w:color w:val="000000" w:themeColor="text1"/>
          <w:lang w:val="cs-CZ"/>
        </w:rPr>
        <w:t xml:space="preserve"> </w:t>
      </w:r>
      <w:r w:rsidR="00000924" w:rsidRPr="00311234">
        <w:rPr>
          <w:color w:val="000000" w:themeColor="text1"/>
          <w:lang w:val="cs-CZ"/>
        </w:rPr>
        <w:t>______________</w:t>
      </w:r>
    </w:p>
    <w:p w14:paraId="2346DE70" w14:textId="77777777" w:rsidR="001E0BF0" w:rsidRPr="00B90A17" w:rsidRDefault="001E0BF0" w:rsidP="001E0BF0">
      <w:pPr>
        <w:rPr>
          <w:lang w:val="cs-CZ"/>
        </w:rPr>
      </w:pPr>
      <w:r w:rsidRPr="00B90A17">
        <w:rPr>
          <w:lang w:val="cs-CZ"/>
        </w:rPr>
        <w:t>Pronajímatel:</w:t>
      </w:r>
      <w:r w:rsidRPr="00B90A17">
        <w:rPr>
          <w:lang w:val="cs-CZ"/>
        </w:rPr>
        <w:tab/>
      </w:r>
      <w:r w:rsidRPr="00B90A17">
        <w:rPr>
          <w:lang w:val="cs-CZ"/>
        </w:rPr>
        <w:tab/>
      </w:r>
      <w:r w:rsidRPr="00B90A17">
        <w:rPr>
          <w:lang w:val="cs-CZ"/>
        </w:rPr>
        <w:tab/>
      </w:r>
      <w:r w:rsidRPr="00B90A17">
        <w:rPr>
          <w:lang w:val="cs-CZ"/>
        </w:rPr>
        <w:tab/>
      </w:r>
      <w:r w:rsidRPr="00B90A17">
        <w:rPr>
          <w:lang w:val="cs-CZ"/>
        </w:rPr>
        <w:tab/>
      </w:r>
      <w:r w:rsidRPr="00B90A17">
        <w:rPr>
          <w:lang w:val="cs-CZ"/>
        </w:rPr>
        <w:tab/>
        <w:t>Nájemce:</w:t>
      </w:r>
    </w:p>
    <w:p w14:paraId="70D0241C" w14:textId="77777777" w:rsidR="001E0BF0" w:rsidRPr="00B90A17" w:rsidRDefault="001E0BF0" w:rsidP="001E0BF0">
      <w:pPr>
        <w:rPr>
          <w:lang w:val="cs-CZ"/>
        </w:rPr>
      </w:pPr>
    </w:p>
    <w:p w14:paraId="7C063390" w14:textId="7D14E534" w:rsidR="001E0BF0" w:rsidRDefault="001E0BF0" w:rsidP="001E0BF0">
      <w:pPr>
        <w:rPr>
          <w:lang w:val="cs-CZ"/>
        </w:rPr>
      </w:pPr>
    </w:p>
    <w:p w14:paraId="25A9EDE5" w14:textId="03183EF0" w:rsidR="00000924" w:rsidRDefault="00000924" w:rsidP="001E0BF0">
      <w:pPr>
        <w:rPr>
          <w:lang w:val="cs-CZ"/>
        </w:rPr>
      </w:pPr>
    </w:p>
    <w:p w14:paraId="5433415F" w14:textId="4D5FBE98" w:rsidR="00000924" w:rsidRDefault="00000924" w:rsidP="001E0BF0">
      <w:pPr>
        <w:rPr>
          <w:lang w:val="cs-CZ"/>
        </w:rPr>
      </w:pPr>
    </w:p>
    <w:p w14:paraId="6D1F98F8" w14:textId="703C546F" w:rsidR="00000924" w:rsidRDefault="00000924" w:rsidP="001E0BF0">
      <w:pPr>
        <w:rPr>
          <w:lang w:val="cs-CZ"/>
        </w:rPr>
      </w:pPr>
    </w:p>
    <w:p w14:paraId="5580075B" w14:textId="77777777" w:rsidR="00000924" w:rsidRPr="00B90A17" w:rsidRDefault="00000924" w:rsidP="001E0BF0">
      <w:pPr>
        <w:rPr>
          <w:lang w:val="cs-CZ"/>
        </w:rPr>
      </w:pPr>
    </w:p>
    <w:p w14:paraId="4BA95B61" w14:textId="77777777" w:rsidR="000F2F14" w:rsidRPr="00B90A17" w:rsidRDefault="000F2F14" w:rsidP="000F2F14">
      <w:pPr>
        <w:rPr>
          <w:lang w:val="cs-CZ"/>
        </w:rPr>
      </w:pPr>
      <w:r w:rsidRPr="00B90A17">
        <w:rPr>
          <w:lang w:val="cs-CZ"/>
        </w:rPr>
        <w:t>____________________</w:t>
      </w:r>
      <w:r w:rsidRPr="00B90A17">
        <w:rPr>
          <w:lang w:val="cs-CZ"/>
        </w:rPr>
        <w:tab/>
      </w:r>
      <w:r w:rsidRPr="00B90A17">
        <w:rPr>
          <w:lang w:val="cs-CZ"/>
        </w:rPr>
        <w:tab/>
      </w:r>
      <w:r w:rsidRPr="00B90A17">
        <w:rPr>
          <w:lang w:val="cs-CZ"/>
        </w:rPr>
        <w:tab/>
      </w:r>
      <w:r w:rsidRPr="00B90A17">
        <w:rPr>
          <w:lang w:val="cs-CZ"/>
        </w:rPr>
        <w:tab/>
        <w:t xml:space="preserve">   ____________________</w:t>
      </w:r>
    </w:p>
    <w:p w14:paraId="3B237C91" w14:textId="38318438" w:rsidR="000F2F14" w:rsidRPr="00B90A17" w:rsidRDefault="000F2F14" w:rsidP="000F2F14">
      <w:pPr>
        <w:contextualSpacing/>
        <w:rPr>
          <w:b/>
          <w:lang w:val="cs-CZ"/>
        </w:rPr>
      </w:pPr>
      <w:proofErr w:type="spellStart"/>
      <w:r w:rsidRPr="00B90A17">
        <w:rPr>
          <w:b/>
          <w:lang w:val="cs-CZ"/>
        </w:rPr>
        <w:t>Empora</w:t>
      </w:r>
      <w:proofErr w:type="spellEnd"/>
      <w:r w:rsidRPr="00B90A17">
        <w:rPr>
          <w:b/>
          <w:lang w:val="cs-CZ"/>
        </w:rPr>
        <w:t xml:space="preserve"> </w:t>
      </w:r>
      <w:proofErr w:type="spellStart"/>
      <w:r w:rsidRPr="00B90A17">
        <w:rPr>
          <w:b/>
          <w:lang w:val="cs-CZ"/>
        </w:rPr>
        <w:t>Anstalt</w:t>
      </w:r>
      <w:proofErr w:type="spellEnd"/>
      <w:r w:rsidRPr="00B90A17">
        <w:rPr>
          <w:b/>
          <w:lang w:val="cs-CZ"/>
        </w:rPr>
        <w:tab/>
      </w:r>
      <w:r w:rsidRPr="00B90A17">
        <w:rPr>
          <w:b/>
          <w:lang w:val="cs-CZ"/>
        </w:rPr>
        <w:tab/>
      </w:r>
      <w:r w:rsidRPr="00B90A17">
        <w:rPr>
          <w:b/>
          <w:lang w:val="cs-CZ"/>
        </w:rPr>
        <w:tab/>
      </w:r>
      <w:r w:rsidRPr="00B90A17">
        <w:rPr>
          <w:b/>
          <w:lang w:val="cs-CZ"/>
        </w:rPr>
        <w:tab/>
      </w:r>
      <w:r w:rsidRPr="00B90A17">
        <w:rPr>
          <w:b/>
          <w:lang w:val="cs-CZ"/>
        </w:rPr>
        <w:tab/>
        <w:t xml:space="preserve">   </w:t>
      </w:r>
      <w:r w:rsidR="001A690C" w:rsidRPr="00B90A17">
        <w:rPr>
          <w:b/>
          <w:lang w:val="cs-CZ"/>
        </w:rPr>
        <w:t>RBP, zdravotní pojišťovna</w:t>
      </w:r>
    </w:p>
    <w:p w14:paraId="5B6EA8D5" w14:textId="228F5B05" w:rsidR="000F2F14" w:rsidRPr="00B90A17" w:rsidRDefault="000F2F14" w:rsidP="000F2F14">
      <w:pPr>
        <w:contextualSpacing/>
        <w:rPr>
          <w:lang w:val="cs-CZ"/>
        </w:rPr>
      </w:pPr>
      <w:proofErr w:type="spellStart"/>
      <w:r w:rsidRPr="00B90A17">
        <w:rPr>
          <w:b/>
          <w:lang w:val="cs-CZ"/>
        </w:rPr>
        <w:t>Empora</w:t>
      </w:r>
      <w:proofErr w:type="spellEnd"/>
      <w:r w:rsidRPr="00B90A17">
        <w:rPr>
          <w:b/>
          <w:lang w:val="cs-CZ"/>
        </w:rPr>
        <w:t xml:space="preserve"> </w:t>
      </w:r>
      <w:proofErr w:type="spellStart"/>
      <w:r w:rsidRPr="00B90A17">
        <w:rPr>
          <w:b/>
          <w:lang w:val="cs-CZ"/>
        </w:rPr>
        <w:t>Anstalt</w:t>
      </w:r>
      <w:proofErr w:type="spellEnd"/>
      <w:r w:rsidRPr="00B90A17">
        <w:rPr>
          <w:b/>
          <w:lang w:val="cs-CZ"/>
        </w:rPr>
        <w:t>, odštěpný závod Česká republika</w:t>
      </w:r>
      <w:r w:rsidRPr="00B90A17">
        <w:rPr>
          <w:lang w:val="cs-CZ"/>
        </w:rPr>
        <w:tab/>
      </w:r>
      <w:r w:rsidR="00F64075" w:rsidRPr="00311234">
        <w:rPr>
          <w:color w:val="000000" w:themeColor="text1"/>
          <w:lang w:val="cs-CZ"/>
        </w:rPr>
        <w:t xml:space="preserve">   </w:t>
      </w:r>
      <w:r w:rsidR="00C97321" w:rsidRPr="00311234">
        <w:rPr>
          <w:color w:val="000000" w:themeColor="text1"/>
          <w:lang w:val="cs-CZ"/>
        </w:rPr>
        <w:t>Ing. Antonín Klimša</w:t>
      </w:r>
      <w:r w:rsidR="00000924" w:rsidRPr="00311234">
        <w:rPr>
          <w:color w:val="000000" w:themeColor="text1"/>
          <w:lang w:val="cs-CZ"/>
        </w:rPr>
        <w:t>, MBA</w:t>
      </w:r>
      <w:r w:rsidRPr="00311234">
        <w:rPr>
          <w:color w:val="000000" w:themeColor="text1"/>
          <w:lang w:val="cs-CZ"/>
        </w:rPr>
        <w:t xml:space="preserve"> </w:t>
      </w:r>
    </w:p>
    <w:p w14:paraId="3F4FCB45" w14:textId="2D158811" w:rsidR="000F2F14" w:rsidRPr="00B90A17" w:rsidRDefault="002103E3" w:rsidP="000F2F14">
      <w:pPr>
        <w:contextualSpacing/>
        <w:rPr>
          <w:lang w:val="cs-CZ"/>
        </w:rPr>
      </w:pPr>
      <w:proofErr w:type="spellStart"/>
      <w:r w:rsidRPr="00D30393">
        <w:rPr>
          <w:highlight w:val="black"/>
          <w:lang w:val="cs-CZ"/>
        </w:rPr>
        <w:t>X</w:t>
      </w:r>
      <w:r w:rsidRPr="00D30393">
        <w:rPr>
          <w:highlight w:val="black"/>
          <w:lang w:val="cs-CZ"/>
        </w:rPr>
        <w:t>xxxxxxxxx</w:t>
      </w:r>
      <w:proofErr w:type="spellEnd"/>
      <w:r>
        <w:rPr>
          <w:lang w:val="cs-CZ"/>
        </w:rPr>
        <w:tab/>
      </w:r>
      <w:bookmarkStart w:id="5" w:name="_GoBack"/>
      <w:bookmarkEnd w:id="5"/>
      <w:r w:rsidR="000F2F14" w:rsidRPr="00B90A17">
        <w:rPr>
          <w:lang w:val="cs-CZ"/>
        </w:rPr>
        <w:t xml:space="preserve"> </w:t>
      </w:r>
      <w:r w:rsidR="000F2F14" w:rsidRPr="00B90A17">
        <w:rPr>
          <w:lang w:val="cs-CZ"/>
        </w:rPr>
        <w:tab/>
      </w:r>
      <w:r w:rsidR="000F2F14" w:rsidRPr="00B90A17">
        <w:rPr>
          <w:lang w:val="cs-CZ"/>
        </w:rPr>
        <w:tab/>
      </w:r>
      <w:r w:rsidR="000F2F14" w:rsidRPr="00B90A17">
        <w:rPr>
          <w:lang w:val="cs-CZ"/>
        </w:rPr>
        <w:tab/>
      </w:r>
      <w:r w:rsidR="000F2F14" w:rsidRPr="00B90A17">
        <w:rPr>
          <w:lang w:val="cs-CZ"/>
        </w:rPr>
        <w:tab/>
      </w:r>
      <w:r w:rsidR="000F2F14" w:rsidRPr="00B90A17">
        <w:rPr>
          <w:lang w:val="cs-CZ"/>
        </w:rPr>
        <w:tab/>
      </w:r>
      <w:r w:rsidR="00F64075" w:rsidRPr="00B90A17">
        <w:rPr>
          <w:lang w:val="cs-CZ"/>
        </w:rPr>
        <w:t xml:space="preserve">   </w:t>
      </w:r>
      <w:r w:rsidR="00C97321" w:rsidRPr="00B90A17">
        <w:rPr>
          <w:lang w:val="cs-CZ"/>
        </w:rPr>
        <w:t>výkonný ředitel</w:t>
      </w:r>
    </w:p>
    <w:p w14:paraId="27D734D0" w14:textId="43ABB397" w:rsidR="00BA1D9F" w:rsidRPr="00B90A17" w:rsidRDefault="002103E3" w:rsidP="002103E3">
      <w:pPr>
        <w:contextualSpacing/>
        <w:rPr>
          <w:lang w:val="cs-CZ"/>
        </w:rPr>
      </w:pPr>
      <w:proofErr w:type="spellStart"/>
      <w:r w:rsidRPr="00D30393">
        <w:rPr>
          <w:highlight w:val="black"/>
          <w:lang w:val="cs-CZ"/>
        </w:rPr>
        <w:t>xxxxxxxxxx</w:t>
      </w:r>
      <w:proofErr w:type="spellEnd"/>
    </w:p>
    <w:sectPr w:rsidR="00BA1D9F" w:rsidRPr="00B90A17" w:rsidSect="00E03437">
      <w:footerReference w:type="default" r:id="rId11"/>
      <w:footerReference w:type="first" r:id="rId1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FEDB" w14:textId="77777777" w:rsidR="007611F1" w:rsidRDefault="007611F1">
      <w:r>
        <w:separator/>
      </w:r>
    </w:p>
  </w:endnote>
  <w:endnote w:type="continuationSeparator" w:id="0">
    <w:p w14:paraId="1AC68F1B" w14:textId="77777777" w:rsidR="007611F1" w:rsidRDefault="007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8C89" w14:textId="5C6FAAA4" w:rsidR="00396EDC" w:rsidRPr="00E11B20" w:rsidRDefault="00396EDC" w:rsidP="00E11B20">
    <w:pPr>
      <w:pStyle w:val="Zpat"/>
      <w:jc w:val="center"/>
    </w:pPr>
    <w:r>
      <w:rPr>
        <w:rStyle w:val="slostrnky"/>
      </w:rPr>
      <w:fldChar w:fldCharType="begin"/>
    </w:r>
    <w:r>
      <w:rPr>
        <w:rStyle w:val="slostrnky"/>
      </w:rPr>
      <w:instrText xml:space="preserve"> PAGE </w:instrText>
    </w:r>
    <w:r>
      <w:rPr>
        <w:rStyle w:val="slostrnky"/>
      </w:rPr>
      <w:fldChar w:fldCharType="separate"/>
    </w:r>
    <w:r w:rsidR="00696653">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96653">
      <w:rPr>
        <w:rStyle w:val="slostrnky"/>
        <w:noProof/>
      </w:rPr>
      <w:t>8</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8C8A" w14:textId="3CD687E8" w:rsidR="00396EDC" w:rsidRPr="0027460E" w:rsidRDefault="00396EDC" w:rsidP="009949AE">
    <w:pPr>
      <w:pStyle w:val="Zpat"/>
      <w:tabs>
        <w:tab w:val="clear" w:pos="4536"/>
        <w:tab w:val="center" w:pos="4820"/>
      </w:tabs>
      <w:jc w:val="left"/>
      <w:rPr>
        <w:sz w:val="16"/>
      </w:rPr>
    </w:pPr>
    <w:r>
      <w:rPr>
        <w:sz w:val="16"/>
        <w:szCs w:val="16"/>
      </w:rPr>
      <w:tab/>
    </w:r>
    <w:r w:rsidRPr="0027460E">
      <w:rPr>
        <w:sz w:val="16"/>
      </w:rPr>
      <w:fldChar w:fldCharType="begin"/>
    </w:r>
    <w:r w:rsidRPr="0027460E">
      <w:rPr>
        <w:sz w:val="16"/>
      </w:rPr>
      <w:instrText xml:space="preserve"> PAGE </w:instrText>
    </w:r>
    <w:r w:rsidRPr="0027460E">
      <w:rPr>
        <w:sz w:val="16"/>
      </w:rPr>
      <w:fldChar w:fldCharType="separate"/>
    </w:r>
    <w:r w:rsidR="00696653">
      <w:rPr>
        <w:noProof/>
        <w:sz w:val="16"/>
      </w:rPr>
      <w:t>1</w:t>
    </w:r>
    <w:r w:rsidRPr="0027460E">
      <w:rPr>
        <w:sz w:val="16"/>
      </w:rPr>
      <w:fldChar w:fldCharType="end"/>
    </w:r>
    <w:r w:rsidRPr="0027460E">
      <w:rPr>
        <w:sz w:val="16"/>
      </w:rPr>
      <w:t>/</w:t>
    </w:r>
    <w:r w:rsidRPr="0027460E">
      <w:rPr>
        <w:sz w:val="16"/>
      </w:rPr>
      <w:fldChar w:fldCharType="begin"/>
    </w:r>
    <w:r w:rsidRPr="0027460E">
      <w:rPr>
        <w:sz w:val="16"/>
      </w:rPr>
      <w:instrText xml:space="preserve"> NUMPAGES </w:instrText>
    </w:r>
    <w:r w:rsidRPr="0027460E">
      <w:rPr>
        <w:sz w:val="16"/>
      </w:rPr>
      <w:fldChar w:fldCharType="separate"/>
    </w:r>
    <w:r w:rsidR="00696653">
      <w:rPr>
        <w:noProof/>
        <w:sz w:val="16"/>
      </w:rPr>
      <w:t>8</w:t>
    </w:r>
    <w:r w:rsidRPr="0027460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A79AC" w14:textId="77777777" w:rsidR="007611F1" w:rsidRDefault="007611F1">
      <w:r>
        <w:separator/>
      </w:r>
    </w:p>
  </w:footnote>
  <w:footnote w:type="continuationSeparator" w:id="0">
    <w:p w14:paraId="21277FFC" w14:textId="77777777" w:rsidR="007611F1" w:rsidRDefault="00761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00EF"/>
    <w:multiLevelType w:val="multilevel"/>
    <w:tmpl w:val="4D7C1EEE"/>
    <w:lvl w:ilvl="0">
      <w:start w:val="1"/>
      <w:numFmt w:val="decimal"/>
      <w:pStyle w:val="Level1"/>
      <w:lvlText w:val="%1."/>
      <w:lvlJc w:val="left"/>
      <w:pPr>
        <w:tabs>
          <w:tab w:val="num" w:pos="425"/>
        </w:tabs>
        <w:ind w:left="425" w:hanging="425"/>
      </w:pPr>
      <w:rPr>
        <w:rFonts w:ascii="Calibri" w:hAnsi="Calibri" w:hint="default"/>
        <w:b/>
        <w:i w:val="0"/>
        <w:sz w:val="24"/>
      </w:rPr>
    </w:lvl>
    <w:lvl w:ilvl="1">
      <w:start w:val="1"/>
      <w:numFmt w:val="decimal"/>
      <w:pStyle w:val="Level2"/>
      <w:lvlText w:val="%1.%2"/>
      <w:lvlJc w:val="left"/>
      <w:pPr>
        <w:tabs>
          <w:tab w:val="num" w:pos="425"/>
        </w:tabs>
        <w:ind w:left="425" w:hanging="425"/>
      </w:pPr>
      <w:rPr>
        <w:rFonts w:ascii="Calibri" w:hAnsi="Calibri" w:hint="default"/>
        <w:b w:val="0"/>
        <w:i w:val="0"/>
        <w:sz w:val="24"/>
      </w:rPr>
    </w:lvl>
    <w:lvl w:ilvl="2">
      <w:start w:val="1"/>
      <w:numFmt w:val="lowerRoman"/>
      <w:pStyle w:val="Level3"/>
      <w:lvlText w:val="(%3)"/>
      <w:lvlJc w:val="left"/>
      <w:pPr>
        <w:tabs>
          <w:tab w:val="num" w:pos="567"/>
        </w:tabs>
        <w:ind w:left="567" w:hanging="567"/>
      </w:pPr>
      <w:rPr>
        <w:rFonts w:ascii="Calibri" w:hAnsi="Calibri" w:hint="default"/>
        <w:b w:val="0"/>
        <w:i w:val="0"/>
        <w:sz w:val="24"/>
      </w:rPr>
    </w:lvl>
    <w:lvl w:ilvl="3">
      <w:start w:val="1"/>
      <w:numFmt w:val="lowerLetter"/>
      <w:pStyle w:val="Level4"/>
      <w:lvlText w:val="(%4)"/>
      <w:lvlJc w:val="left"/>
      <w:pPr>
        <w:tabs>
          <w:tab w:val="num" w:pos="425"/>
        </w:tabs>
        <w:ind w:left="425" w:hanging="425"/>
      </w:pPr>
      <w:rPr>
        <w:rFonts w:ascii="Calibri" w:hAnsi="Calibri" w:hint="default"/>
        <w:b w:val="0"/>
        <w:i w:val="0"/>
        <w:sz w:val="24"/>
      </w:rPr>
    </w:lvl>
    <w:lvl w:ilvl="4">
      <w:start w:val="1"/>
      <w:numFmt w:val="lowerRoman"/>
      <w:lvlText w:val="(%5)"/>
      <w:lvlJc w:val="left"/>
      <w:pPr>
        <w:tabs>
          <w:tab w:val="num" w:pos="851"/>
        </w:tabs>
        <w:ind w:left="851" w:hanging="426"/>
      </w:pPr>
      <w:rPr>
        <w:rFonts w:ascii="Times New Roman" w:hAnsi="Times New Roman" w:hint="default"/>
        <w:b w:val="0"/>
        <w:i w:val="0"/>
        <w:sz w:val="24"/>
      </w:rPr>
    </w:lvl>
    <w:lvl w:ilvl="5">
      <w:start w:val="1"/>
      <w:numFmt w:val="none"/>
      <w:lvlText w:val=""/>
      <w:lvlJc w:val="left"/>
      <w:pPr>
        <w:tabs>
          <w:tab w:val="num" w:pos="3969"/>
        </w:tabs>
        <w:ind w:left="3969" w:hanging="681"/>
      </w:pPr>
      <w:rPr>
        <w:rFonts w:hint="default"/>
      </w:rPr>
    </w:lvl>
    <w:lvl w:ilvl="6">
      <w:start w:val="1"/>
      <w:numFmt w:val="none"/>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 w15:restartNumberingAfterBreak="0">
    <w:nsid w:val="09622741"/>
    <w:multiLevelType w:val="hybridMultilevel"/>
    <w:tmpl w:val="A07C524A"/>
    <w:lvl w:ilvl="0" w:tplc="0DD05B6C">
      <w:start w:val="1"/>
      <w:numFmt w:val="decimal"/>
      <w:pStyle w:val="Strany"/>
      <w:lvlText w:val="(%1)"/>
      <w:lvlJc w:val="left"/>
      <w:pPr>
        <w:ind w:left="360" w:hanging="360"/>
      </w:pPr>
      <w:rPr>
        <w:rFonts w:ascii="Calibri" w:hAnsi="Calibri" w:hint="default"/>
        <w:b w:val="0"/>
        <w:i w:val="0"/>
        <w:color w:val="000000"/>
        <w:sz w:val="24"/>
        <w:szCs w:val="22"/>
      </w:rPr>
    </w:lvl>
    <w:lvl w:ilvl="1" w:tplc="1FF4268A">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15126A"/>
    <w:multiLevelType w:val="multilevel"/>
    <w:tmpl w:val="06123278"/>
    <w:lvl w:ilvl="0">
      <w:start w:val="1"/>
      <w:numFmt w:val="decimal"/>
      <w:lvlText w:val="(%1)"/>
      <w:lvlJc w:val="left"/>
      <w:pPr>
        <w:tabs>
          <w:tab w:val="num" w:pos="0"/>
        </w:tabs>
        <w:ind w:left="72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D278D1"/>
    <w:multiLevelType w:val="hybridMultilevel"/>
    <w:tmpl w:val="057265AC"/>
    <w:lvl w:ilvl="0" w:tplc="85548DB2">
      <w:start w:val="1"/>
      <w:numFmt w:val="decimal"/>
      <w:pStyle w:val="Parties"/>
      <w:lvlText w:val="(%1)"/>
      <w:lvlJc w:val="left"/>
      <w:pPr>
        <w:tabs>
          <w:tab w:val="num" w:pos="425"/>
        </w:tabs>
        <w:ind w:left="425" w:hanging="425"/>
      </w:pPr>
      <w:rPr>
        <w:rFonts w:hint="default"/>
        <w:b w:val="0"/>
        <w:i w:val="0"/>
        <w:color w:val="000000"/>
        <w:sz w:val="24"/>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F51E9E"/>
    <w:multiLevelType w:val="multilevel"/>
    <w:tmpl w:val="62142ADC"/>
    <w:lvl w:ilvl="0">
      <w:start w:val="1"/>
      <w:numFmt w:val="upperLetter"/>
      <w:pStyle w:val="Recitals"/>
      <w:lvlText w:val="(%1)"/>
      <w:lvlJc w:val="left"/>
      <w:pPr>
        <w:tabs>
          <w:tab w:val="num" w:pos="425"/>
        </w:tabs>
        <w:ind w:left="425" w:hanging="425"/>
      </w:pPr>
      <w:rPr>
        <w:rFonts w:ascii="Calibri" w:hAnsi="Calibri"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58522BD"/>
    <w:multiLevelType w:val="hybridMultilevel"/>
    <w:tmpl w:val="124434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542A09"/>
    <w:multiLevelType w:val="hybridMultilevel"/>
    <w:tmpl w:val="361A02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05C5905"/>
    <w:multiLevelType w:val="hybridMultilevel"/>
    <w:tmpl w:val="3690991A"/>
    <w:lvl w:ilvl="0" w:tplc="33827F1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E0727"/>
    <w:multiLevelType w:val="hybridMultilevel"/>
    <w:tmpl w:val="CE004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AC4F0F"/>
    <w:multiLevelType w:val="multilevel"/>
    <w:tmpl w:val="040806E8"/>
    <w:lvl w:ilvl="0">
      <w:start w:val="1"/>
      <w:numFmt w:val="decimal"/>
      <w:lvlText w:val="%1."/>
      <w:lvlJc w:val="left"/>
      <w:pPr>
        <w:ind w:left="432" w:hanging="432"/>
      </w:pPr>
      <w:rPr>
        <w:rFonts w:hint="default"/>
        <w:b/>
      </w:rPr>
    </w:lvl>
    <w:lvl w:ilvl="1">
      <w:start w:val="1"/>
      <w:numFmt w:val="decimal"/>
      <w:lvlText w:val="%1.%2"/>
      <w:lvlJc w:val="left"/>
      <w:pPr>
        <w:ind w:left="576" w:hanging="576"/>
      </w:pPr>
      <w:rPr>
        <w:b w:val="0"/>
      </w:r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9E853CC"/>
    <w:multiLevelType w:val="multilevel"/>
    <w:tmpl w:val="5FBE6698"/>
    <w:lvl w:ilvl="0">
      <w:start w:val="1"/>
      <w:numFmt w:val="decimal"/>
      <w:pStyle w:val="Nadpis1"/>
      <w:lvlText w:val="%1."/>
      <w:lvlJc w:val="left"/>
      <w:pPr>
        <w:tabs>
          <w:tab w:val="num" w:pos="425"/>
        </w:tabs>
        <w:ind w:left="425" w:hanging="425"/>
      </w:pPr>
      <w:rPr>
        <w:rFonts w:ascii="Calibri" w:hAnsi="Calibri" w:cs="Times New Roman Bold" w:hint="default"/>
        <w:b/>
        <w:bCs/>
        <w:i w:val="0"/>
        <w:iCs w:val="0"/>
        <w:caps/>
        <w:smallCaps w:val="0"/>
        <w:strike w:val="0"/>
        <w:dstrike w:val="0"/>
        <w:noProof w:val="0"/>
        <w:snapToGrid w:val="0"/>
        <w:vanish w:val="0"/>
        <w:color w:val="auto"/>
        <w:spacing w:val="0"/>
        <w:w w:val="10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425"/>
        </w:tabs>
        <w:ind w:left="425" w:hanging="425"/>
      </w:pPr>
      <w:rPr>
        <w:rFonts w:cs="Times New Roman" w:hint="default"/>
        <w:bCs w:val="0"/>
        <w:i w:val="0"/>
        <w:iCs w:val="0"/>
        <w:smallCaps w:val="0"/>
        <w:strike w:val="0"/>
        <w:dstrike w:val="0"/>
        <w:noProof w:val="0"/>
        <w:snapToGrid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adpis3"/>
      <w:lvlText w:val="(%3)"/>
      <w:lvlJc w:val="left"/>
      <w:pPr>
        <w:tabs>
          <w:tab w:val="num" w:pos="425"/>
        </w:tabs>
        <w:ind w:left="425" w:hanging="425"/>
      </w:pPr>
      <w:rPr>
        <w:rFonts w:ascii="Calibri" w:hAnsi="Calibri" w:hint="default"/>
        <w:b w:val="0"/>
        <w:bCs w:val="0"/>
        <w:i w:val="0"/>
        <w:iCs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left"/>
      <w:pPr>
        <w:tabs>
          <w:tab w:val="num" w:pos="425"/>
        </w:tabs>
        <w:ind w:left="425" w:hanging="425"/>
      </w:pPr>
      <w:rPr>
        <w:rFonts w:ascii="Calibri" w:hAnsi="Calibri"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adpis5"/>
      <w:lvlText w:val="(%5)"/>
      <w:lvlJc w:val="left"/>
      <w:pPr>
        <w:tabs>
          <w:tab w:val="num" w:pos="851"/>
        </w:tabs>
        <w:ind w:left="851" w:hanging="426"/>
      </w:pPr>
      <w:rPr>
        <w:rFonts w:ascii="Times New Roman" w:hAnsi="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adpis6"/>
      <w:lvlText w:val=""/>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adpis7"/>
      <w:lvlText w:val=""/>
      <w:lvlJc w:val="left"/>
      <w:pPr>
        <w:tabs>
          <w:tab w:val="num" w:pos="4680"/>
        </w:tabs>
        <w:ind w:left="4320" w:firstLine="0"/>
      </w:pPr>
      <w:rPr>
        <w:rFonts w:hint="default"/>
        <w:color w:val="0000FF"/>
        <w:spacing w:val="0"/>
        <w:u w:val="double"/>
      </w:rPr>
    </w:lvl>
    <w:lvl w:ilvl="7">
      <w:start w:val="1"/>
      <w:numFmt w:val="none"/>
      <w:pStyle w:val="Nadpis8"/>
      <w:lvlText w:val=""/>
      <w:lvlJc w:val="left"/>
      <w:pPr>
        <w:tabs>
          <w:tab w:val="num" w:pos="5400"/>
        </w:tabs>
        <w:ind w:left="5040" w:firstLine="0"/>
      </w:pPr>
      <w:rPr>
        <w:rFonts w:hint="default"/>
        <w:color w:val="0000FF"/>
        <w:spacing w:val="0"/>
        <w:u w:val="double"/>
      </w:rPr>
    </w:lvl>
    <w:lvl w:ilvl="8">
      <w:start w:val="1"/>
      <w:numFmt w:val="none"/>
      <w:pStyle w:val="Nadpis9"/>
      <w:lvlText w:val=""/>
      <w:lvlJc w:val="left"/>
      <w:pPr>
        <w:tabs>
          <w:tab w:val="num" w:pos="6120"/>
        </w:tabs>
        <w:ind w:left="5760" w:firstLine="0"/>
      </w:pPr>
      <w:rPr>
        <w:rFonts w:hint="default"/>
        <w:color w:val="0000FF"/>
        <w:spacing w:val="0"/>
        <w:u w:val="double"/>
      </w:rPr>
    </w:lvl>
  </w:abstractNum>
  <w:abstractNum w:abstractNumId="11" w15:restartNumberingAfterBreak="0">
    <w:nsid w:val="60EB66D3"/>
    <w:multiLevelType w:val="multilevel"/>
    <w:tmpl w:val="4B0EB5FC"/>
    <w:lvl w:ilvl="0">
      <w:start w:val="1"/>
      <w:numFmt w:val="upperRoman"/>
      <w:suff w:val="nothing"/>
      <w:lvlText w:val="Článek %1"/>
      <w:lvlJc w:val="left"/>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2FD20CE"/>
    <w:multiLevelType w:val="hybridMultilevel"/>
    <w:tmpl w:val="124434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F24405"/>
    <w:multiLevelType w:val="hybridMultilevel"/>
    <w:tmpl w:val="3C8E7F12"/>
    <w:lvl w:ilvl="0" w:tplc="79C86F96">
      <w:start w:val="1"/>
      <w:numFmt w:val="upperLetter"/>
      <w:pStyle w:val="vodnustanoven"/>
      <w:lvlText w:val="(%1)"/>
      <w:lvlJc w:val="left"/>
      <w:pPr>
        <w:ind w:left="360" w:hanging="360"/>
      </w:pPr>
      <w:rPr>
        <w:rFonts w:ascii="Calibri" w:hAnsi="Calibr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C46972"/>
    <w:multiLevelType w:val="hybridMultilevel"/>
    <w:tmpl w:val="81DC7E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B950B4"/>
    <w:multiLevelType w:val="multilevel"/>
    <w:tmpl w:val="0EEE1900"/>
    <w:lvl w:ilvl="0">
      <w:start w:val="1"/>
      <w:numFmt w:val="decimal"/>
      <w:suff w:val="nothing"/>
      <w:lvlText w:val="Annex No.%1"/>
      <w:lvlJc w:val="left"/>
      <w:pPr>
        <w:tabs>
          <w:tab w:val="num" w:pos="0"/>
        </w:tabs>
      </w:pPr>
      <w:rPr>
        <w:rFonts w:ascii="Times New Roman Bold" w:hAnsi="Times New Roman Bold"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10"/>
  </w:num>
  <w:num w:numId="4">
    <w:abstractNumId w:val="0"/>
  </w:num>
  <w:num w:numId="5">
    <w:abstractNumId w:val="1"/>
  </w:num>
  <w:num w:numId="6">
    <w:abstractNumId w:val="13"/>
  </w:num>
  <w:num w:numId="7">
    <w:abstractNumId w:val="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0"/>
  </w:num>
  <w:num w:numId="21">
    <w:abstractNumId w:val="10"/>
  </w:num>
  <w:num w:numId="22">
    <w:abstractNumId w:val="8"/>
  </w:num>
  <w:num w:numId="23">
    <w:abstractNumId w:val="6"/>
  </w:num>
  <w:num w:numId="24">
    <w:abstractNumId w:val="14"/>
  </w:num>
  <w:num w:numId="25">
    <w:abstractNumId w:val="7"/>
  </w:num>
  <w:num w:numId="26">
    <w:abstractNumId w:val="5"/>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90"/>
    <w:rsid w:val="00000924"/>
    <w:rsid w:val="00002DB0"/>
    <w:rsid w:val="00006D31"/>
    <w:rsid w:val="00010BF1"/>
    <w:rsid w:val="00012B80"/>
    <w:rsid w:val="000134E6"/>
    <w:rsid w:val="000142C8"/>
    <w:rsid w:val="00014C39"/>
    <w:rsid w:val="0002396C"/>
    <w:rsid w:val="0004013B"/>
    <w:rsid w:val="00042F9D"/>
    <w:rsid w:val="0005583F"/>
    <w:rsid w:val="00065085"/>
    <w:rsid w:val="00071CF5"/>
    <w:rsid w:val="00071F95"/>
    <w:rsid w:val="00075A75"/>
    <w:rsid w:val="00076E11"/>
    <w:rsid w:val="0008301E"/>
    <w:rsid w:val="0008309C"/>
    <w:rsid w:val="00084426"/>
    <w:rsid w:val="00085914"/>
    <w:rsid w:val="00087503"/>
    <w:rsid w:val="00094FDE"/>
    <w:rsid w:val="00096919"/>
    <w:rsid w:val="000A65CD"/>
    <w:rsid w:val="000B1A9D"/>
    <w:rsid w:val="000B36AF"/>
    <w:rsid w:val="000B39A7"/>
    <w:rsid w:val="000B56C1"/>
    <w:rsid w:val="000B67BB"/>
    <w:rsid w:val="000C7DF9"/>
    <w:rsid w:val="000D67CE"/>
    <w:rsid w:val="000E2CB8"/>
    <w:rsid w:val="000E368B"/>
    <w:rsid w:val="000E4DE4"/>
    <w:rsid w:val="000E53E0"/>
    <w:rsid w:val="000F2F14"/>
    <w:rsid w:val="000F3A98"/>
    <w:rsid w:val="000F6053"/>
    <w:rsid w:val="00100259"/>
    <w:rsid w:val="001010F4"/>
    <w:rsid w:val="0010187D"/>
    <w:rsid w:val="00101C2B"/>
    <w:rsid w:val="001027FE"/>
    <w:rsid w:val="00104A31"/>
    <w:rsid w:val="00106DF5"/>
    <w:rsid w:val="001072C4"/>
    <w:rsid w:val="0010744B"/>
    <w:rsid w:val="0011144D"/>
    <w:rsid w:val="001116E0"/>
    <w:rsid w:val="00115109"/>
    <w:rsid w:val="0012066A"/>
    <w:rsid w:val="00120720"/>
    <w:rsid w:val="00122738"/>
    <w:rsid w:val="001233DF"/>
    <w:rsid w:val="00126A33"/>
    <w:rsid w:val="00127208"/>
    <w:rsid w:val="00135346"/>
    <w:rsid w:val="001531E7"/>
    <w:rsid w:val="0015384B"/>
    <w:rsid w:val="00154147"/>
    <w:rsid w:val="001560B1"/>
    <w:rsid w:val="00160BA0"/>
    <w:rsid w:val="00162230"/>
    <w:rsid w:val="0016428D"/>
    <w:rsid w:val="001705FE"/>
    <w:rsid w:val="00187B9D"/>
    <w:rsid w:val="00195DCE"/>
    <w:rsid w:val="001A690C"/>
    <w:rsid w:val="001B136E"/>
    <w:rsid w:val="001B7572"/>
    <w:rsid w:val="001C1480"/>
    <w:rsid w:val="001C1801"/>
    <w:rsid w:val="001C1F00"/>
    <w:rsid w:val="001C465F"/>
    <w:rsid w:val="001C5546"/>
    <w:rsid w:val="001D2CC4"/>
    <w:rsid w:val="001D6A46"/>
    <w:rsid w:val="001E0BF0"/>
    <w:rsid w:val="001E7790"/>
    <w:rsid w:val="001F0239"/>
    <w:rsid w:val="001F58EC"/>
    <w:rsid w:val="002026BC"/>
    <w:rsid w:val="00206688"/>
    <w:rsid w:val="002103E3"/>
    <w:rsid w:val="002113A9"/>
    <w:rsid w:val="00215298"/>
    <w:rsid w:val="00223CA4"/>
    <w:rsid w:val="00224BB1"/>
    <w:rsid w:val="002323DA"/>
    <w:rsid w:val="00250B36"/>
    <w:rsid w:val="00252CE2"/>
    <w:rsid w:val="00253023"/>
    <w:rsid w:val="002563B6"/>
    <w:rsid w:val="00264130"/>
    <w:rsid w:val="0027339B"/>
    <w:rsid w:val="00274325"/>
    <w:rsid w:val="0027460E"/>
    <w:rsid w:val="00274A47"/>
    <w:rsid w:val="00275327"/>
    <w:rsid w:val="002819CD"/>
    <w:rsid w:val="00283F67"/>
    <w:rsid w:val="002848E6"/>
    <w:rsid w:val="00287DD5"/>
    <w:rsid w:val="00297706"/>
    <w:rsid w:val="002A06B4"/>
    <w:rsid w:val="002A111D"/>
    <w:rsid w:val="002A52B6"/>
    <w:rsid w:val="002B6D79"/>
    <w:rsid w:val="002C182C"/>
    <w:rsid w:val="002C1B24"/>
    <w:rsid w:val="002C3586"/>
    <w:rsid w:val="002C60DF"/>
    <w:rsid w:val="002C72E6"/>
    <w:rsid w:val="002D565C"/>
    <w:rsid w:val="002E085E"/>
    <w:rsid w:val="002E22F5"/>
    <w:rsid w:val="002E4311"/>
    <w:rsid w:val="002E4E79"/>
    <w:rsid w:val="002E70E9"/>
    <w:rsid w:val="002F717A"/>
    <w:rsid w:val="0030270B"/>
    <w:rsid w:val="00302F3E"/>
    <w:rsid w:val="0030394B"/>
    <w:rsid w:val="00311234"/>
    <w:rsid w:val="0031129D"/>
    <w:rsid w:val="00313BBB"/>
    <w:rsid w:val="003163DF"/>
    <w:rsid w:val="00323266"/>
    <w:rsid w:val="00323BF0"/>
    <w:rsid w:val="0032732C"/>
    <w:rsid w:val="00330A55"/>
    <w:rsid w:val="00331A0B"/>
    <w:rsid w:val="00332A49"/>
    <w:rsid w:val="003405D8"/>
    <w:rsid w:val="003406D5"/>
    <w:rsid w:val="003430A5"/>
    <w:rsid w:val="00350496"/>
    <w:rsid w:val="003533D8"/>
    <w:rsid w:val="003552E5"/>
    <w:rsid w:val="00356CFF"/>
    <w:rsid w:val="00360541"/>
    <w:rsid w:val="00363B3A"/>
    <w:rsid w:val="00364BDB"/>
    <w:rsid w:val="00364D2F"/>
    <w:rsid w:val="003660B3"/>
    <w:rsid w:val="00366C57"/>
    <w:rsid w:val="00373C8B"/>
    <w:rsid w:val="00373F95"/>
    <w:rsid w:val="0038015B"/>
    <w:rsid w:val="0038412A"/>
    <w:rsid w:val="00385CD5"/>
    <w:rsid w:val="00386E2A"/>
    <w:rsid w:val="00396EDC"/>
    <w:rsid w:val="003A027C"/>
    <w:rsid w:val="003A0CCA"/>
    <w:rsid w:val="003A10E5"/>
    <w:rsid w:val="003A2064"/>
    <w:rsid w:val="003A37E7"/>
    <w:rsid w:val="003B08F2"/>
    <w:rsid w:val="003B1486"/>
    <w:rsid w:val="003B4862"/>
    <w:rsid w:val="003B538F"/>
    <w:rsid w:val="003B6749"/>
    <w:rsid w:val="003D38A9"/>
    <w:rsid w:val="003D6403"/>
    <w:rsid w:val="003E0E12"/>
    <w:rsid w:val="003E199D"/>
    <w:rsid w:val="003E7966"/>
    <w:rsid w:val="003F0E8A"/>
    <w:rsid w:val="003F38B5"/>
    <w:rsid w:val="003F5B98"/>
    <w:rsid w:val="004006AF"/>
    <w:rsid w:val="00404078"/>
    <w:rsid w:val="00404E9B"/>
    <w:rsid w:val="0040554C"/>
    <w:rsid w:val="00410AB6"/>
    <w:rsid w:val="00413AE0"/>
    <w:rsid w:val="0042022C"/>
    <w:rsid w:val="004208F5"/>
    <w:rsid w:val="00424632"/>
    <w:rsid w:val="00430362"/>
    <w:rsid w:val="00432556"/>
    <w:rsid w:val="00442216"/>
    <w:rsid w:val="00460810"/>
    <w:rsid w:val="00461B3D"/>
    <w:rsid w:val="00464AE4"/>
    <w:rsid w:val="00465886"/>
    <w:rsid w:val="00466807"/>
    <w:rsid w:val="00470341"/>
    <w:rsid w:val="00470E31"/>
    <w:rsid w:val="004714A6"/>
    <w:rsid w:val="00473195"/>
    <w:rsid w:val="00475B28"/>
    <w:rsid w:val="00480018"/>
    <w:rsid w:val="00495001"/>
    <w:rsid w:val="004963E7"/>
    <w:rsid w:val="004A1A40"/>
    <w:rsid w:val="004A313E"/>
    <w:rsid w:val="004A39C5"/>
    <w:rsid w:val="004A4DC7"/>
    <w:rsid w:val="004B68BC"/>
    <w:rsid w:val="004C57E9"/>
    <w:rsid w:val="004C5A4D"/>
    <w:rsid w:val="004D18F1"/>
    <w:rsid w:val="004D3514"/>
    <w:rsid w:val="004E7D91"/>
    <w:rsid w:val="004F0B82"/>
    <w:rsid w:val="004F2FF3"/>
    <w:rsid w:val="004F34D1"/>
    <w:rsid w:val="00502090"/>
    <w:rsid w:val="005065C6"/>
    <w:rsid w:val="00510413"/>
    <w:rsid w:val="00517BB5"/>
    <w:rsid w:val="005234DD"/>
    <w:rsid w:val="0052599B"/>
    <w:rsid w:val="00530C47"/>
    <w:rsid w:val="00535AE0"/>
    <w:rsid w:val="00536527"/>
    <w:rsid w:val="00537184"/>
    <w:rsid w:val="00545EAF"/>
    <w:rsid w:val="00560125"/>
    <w:rsid w:val="00560F32"/>
    <w:rsid w:val="00562017"/>
    <w:rsid w:val="005742EB"/>
    <w:rsid w:val="00577031"/>
    <w:rsid w:val="00577A18"/>
    <w:rsid w:val="00580CBA"/>
    <w:rsid w:val="00583706"/>
    <w:rsid w:val="005934A8"/>
    <w:rsid w:val="005A15E1"/>
    <w:rsid w:val="005A6EAD"/>
    <w:rsid w:val="005B2952"/>
    <w:rsid w:val="005B3F97"/>
    <w:rsid w:val="005C51D9"/>
    <w:rsid w:val="005C5386"/>
    <w:rsid w:val="005C5867"/>
    <w:rsid w:val="005D37FA"/>
    <w:rsid w:val="005D5229"/>
    <w:rsid w:val="005E600A"/>
    <w:rsid w:val="006030EB"/>
    <w:rsid w:val="006038F3"/>
    <w:rsid w:val="00604DC2"/>
    <w:rsid w:val="00605D86"/>
    <w:rsid w:val="00610BE2"/>
    <w:rsid w:val="00612E0E"/>
    <w:rsid w:val="00620C32"/>
    <w:rsid w:val="00624D15"/>
    <w:rsid w:val="00627633"/>
    <w:rsid w:val="00633B57"/>
    <w:rsid w:val="006439B3"/>
    <w:rsid w:val="006615EC"/>
    <w:rsid w:val="006665BB"/>
    <w:rsid w:val="006677C6"/>
    <w:rsid w:val="00672F1F"/>
    <w:rsid w:val="00673D35"/>
    <w:rsid w:val="00677572"/>
    <w:rsid w:val="00685528"/>
    <w:rsid w:val="00685A1A"/>
    <w:rsid w:val="0069555E"/>
    <w:rsid w:val="00696653"/>
    <w:rsid w:val="00696F8C"/>
    <w:rsid w:val="006A02B1"/>
    <w:rsid w:val="006A1AF7"/>
    <w:rsid w:val="006A210F"/>
    <w:rsid w:val="006A3242"/>
    <w:rsid w:val="006A69EE"/>
    <w:rsid w:val="006A7118"/>
    <w:rsid w:val="006A7EED"/>
    <w:rsid w:val="006B1D07"/>
    <w:rsid w:val="006B1F91"/>
    <w:rsid w:val="006B4709"/>
    <w:rsid w:val="006B4928"/>
    <w:rsid w:val="006C2164"/>
    <w:rsid w:val="006C4483"/>
    <w:rsid w:val="006C4687"/>
    <w:rsid w:val="006C7B8E"/>
    <w:rsid w:val="006D3B41"/>
    <w:rsid w:val="006D5F31"/>
    <w:rsid w:val="006E108C"/>
    <w:rsid w:val="006E7147"/>
    <w:rsid w:val="006F0BF4"/>
    <w:rsid w:val="007022E9"/>
    <w:rsid w:val="007064D1"/>
    <w:rsid w:val="0070774C"/>
    <w:rsid w:val="00707F01"/>
    <w:rsid w:val="00711D8B"/>
    <w:rsid w:val="00725783"/>
    <w:rsid w:val="00732ACF"/>
    <w:rsid w:val="007353E3"/>
    <w:rsid w:val="00740235"/>
    <w:rsid w:val="007451E0"/>
    <w:rsid w:val="00746470"/>
    <w:rsid w:val="00753B34"/>
    <w:rsid w:val="00753DE8"/>
    <w:rsid w:val="007553F0"/>
    <w:rsid w:val="00757084"/>
    <w:rsid w:val="007611F1"/>
    <w:rsid w:val="007616CC"/>
    <w:rsid w:val="007677AA"/>
    <w:rsid w:val="007808D5"/>
    <w:rsid w:val="007808E3"/>
    <w:rsid w:val="00782E30"/>
    <w:rsid w:val="00790896"/>
    <w:rsid w:val="00792261"/>
    <w:rsid w:val="007937B0"/>
    <w:rsid w:val="00793E35"/>
    <w:rsid w:val="0079516A"/>
    <w:rsid w:val="00796718"/>
    <w:rsid w:val="007A1946"/>
    <w:rsid w:val="007A1E1F"/>
    <w:rsid w:val="007A59EA"/>
    <w:rsid w:val="007A5FB8"/>
    <w:rsid w:val="007B5D52"/>
    <w:rsid w:val="007B6222"/>
    <w:rsid w:val="007B69D6"/>
    <w:rsid w:val="007B72DE"/>
    <w:rsid w:val="007C06CD"/>
    <w:rsid w:val="007C0ADF"/>
    <w:rsid w:val="007C45F4"/>
    <w:rsid w:val="007D2E31"/>
    <w:rsid w:val="007E0CE1"/>
    <w:rsid w:val="007E60B0"/>
    <w:rsid w:val="007E6B0E"/>
    <w:rsid w:val="007F0C51"/>
    <w:rsid w:val="007F6519"/>
    <w:rsid w:val="007F7F86"/>
    <w:rsid w:val="00801E14"/>
    <w:rsid w:val="0081057B"/>
    <w:rsid w:val="008166A8"/>
    <w:rsid w:val="00817798"/>
    <w:rsid w:val="00820276"/>
    <w:rsid w:val="008221BC"/>
    <w:rsid w:val="00824D22"/>
    <w:rsid w:val="00841588"/>
    <w:rsid w:val="008458BF"/>
    <w:rsid w:val="008526BF"/>
    <w:rsid w:val="008641BD"/>
    <w:rsid w:val="008732B4"/>
    <w:rsid w:val="008732EA"/>
    <w:rsid w:val="0087476C"/>
    <w:rsid w:val="008775DD"/>
    <w:rsid w:val="00883FD0"/>
    <w:rsid w:val="00884ED9"/>
    <w:rsid w:val="00891826"/>
    <w:rsid w:val="008A3B2C"/>
    <w:rsid w:val="008B0340"/>
    <w:rsid w:val="008B19C8"/>
    <w:rsid w:val="008B5195"/>
    <w:rsid w:val="008B6A60"/>
    <w:rsid w:val="008B6B04"/>
    <w:rsid w:val="008C6433"/>
    <w:rsid w:val="008C64C0"/>
    <w:rsid w:val="008C745B"/>
    <w:rsid w:val="008C76A2"/>
    <w:rsid w:val="008C7DD8"/>
    <w:rsid w:val="008D095A"/>
    <w:rsid w:val="008D15AB"/>
    <w:rsid w:val="008D1F52"/>
    <w:rsid w:val="008D2C7B"/>
    <w:rsid w:val="008D7B06"/>
    <w:rsid w:val="008E71C4"/>
    <w:rsid w:val="008F36A5"/>
    <w:rsid w:val="00902B3E"/>
    <w:rsid w:val="00904692"/>
    <w:rsid w:val="00905766"/>
    <w:rsid w:val="009065A9"/>
    <w:rsid w:val="009067E5"/>
    <w:rsid w:val="00915844"/>
    <w:rsid w:val="0091696F"/>
    <w:rsid w:val="00920031"/>
    <w:rsid w:val="00920603"/>
    <w:rsid w:val="00921187"/>
    <w:rsid w:val="00922487"/>
    <w:rsid w:val="00923B62"/>
    <w:rsid w:val="009309DE"/>
    <w:rsid w:val="00933E44"/>
    <w:rsid w:val="00940BBC"/>
    <w:rsid w:val="009475C8"/>
    <w:rsid w:val="00950681"/>
    <w:rsid w:val="00951FB7"/>
    <w:rsid w:val="009564D3"/>
    <w:rsid w:val="00956FD6"/>
    <w:rsid w:val="00962242"/>
    <w:rsid w:val="00974FBE"/>
    <w:rsid w:val="0097569A"/>
    <w:rsid w:val="00976003"/>
    <w:rsid w:val="009825D1"/>
    <w:rsid w:val="0099102E"/>
    <w:rsid w:val="00992BA0"/>
    <w:rsid w:val="009939DC"/>
    <w:rsid w:val="009949AE"/>
    <w:rsid w:val="0099534B"/>
    <w:rsid w:val="009A1AB0"/>
    <w:rsid w:val="009A4247"/>
    <w:rsid w:val="009A4649"/>
    <w:rsid w:val="009B62E0"/>
    <w:rsid w:val="009C05F4"/>
    <w:rsid w:val="009C3708"/>
    <w:rsid w:val="009C374E"/>
    <w:rsid w:val="009C4E14"/>
    <w:rsid w:val="009C74AA"/>
    <w:rsid w:val="009D0695"/>
    <w:rsid w:val="009D1FB8"/>
    <w:rsid w:val="009D7D6E"/>
    <w:rsid w:val="009E6B8F"/>
    <w:rsid w:val="009E6E47"/>
    <w:rsid w:val="009F0AB3"/>
    <w:rsid w:val="009F468B"/>
    <w:rsid w:val="009F610D"/>
    <w:rsid w:val="009F78F6"/>
    <w:rsid w:val="00A03E84"/>
    <w:rsid w:val="00A06922"/>
    <w:rsid w:val="00A143FA"/>
    <w:rsid w:val="00A24B96"/>
    <w:rsid w:val="00A30FAA"/>
    <w:rsid w:val="00A31297"/>
    <w:rsid w:val="00A31E8B"/>
    <w:rsid w:val="00A4570F"/>
    <w:rsid w:val="00A50946"/>
    <w:rsid w:val="00A53D28"/>
    <w:rsid w:val="00A55AF6"/>
    <w:rsid w:val="00A55BFA"/>
    <w:rsid w:val="00A613DC"/>
    <w:rsid w:val="00A615CF"/>
    <w:rsid w:val="00A617AC"/>
    <w:rsid w:val="00A70A73"/>
    <w:rsid w:val="00A929AA"/>
    <w:rsid w:val="00A92E19"/>
    <w:rsid w:val="00A967DE"/>
    <w:rsid w:val="00AA162D"/>
    <w:rsid w:val="00AA549A"/>
    <w:rsid w:val="00AB07A2"/>
    <w:rsid w:val="00AB2512"/>
    <w:rsid w:val="00AB71B5"/>
    <w:rsid w:val="00AB796C"/>
    <w:rsid w:val="00AC4933"/>
    <w:rsid w:val="00AC744E"/>
    <w:rsid w:val="00AD7609"/>
    <w:rsid w:val="00AE3575"/>
    <w:rsid w:val="00AF1128"/>
    <w:rsid w:val="00AF2E83"/>
    <w:rsid w:val="00AF583A"/>
    <w:rsid w:val="00AF6AA1"/>
    <w:rsid w:val="00AF7AC6"/>
    <w:rsid w:val="00AF7E7F"/>
    <w:rsid w:val="00B01860"/>
    <w:rsid w:val="00B032A9"/>
    <w:rsid w:val="00B03DE3"/>
    <w:rsid w:val="00B10C8B"/>
    <w:rsid w:val="00B17360"/>
    <w:rsid w:val="00B20C13"/>
    <w:rsid w:val="00B2543F"/>
    <w:rsid w:val="00B32603"/>
    <w:rsid w:val="00B3329F"/>
    <w:rsid w:val="00B44A54"/>
    <w:rsid w:val="00B519D2"/>
    <w:rsid w:val="00B52776"/>
    <w:rsid w:val="00B57779"/>
    <w:rsid w:val="00B606E7"/>
    <w:rsid w:val="00B613A1"/>
    <w:rsid w:val="00B65A6E"/>
    <w:rsid w:val="00B739AF"/>
    <w:rsid w:val="00B74772"/>
    <w:rsid w:val="00B77D62"/>
    <w:rsid w:val="00B82198"/>
    <w:rsid w:val="00B82C03"/>
    <w:rsid w:val="00B90A17"/>
    <w:rsid w:val="00B915CF"/>
    <w:rsid w:val="00B92D6A"/>
    <w:rsid w:val="00B962A9"/>
    <w:rsid w:val="00B96B04"/>
    <w:rsid w:val="00BA1D9F"/>
    <w:rsid w:val="00BA2815"/>
    <w:rsid w:val="00BA506D"/>
    <w:rsid w:val="00BA51E8"/>
    <w:rsid w:val="00BB33EE"/>
    <w:rsid w:val="00BB4071"/>
    <w:rsid w:val="00BB440F"/>
    <w:rsid w:val="00BB6AF8"/>
    <w:rsid w:val="00BB6C4C"/>
    <w:rsid w:val="00BD1ADF"/>
    <w:rsid w:val="00BF12B8"/>
    <w:rsid w:val="00BF2852"/>
    <w:rsid w:val="00BF4E0B"/>
    <w:rsid w:val="00BF7220"/>
    <w:rsid w:val="00C02A9F"/>
    <w:rsid w:val="00C050BC"/>
    <w:rsid w:val="00C05328"/>
    <w:rsid w:val="00C05FCD"/>
    <w:rsid w:val="00C15112"/>
    <w:rsid w:val="00C21C6D"/>
    <w:rsid w:val="00C25313"/>
    <w:rsid w:val="00C31879"/>
    <w:rsid w:val="00C42C7C"/>
    <w:rsid w:val="00C50CC7"/>
    <w:rsid w:val="00C54F99"/>
    <w:rsid w:val="00C62A04"/>
    <w:rsid w:val="00C64985"/>
    <w:rsid w:val="00C73EE1"/>
    <w:rsid w:val="00C7712B"/>
    <w:rsid w:val="00C80219"/>
    <w:rsid w:val="00C84996"/>
    <w:rsid w:val="00C917D3"/>
    <w:rsid w:val="00C92420"/>
    <w:rsid w:val="00C93A04"/>
    <w:rsid w:val="00C94F51"/>
    <w:rsid w:val="00C97321"/>
    <w:rsid w:val="00CA1B7C"/>
    <w:rsid w:val="00CA2F77"/>
    <w:rsid w:val="00CA7E59"/>
    <w:rsid w:val="00CB029E"/>
    <w:rsid w:val="00CB0F1B"/>
    <w:rsid w:val="00CB243E"/>
    <w:rsid w:val="00CC0FA1"/>
    <w:rsid w:val="00CC6431"/>
    <w:rsid w:val="00CC760B"/>
    <w:rsid w:val="00CE0609"/>
    <w:rsid w:val="00CE0A3F"/>
    <w:rsid w:val="00CE3037"/>
    <w:rsid w:val="00CF2A1C"/>
    <w:rsid w:val="00D00ABC"/>
    <w:rsid w:val="00D0235A"/>
    <w:rsid w:val="00D0247B"/>
    <w:rsid w:val="00D0377A"/>
    <w:rsid w:val="00D037E8"/>
    <w:rsid w:val="00D06D41"/>
    <w:rsid w:val="00D12545"/>
    <w:rsid w:val="00D126D6"/>
    <w:rsid w:val="00D15734"/>
    <w:rsid w:val="00D227E3"/>
    <w:rsid w:val="00D244FF"/>
    <w:rsid w:val="00D25E3A"/>
    <w:rsid w:val="00D26520"/>
    <w:rsid w:val="00D26C3D"/>
    <w:rsid w:val="00D30393"/>
    <w:rsid w:val="00D30CAE"/>
    <w:rsid w:val="00D355FE"/>
    <w:rsid w:val="00D408B4"/>
    <w:rsid w:val="00D43CF8"/>
    <w:rsid w:val="00D458B0"/>
    <w:rsid w:val="00D52581"/>
    <w:rsid w:val="00D52C4C"/>
    <w:rsid w:val="00D55B9B"/>
    <w:rsid w:val="00D56DAB"/>
    <w:rsid w:val="00D65E42"/>
    <w:rsid w:val="00D74990"/>
    <w:rsid w:val="00D76B4B"/>
    <w:rsid w:val="00D76DC4"/>
    <w:rsid w:val="00D856A7"/>
    <w:rsid w:val="00D9170E"/>
    <w:rsid w:val="00D928EE"/>
    <w:rsid w:val="00D92E36"/>
    <w:rsid w:val="00D95C16"/>
    <w:rsid w:val="00DA022D"/>
    <w:rsid w:val="00DA1671"/>
    <w:rsid w:val="00DB0AE0"/>
    <w:rsid w:val="00DB1DA7"/>
    <w:rsid w:val="00DC4E6F"/>
    <w:rsid w:val="00DC5A9A"/>
    <w:rsid w:val="00DC5F19"/>
    <w:rsid w:val="00DC65F0"/>
    <w:rsid w:val="00DC705E"/>
    <w:rsid w:val="00DD1BC9"/>
    <w:rsid w:val="00DD24B1"/>
    <w:rsid w:val="00DD2537"/>
    <w:rsid w:val="00DD7B7E"/>
    <w:rsid w:val="00DE5746"/>
    <w:rsid w:val="00DF55FE"/>
    <w:rsid w:val="00E03437"/>
    <w:rsid w:val="00E051A7"/>
    <w:rsid w:val="00E06F7D"/>
    <w:rsid w:val="00E11B20"/>
    <w:rsid w:val="00E13D98"/>
    <w:rsid w:val="00E21CF8"/>
    <w:rsid w:val="00E24438"/>
    <w:rsid w:val="00E24E11"/>
    <w:rsid w:val="00E24E66"/>
    <w:rsid w:val="00E24F56"/>
    <w:rsid w:val="00E26675"/>
    <w:rsid w:val="00E309F8"/>
    <w:rsid w:val="00E30F78"/>
    <w:rsid w:val="00E31352"/>
    <w:rsid w:val="00E37097"/>
    <w:rsid w:val="00E37A11"/>
    <w:rsid w:val="00E436B4"/>
    <w:rsid w:val="00E45350"/>
    <w:rsid w:val="00E54315"/>
    <w:rsid w:val="00E54864"/>
    <w:rsid w:val="00E54EE7"/>
    <w:rsid w:val="00E56B1B"/>
    <w:rsid w:val="00E608DA"/>
    <w:rsid w:val="00E60D20"/>
    <w:rsid w:val="00E6423A"/>
    <w:rsid w:val="00E6559E"/>
    <w:rsid w:val="00E742F1"/>
    <w:rsid w:val="00E83B20"/>
    <w:rsid w:val="00E83DC2"/>
    <w:rsid w:val="00E92ED0"/>
    <w:rsid w:val="00E97BFE"/>
    <w:rsid w:val="00EA2BE0"/>
    <w:rsid w:val="00EA3173"/>
    <w:rsid w:val="00EA5813"/>
    <w:rsid w:val="00EB0E35"/>
    <w:rsid w:val="00EB5675"/>
    <w:rsid w:val="00EC030F"/>
    <w:rsid w:val="00EC5435"/>
    <w:rsid w:val="00EC5941"/>
    <w:rsid w:val="00ED7EBA"/>
    <w:rsid w:val="00EE0053"/>
    <w:rsid w:val="00EE4D34"/>
    <w:rsid w:val="00EE5268"/>
    <w:rsid w:val="00EE5724"/>
    <w:rsid w:val="00EE6667"/>
    <w:rsid w:val="00EE766E"/>
    <w:rsid w:val="00EE7838"/>
    <w:rsid w:val="00F01395"/>
    <w:rsid w:val="00F01931"/>
    <w:rsid w:val="00F0255C"/>
    <w:rsid w:val="00F20623"/>
    <w:rsid w:val="00F26A4C"/>
    <w:rsid w:val="00F327B8"/>
    <w:rsid w:val="00F3700E"/>
    <w:rsid w:val="00F4307F"/>
    <w:rsid w:val="00F44FB5"/>
    <w:rsid w:val="00F531DA"/>
    <w:rsid w:val="00F55882"/>
    <w:rsid w:val="00F57EAC"/>
    <w:rsid w:val="00F57F2C"/>
    <w:rsid w:val="00F60E58"/>
    <w:rsid w:val="00F61BB3"/>
    <w:rsid w:val="00F64075"/>
    <w:rsid w:val="00F644F3"/>
    <w:rsid w:val="00F675EB"/>
    <w:rsid w:val="00F71762"/>
    <w:rsid w:val="00F83514"/>
    <w:rsid w:val="00F83B7F"/>
    <w:rsid w:val="00F846E5"/>
    <w:rsid w:val="00F92534"/>
    <w:rsid w:val="00F97787"/>
    <w:rsid w:val="00FB05D3"/>
    <w:rsid w:val="00FB3D2E"/>
    <w:rsid w:val="00FB499C"/>
    <w:rsid w:val="00FB6D41"/>
    <w:rsid w:val="00FC6150"/>
    <w:rsid w:val="00FD3C81"/>
    <w:rsid w:val="00FD3D79"/>
    <w:rsid w:val="00FD3F82"/>
    <w:rsid w:val="00FD51C6"/>
    <w:rsid w:val="00FD7171"/>
    <w:rsid w:val="00FE0820"/>
    <w:rsid w:val="00FE0EAF"/>
    <w:rsid w:val="00FE4942"/>
    <w:rsid w:val="00FE719B"/>
    <w:rsid w:val="00FF17B4"/>
    <w:rsid w:val="00FF4B3B"/>
    <w:rsid w:val="00FF58F5"/>
    <w:rsid w:val="00FF6745"/>
    <w:rsid w:val="00FF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08B86"/>
  <w15:docId w15:val="{C9C4BF21-B16D-4DBA-9F39-339440B8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75C8"/>
    <w:pPr>
      <w:jc w:val="both"/>
    </w:pPr>
    <w:rPr>
      <w:rFonts w:ascii="Calibri" w:hAnsi="Calibri"/>
      <w:sz w:val="24"/>
      <w:lang w:val="en-US" w:eastAsia="en-US"/>
    </w:rPr>
  </w:style>
  <w:style w:type="paragraph" w:styleId="Nadpis1">
    <w:name w:val="heading 1"/>
    <w:basedOn w:val="Normln"/>
    <w:next w:val="Nadpis2"/>
    <w:link w:val="Nadpis1Char"/>
    <w:qFormat/>
    <w:rsid w:val="002E70E9"/>
    <w:pPr>
      <w:numPr>
        <w:numId w:val="3"/>
      </w:numPr>
      <w:jc w:val="left"/>
      <w:outlineLvl w:val="0"/>
    </w:pPr>
    <w:rPr>
      <w:b/>
      <w:caps/>
      <w:snapToGrid w:val="0"/>
      <w:kern w:val="32"/>
    </w:rPr>
  </w:style>
  <w:style w:type="paragraph" w:styleId="Nadpis2">
    <w:name w:val="heading 2"/>
    <w:basedOn w:val="Normln"/>
    <w:next w:val="Normln"/>
    <w:link w:val="Nadpis2Char"/>
    <w:qFormat/>
    <w:rsid w:val="002E70E9"/>
    <w:pPr>
      <w:widowControl w:val="0"/>
      <w:numPr>
        <w:ilvl w:val="1"/>
        <w:numId w:val="3"/>
      </w:numPr>
      <w:outlineLvl w:val="1"/>
    </w:pPr>
    <w:rPr>
      <w:snapToGrid w:val="0"/>
    </w:rPr>
  </w:style>
  <w:style w:type="paragraph" w:styleId="Nadpis3">
    <w:name w:val="heading 3"/>
    <w:basedOn w:val="Normln"/>
    <w:next w:val="Normln"/>
    <w:qFormat/>
    <w:rsid w:val="002E70E9"/>
    <w:pPr>
      <w:numPr>
        <w:ilvl w:val="2"/>
        <w:numId w:val="3"/>
      </w:numPr>
      <w:outlineLvl w:val="2"/>
    </w:pPr>
    <w:rPr>
      <w:snapToGrid w:val="0"/>
    </w:rPr>
  </w:style>
  <w:style w:type="paragraph" w:styleId="Nadpis4">
    <w:name w:val="heading 4"/>
    <w:basedOn w:val="Normln"/>
    <w:next w:val="Normln"/>
    <w:link w:val="Nadpis4Char"/>
    <w:qFormat/>
    <w:rsid w:val="002E70E9"/>
    <w:pPr>
      <w:widowControl w:val="0"/>
      <w:numPr>
        <w:ilvl w:val="3"/>
        <w:numId w:val="3"/>
      </w:numPr>
      <w:outlineLvl w:val="3"/>
    </w:pPr>
    <w:rPr>
      <w:snapToGrid w:val="0"/>
    </w:rPr>
  </w:style>
  <w:style w:type="paragraph" w:styleId="Nadpis5">
    <w:name w:val="heading 5"/>
    <w:basedOn w:val="Normln"/>
    <w:next w:val="Normln"/>
    <w:qFormat/>
    <w:rsid w:val="002E70E9"/>
    <w:pPr>
      <w:widowControl w:val="0"/>
      <w:numPr>
        <w:ilvl w:val="4"/>
        <w:numId w:val="3"/>
      </w:numPr>
      <w:spacing w:after="240"/>
      <w:outlineLvl w:val="4"/>
    </w:pPr>
    <w:rPr>
      <w:snapToGrid w:val="0"/>
    </w:rPr>
  </w:style>
  <w:style w:type="paragraph" w:styleId="Nadpis6">
    <w:name w:val="heading 6"/>
    <w:basedOn w:val="Normln"/>
    <w:next w:val="Normln"/>
    <w:qFormat/>
    <w:rsid w:val="002E70E9"/>
    <w:pPr>
      <w:numPr>
        <w:ilvl w:val="5"/>
        <w:numId w:val="3"/>
      </w:numPr>
      <w:overflowPunct w:val="0"/>
      <w:autoSpaceDE w:val="0"/>
      <w:autoSpaceDN w:val="0"/>
      <w:adjustRightInd w:val="0"/>
      <w:spacing w:after="240"/>
      <w:jc w:val="center"/>
      <w:textAlignment w:val="baseline"/>
      <w:outlineLvl w:val="5"/>
    </w:pPr>
    <w:rPr>
      <w:b/>
      <w:caps/>
      <w:szCs w:val="24"/>
    </w:rPr>
  </w:style>
  <w:style w:type="paragraph" w:styleId="Nadpis7">
    <w:name w:val="heading 7"/>
    <w:basedOn w:val="Normln"/>
    <w:next w:val="Normln"/>
    <w:qFormat/>
    <w:rsid w:val="002E70E9"/>
    <w:pPr>
      <w:keepNext/>
      <w:numPr>
        <w:ilvl w:val="6"/>
        <w:numId w:val="3"/>
      </w:numPr>
      <w:tabs>
        <w:tab w:val="left" w:pos="1578"/>
        <w:tab w:val="left" w:pos="2232"/>
        <w:tab w:val="left" w:pos="2880"/>
        <w:tab w:val="left" w:pos="3600"/>
      </w:tabs>
      <w:overflowPunct w:val="0"/>
      <w:autoSpaceDE w:val="0"/>
      <w:autoSpaceDN w:val="0"/>
      <w:adjustRightInd w:val="0"/>
      <w:spacing w:line="243" w:lineRule="exact"/>
      <w:textAlignment w:val="baseline"/>
      <w:outlineLvl w:val="6"/>
    </w:pPr>
    <w:rPr>
      <w:b/>
      <w:spacing w:val="-5"/>
    </w:rPr>
  </w:style>
  <w:style w:type="paragraph" w:styleId="Nadpis8">
    <w:name w:val="heading 8"/>
    <w:basedOn w:val="Normln"/>
    <w:next w:val="Normln"/>
    <w:link w:val="Nadpis8Char"/>
    <w:qFormat/>
    <w:rsid w:val="002E70E9"/>
    <w:pPr>
      <w:numPr>
        <w:ilvl w:val="7"/>
        <w:numId w:val="3"/>
      </w:numPr>
      <w:overflowPunct w:val="0"/>
      <w:autoSpaceDE w:val="0"/>
      <w:autoSpaceDN w:val="0"/>
      <w:adjustRightInd w:val="0"/>
      <w:spacing w:before="240" w:after="60"/>
      <w:textAlignment w:val="baseline"/>
      <w:outlineLvl w:val="7"/>
    </w:pPr>
    <w:rPr>
      <w:i/>
      <w:iCs/>
      <w:szCs w:val="24"/>
    </w:rPr>
  </w:style>
  <w:style w:type="paragraph" w:styleId="Nadpis9">
    <w:name w:val="heading 9"/>
    <w:basedOn w:val="Normln"/>
    <w:next w:val="Normln"/>
    <w:qFormat/>
    <w:rsid w:val="002E70E9"/>
    <w:pPr>
      <w:numPr>
        <w:ilvl w:val="8"/>
        <w:numId w:val="3"/>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azenNadpis2">
    <w:name w:val="Normální odsazený Nadpis 2"/>
    <w:basedOn w:val="Normln"/>
    <w:rsid w:val="00A31E8B"/>
    <w:pPr>
      <w:ind w:left="425"/>
    </w:pPr>
  </w:style>
  <w:style w:type="paragraph" w:customStyle="1" w:styleId="NormlnodsazenNadpis3">
    <w:name w:val="Normální odsazený Nadpis 3"/>
    <w:basedOn w:val="Normln"/>
    <w:rsid w:val="000E53E0"/>
    <w:pPr>
      <w:ind w:left="1418"/>
    </w:pPr>
  </w:style>
  <w:style w:type="character" w:customStyle="1" w:styleId="Nadpis2Char">
    <w:name w:val="Nadpis 2 Char"/>
    <w:basedOn w:val="Standardnpsmoodstavce"/>
    <w:link w:val="Nadpis2"/>
    <w:rsid w:val="000E53E0"/>
    <w:rPr>
      <w:rFonts w:ascii="Calibri" w:hAnsi="Calibri"/>
      <w:snapToGrid w:val="0"/>
      <w:sz w:val="24"/>
      <w:lang w:val="en-US" w:eastAsia="en-US"/>
    </w:rPr>
  </w:style>
  <w:style w:type="paragraph" w:customStyle="1" w:styleId="Parties">
    <w:name w:val="Parties"/>
    <w:basedOn w:val="Normln"/>
    <w:rsid w:val="006439B3"/>
    <w:pPr>
      <w:numPr>
        <w:numId w:val="1"/>
      </w:numPr>
      <w:tabs>
        <w:tab w:val="left" w:pos="3024"/>
      </w:tabs>
    </w:pPr>
    <w:rPr>
      <w:noProof/>
      <w:color w:val="000000"/>
      <w:szCs w:val="24"/>
    </w:rPr>
  </w:style>
  <w:style w:type="paragraph" w:customStyle="1" w:styleId="Recitals">
    <w:name w:val="Recitals"/>
    <w:basedOn w:val="Normln"/>
    <w:rsid w:val="006439B3"/>
    <w:pPr>
      <w:numPr>
        <w:numId w:val="2"/>
      </w:numPr>
      <w:tabs>
        <w:tab w:val="left" w:pos="3024"/>
      </w:tabs>
    </w:pPr>
    <w:rPr>
      <w:color w:val="000000"/>
      <w:spacing w:val="-2"/>
    </w:rPr>
  </w:style>
  <w:style w:type="character" w:customStyle="1" w:styleId="Nadpis4Char">
    <w:name w:val="Nadpis 4 Char"/>
    <w:basedOn w:val="Standardnpsmoodstavce"/>
    <w:link w:val="Nadpis4"/>
    <w:rsid w:val="009D7D6E"/>
    <w:rPr>
      <w:rFonts w:ascii="Calibri" w:hAnsi="Calibri"/>
      <w:snapToGrid w:val="0"/>
      <w:sz w:val="24"/>
      <w:lang w:val="en-US" w:eastAsia="en-US"/>
    </w:rPr>
  </w:style>
  <w:style w:type="paragraph" w:customStyle="1" w:styleId="Level1">
    <w:name w:val="Level 1"/>
    <w:basedOn w:val="Normln"/>
    <w:next w:val="Normln"/>
    <w:rsid w:val="002E70E9"/>
    <w:pPr>
      <w:keepNext/>
      <w:numPr>
        <w:numId w:val="4"/>
      </w:numPr>
      <w:jc w:val="left"/>
      <w:outlineLvl w:val="0"/>
    </w:pPr>
    <w:rPr>
      <w:rFonts w:cs="Arial"/>
      <w:b/>
      <w:caps/>
      <w:kern w:val="20"/>
      <w:lang w:val="en-GB"/>
    </w:rPr>
  </w:style>
  <w:style w:type="paragraph" w:customStyle="1" w:styleId="Level2">
    <w:name w:val="Level 2"/>
    <w:basedOn w:val="Normln"/>
    <w:rsid w:val="002E70E9"/>
    <w:pPr>
      <w:numPr>
        <w:ilvl w:val="1"/>
        <w:numId w:val="4"/>
      </w:numPr>
      <w:outlineLvl w:val="1"/>
    </w:pPr>
    <w:rPr>
      <w:rFonts w:cs="Arial"/>
      <w:kern w:val="20"/>
      <w:lang w:val="en-GB"/>
    </w:rPr>
  </w:style>
  <w:style w:type="paragraph" w:customStyle="1" w:styleId="Level3">
    <w:name w:val="Level 3"/>
    <w:basedOn w:val="Normln"/>
    <w:rsid w:val="002E70E9"/>
    <w:pPr>
      <w:numPr>
        <w:ilvl w:val="2"/>
        <w:numId w:val="4"/>
      </w:numPr>
      <w:outlineLvl w:val="2"/>
    </w:pPr>
    <w:rPr>
      <w:rFonts w:cs="Arial"/>
      <w:kern w:val="20"/>
      <w:lang w:val="en-GB"/>
    </w:rPr>
  </w:style>
  <w:style w:type="paragraph" w:customStyle="1" w:styleId="Level4">
    <w:name w:val="Level 4"/>
    <w:basedOn w:val="Normln"/>
    <w:rsid w:val="002E70E9"/>
    <w:pPr>
      <w:numPr>
        <w:ilvl w:val="3"/>
        <w:numId w:val="4"/>
      </w:numPr>
      <w:outlineLvl w:val="3"/>
    </w:pPr>
    <w:rPr>
      <w:rFonts w:cs="Arial"/>
      <w:kern w:val="20"/>
      <w:lang w:val="en-GB"/>
    </w:rPr>
  </w:style>
  <w:style w:type="table" w:styleId="Mkatabulky">
    <w:name w:val="Table Grid"/>
    <w:basedOn w:val="Normlntabulka"/>
    <w:rsid w:val="00A31E8B"/>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6B1D07"/>
    <w:rPr>
      <w:rFonts w:ascii="Calibri" w:hAnsi="Calibri"/>
      <w:sz w:val="16"/>
    </w:rPr>
  </w:style>
  <w:style w:type="paragraph" w:styleId="Zhlav">
    <w:name w:val="header"/>
    <w:basedOn w:val="Normln"/>
    <w:link w:val="ZhlavChar"/>
    <w:rsid w:val="009309DE"/>
    <w:pPr>
      <w:tabs>
        <w:tab w:val="center" w:pos="4536"/>
        <w:tab w:val="right" w:pos="9072"/>
      </w:tabs>
    </w:pPr>
  </w:style>
  <w:style w:type="paragraph" w:styleId="Zpat">
    <w:name w:val="footer"/>
    <w:basedOn w:val="Normln"/>
    <w:rsid w:val="009309DE"/>
    <w:pPr>
      <w:tabs>
        <w:tab w:val="center" w:pos="4536"/>
        <w:tab w:val="right" w:pos="9072"/>
      </w:tabs>
    </w:pPr>
  </w:style>
  <w:style w:type="character" w:customStyle="1" w:styleId="ZhlavChar">
    <w:name w:val="Záhlaví Char"/>
    <w:basedOn w:val="Standardnpsmoodstavce"/>
    <w:link w:val="Zhlav"/>
    <w:locked/>
    <w:rsid w:val="0079516A"/>
    <w:rPr>
      <w:rFonts w:ascii="Calibri" w:hAnsi="Calibri"/>
      <w:sz w:val="24"/>
      <w:lang w:val="en-US" w:eastAsia="en-US"/>
    </w:rPr>
  </w:style>
  <w:style w:type="paragraph" w:customStyle="1" w:styleId="Normlntunsted">
    <w:name w:val="Normální tučný střed"/>
    <w:basedOn w:val="Normln"/>
    <w:rsid w:val="00685A1A"/>
    <w:pPr>
      <w:jc w:val="center"/>
    </w:pPr>
    <w:rPr>
      <w:b/>
      <w:bCs/>
    </w:rPr>
  </w:style>
  <w:style w:type="paragraph" w:customStyle="1" w:styleId="Normlnsted">
    <w:name w:val="Normální střed"/>
    <w:basedOn w:val="Normln"/>
    <w:rsid w:val="00EA3173"/>
    <w:pPr>
      <w:jc w:val="center"/>
    </w:pPr>
  </w:style>
  <w:style w:type="paragraph" w:customStyle="1" w:styleId="Strany">
    <w:name w:val="Strany"/>
    <w:basedOn w:val="Normln"/>
    <w:rsid w:val="00D30CAE"/>
    <w:pPr>
      <w:numPr>
        <w:numId w:val="5"/>
      </w:numPr>
      <w:tabs>
        <w:tab w:val="left" w:pos="425"/>
      </w:tabs>
    </w:pPr>
    <w:rPr>
      <w:bCs/>
    </w:rPr>
  </w:style>
  <w:style w:type="paragraph" w:customStyle="1" w:styleId="vodnustanoven">
    <w:name w:val="Úvodní ustanovení"/>
    <w:basedOn w:val="Normln"/>
    <w:rsid w:val="007A59EA"/>
    <w:pPr>
      <w:numPr>
        <w:numId w:val="6"/>
      </w:numPr>
    </w:pPr>
    <w:rPr>
      <w:bCs/>
    </w:rPr>
  </w:style>
  <w:style w:type="character" w:styleId="Siln">
    <w:name w:val="Strong"/>
    <w:basedOn w:val="Standardnpsmoodstavce"/>
    <w:uiPriority w:val="22"/>
    <w:qFormat/>
    <w:rsid w:val="00560125"/>
    <w:rPr>
      <w:b/>
      <w:bCs/>
    </w:rPr>
  </w:style>
  <w:style w:type="paragraph" w:styleId="Textpoznpodarou">
    <w:name w:val="footnote text"/>
    <w:basedOn w:val="Normln"/>
    <w:link w:val="TextpoznpodarouChar"/>
    <w:rsid w:val="00502090"/>
    <w:pPr>
      <w:jc w:val="left"/>
    </w:pPr>
    <w:rPr>
      <w:rFonts w:ascii="Times New Roman" w:hAnsi="Times New Roman"/>
      <w:sz w:val="20"/>
      <w:lang w:val="cs-CZ"/>
    </w:rPr>
  </w:style>
  <w:style w:type="character" w:customStyle="1" w:styleId="TextpoznpodarouChar">
    <w:name w:val="Text pozn. pod čarou Char"/>
    <w:basedOn w:val="Standardnpsmoodstavce"/>
    <w:link w:val="Textpoznpodarou"/>
    <w:rsid w:val="00502090"/>
    <w:rPr>
      <w:lang w:eastAsia="en-US"/>
    </w:rPr>
  </w:style>
  <w:style w:type="character" w:styleId="Znakapoznpodarou">
    <w:name w:val="footnote reference"/>
    <w:basedOn w:val="Standardnpsmoodstavce"/>
    <w:rsid w:val="00502090"/>
    <w:rPr>
      <w:vertAlign w:val="superscript"/>
    </w:rPr>
  </w:style>
  <w:style w:type="paragraph" w:customStyle="1" w:styleId="Nadpissted">
    <w:name w:val="Nadpis střed"/>
    <w:basedOn w:val="Normln"/>
    <w:rsid w:val="00F61BB3"/>
    <w:pPr>
      <w:spacing w:before="60" w:after="60"/>
      <w:jc w:val="center"/>
    </w:pPr>
    <w:rPr>
      <w:b/>
      <w:bCs/>
    </w:rPr>
  </w:style>
  <w:style w:type="character" w:customStyle="1" w:styleId="Nadpis1Char">
    <w:name w:val="Nadpis 1 Char"/>
    <w:basedOn w:val="Standardnpsmoodstavce"/>
    <w:link w:val="Nadpis1"/>
    <w:rsid w:val="00F61BB3"/>
    <w:rPr>
      <w:rFonts w:ascii="Calibri" w:hAnsi="Calibri"/>
      <w:b/>
      <w:caps/>
      <w:snapToGrid w:val="0"/>
      <w:kern w:val="32"/>
      <w:sz w:val="24"/>
      <w:lang w:val="en-US" w:eastAsia="en-US"/>
    </w:rPr>
  </w:style>
  <w:style w:type="paragraph" w:styleId="Odstavecseseznamem">
    <w:name w:val="List Paragraph"/>
    <w:basedOn w:val="Normln"/>
    <w:uiPriority w:val="34"/>
    <w:qFormat/>
    <w:rsid w:val="00283F67"/>
    <w:pPr>
      <w:ind w:left="720"/>
      <w:contextualSpacing/>
    </w:pPr>
  </w:style>
  <w:style w:type="character" w:customStyle="1" w:styleId="Nadpis8Char">
    <w:name w:val="Nadpis 8 Char"/>
    <w:basedOn w:val="Standardnpsmoodstavce"/>
    <w:link w:val="Nadpis8"/>
    <w:rsid w:val="000B39A7"/>
    <w:rPr>
      <w:rFonts w:ascii="Calibri" w:hAnsi="Calibri"/>
      <w:i/>
      <w:iCs/>
      <w:sz w:val="24"/>
      <w:szCs w:val="24"/>
      <w:lang w:val="en-US" w:eastAsia="en-US"/>
    </w:rPr>
  </w:style>
  <w:style w:type="character" w:styleId="Odkaznakoment">
    <w:name w:val="annotation reference"/>
    <w:basedOn w:val="Standardnpsmoodstavce"/>
    <w:rsid w:val="00A06922"/>
    <w:rPr>
      <w:sz w:val="16"/>
      <w:szCs w:val="16"/>
    </w:rPr>
  </w:style>
  <w:style w:type="paragraph" w:styleId="Textkomente">
    <w:name w:val="annotation text"/>
    <w:basedOn w:val="Normln"/>
    <w:link w:val="TextkomenteChar"/>
    <w:rsid w:val="00A06922"/>
    <w:rPr>
      <w:sz w:val="20"/>
    </w:rPr>
  </w:style>
  <w:style w:type="character" w:customStyle="1" w:styleId="TextkomenteChar">
    <w:name w:val="Text komentáře Char"/>
    <w:basedOn w:val="Standardnpsmoodstavce"/>
    <w:link w:val="Textkomente"/>
    <w:rsid w:val="00A06922"/>
    <w:rPr>
      <w:rFonts w:ascii="Calibri" w:hAnsi="Calibri"/>
      <w:lang w:val="en-US" w:eastAsia="en-US"/>
    </w:rPr>
  </w:style>
  <w:style w:type="paragraph" w:styleId="Pedmtkomente">
    <w:name w:val="annotation subject"/>
    <w:basedOn w:val="Textkomente"/>
    <w:next w:val="Textkomente"/>
    <w:link w:val="PedmtkomenteChar"/>
    <w:rsid w:val="00A06922"/>
    <w:rPr>
      <w:b/>
      <w:bCs/>
    </w:rPr>
  </w:style>
  <w:style w:type="character" w:customStyle="1" w:styleId="PedmtkomenteChar">
    <w:name w:val="Předmět komentáře Char"/>
    <w:basedOn w:val="TextkomenteChar"/>
    <w:link w:val="Pedmtkomente"/>
    <w:rsid w:val="00A06922"/>
    <w:rPr>
      <w:rFonts w:ascii="Calibri" w:hAnsi="Calibri"/>
      <w:b/>
      <w:bCs/>
      <w:lang w:val="en-US" w:eastAsia="en-US"/>
    </w:rPr>
  </w:style>
  <w:style w:type="paragraph" w:styleId="Textbubliny">
    <w:name w:val="Balloon Text"/>
    <w:basedOn w:val="Normln"/>
    <w:link w:val="TextbublinyChar"/>
    <w:rsid w:val="00A06922"/>
    <w:rPr>
      <w:rFonts w:ascii="Tahoma" w:hAnsi="Tahoma" w:cs="Tahoma"/>
      <w:sz w:val="16"/>
      <w:szCs w:val="16"/>
    </w:rPr>
  </w:style>
  <w:style w:type="character" w:customStyle="1" w:styleId="TextbublinyChar">
    <w:name w:val="Text bubliny Char"/>
    <w:basedOn w:val="Standardnpsmoodstavce"/>
    <w:link w:val="Textbubliny"/>
    <w:rsid w:val="00A06922"/>
    <w:rPr>
      <w:rFonts w:ascii="Tahoma" w:hAnsi="Tahoma" w:cs="Tahoma"/>
      <w:sz w:val="16"/>
      <w:szCs w:val="16"/>
      <w:lang w:val="en-US" w:eastAsia="en-US"/>
    </w:rPr>
  </w:style>
  <w:style w:type="character" w:customStyle="1" w:styleId="preformatted">
    <w:name w:val="preformatted"/>
    <w:basedOn w:val="Standardnpsmoodstavce"/>
    <w:rsid w:val="00224BB1"/>
  </w:style>
  <w:style w:type="character" w:customStyle="1" w:styleId="nowrap">
    <w:name w:val="nowrap"/>
    <w:basedOn w:val="Standardnpsmoodstavce"/>
    <w:rsid w:val="00224BB1"/>
  </w:style>
  <w:style w:type="character" w:customStyle="1" w:styleId="Normlntun">
    <w:name w:val="Normální tučné"/>
    <w:rsid w:val="00396EDC"/>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751">
      <w:bodyDiv w:val="1"/>
      <w:marLeft w:val="0"/>
      <w:marRight w:val="0"/>
      <w:marTop w:val="0"/>
      <w:marBottom w:val="0"/>
      <w:divBdr>
        <w:top w:val="none" w:sz="0" w:space="0" w:color="auto"/>
        <w:left w:val="none" w:sz="0" w:space="0" w:color="auto"/>
        <w:bottom w:val="none" w:sz="0" w:space="0" w:color="auto"/>
        <w:right w:val="none" w:sz="0" w:space="0" w:color="auto"/>
      </w:divBdr>
    </w:div>
    <w:div w:id="701633904">
      <w:bodyDiv w:val="1"/>
      <w:marLeft w:val="0"/>
      <w:marRight w:val="0"/>
      <w:marTop w:val="0"/>
      <w:marBottom w:val="0"/>
      <w:divBdr>
        <w:top w:val="none" w:sz="0" w:space="0" w:color="auto"/>
        <w:left w:val="none" w:sz="0" w:space="0" w:color="auto"/>
        <w:bottom w:val="none" w:sz="0" w:space="0" w:color="auto"/>
        <w:right w:val="none" w:sz="0" w:space="0" w:color="auto"/>
      </w:divBdr>
    </w:div>
    <w:div w:id="1101293634">
      <w:bodyDiv w:val="1"/>
      <w:marLeft w:val="0"/>
      <w:marRight w:val="0"/>
      <w:marTop w:val="0"/>
      <w:marBottom w:val="0"/>
      <w:divBdr>
        <w:top w:val="none" w:sz="0" w:space="0" w:color="auto"/>
        <w:left w:val="none" w:sz="0" w:space="0" w:color="auto"/>
        <w:bottom w:val="none" w:sz="0" w:space="0" w:color="auto"/>
        <w:right w:val="none" w:sz="0" w:space="0" w:color="auto"/>
      </w:divBdr>
    </w:div>
    <w:div w:id="1291208474">
      <w:bodyDiv w:val="1"/>
      <w:marLeft w:val="0"/>
      <w:marRight w:val="0"/>
      <w:marTop w:val="0"/>
      <w:marBottom w:val="0"/>
      <w:divBdr>
        <w:top w:val="none" w:sz="0" w:space="0" w:color="auto"/>
        <w:left w:val="none" w:sz="0" w:space="0" w:color="auto"/>
        <w:bottom w:val="none" w:sz="0" w:space="0" w:color="auto"/>
        <w:right w:val="none" w:sz="0" w:space="0" w:color="auto"/>
      </w:divBdr>
      <w:divsChild>
        <w:div w:id="2023127014">
          <w:marLeft w:val="0"/>
          <w:marRight w:val="0"/>
          <w:marTop w:val="0"/>
          <w:marBottom w:val="0"/>
          <w:divBdr>
            <w:top w:val="none" w:sz="0" w:space="0" w:color="auto"/>
            <w:left w:val="none" w:sz="0" w:space="0" w:color="auto"/>
            <w:bottom w:val="none" w:sz="0" w:space="0" w:color="auto"/>
            <w:right w:val="none" w:sz="0" w:space="0" w:color="auto"/>
          </w:divBdr>
          <w:divsChild>
            <w:div w:id="1875997283">
              <w:marLeft w:val="0"/>
              <w:marRight w:val="0"/>
              <w:marTop w:val="0"/>
              <w:marBottom w:val="0"/>
              <w:divBdr>
                <w:top w:val="none" w:sz="0" w:space="0" w:color="auto"/>
                <w:left w:val="none" w:sz="0" w:space="0" w:color="auto"/>
                <w:bottom w:val="none" w:sz="0" w:space="0" w:color="auto"/>
                <w:right w:val="none" w:sz="0" w:space="0" w:color="auto"/>
              </w:divBdr>
              <w:divsChild>
                <w:div w:id="1129589546">
                  <w:marLeft w:val="0"/>
                  <w:marRight w:val="0"/>
                  <w:marTop w:val="0"/>
                  <w:marBottom w:val="0"/>
                  <w:divBdr>
                    <w:top w:val="none" w:sz="0" w:space="0" w:color="auto"/>
                    <w:left w:val="none" w:sz="0" w:space="0" w:color="auto"/>
                    <w:bottom w:val="none" w:sz="0" w:space="0" w:color="auto"/>
                    <w:right w:val="none" w:sz="0" w:space="0" w:color="auto"/>
                  </w:divBdr>
                  <w:divsChild>
                    <w:div w:id="1341927759">
                      <w:marLeft w:val="0"/>
                      <w:marRight w:val="0"/>
                      <w:marTop w:val="0"/>
                      <w:marBottom w:val="0"/>
                      <w:divBdr>
                        <w:top w:val="none" w:sz="0" w:space="0" w:color="auto"/>
                        <w:left w:val="none" w:sz="0" w:space="0" w:color="auto"/>
                        <w:bottom w:val="none" w:sz="0" w:space="0" w:color="auto"/>
                        <w:right w:val="none" w:sz="0" w:space="0" w:color="auto"/>
                      </w:divBdr>
                      <w:divsChild>
                        <w:div w:id="2002855120">
                          <w:marLeft w:val="0"/>
                          <w:marRight w:val="0"/>
                          <w:marTop w:val="0"/>
                          <w:marBottom w:val="0"/>
                          <w:divBdr>
                            <w:top w:val="none" w:sz="0" w:space="0" w:color="auto"/>
                            <w:left w:val="none" w:sz="0" w:space="0" w:color="auto"/>
                            <w:bottom w:val="none" w:sz="0" w:space="0" w:color="auto"/>
                            <w:right w:val="none" w:sz="0" w:space="0" w:color="auto"/>
                          </w:divBdr>
                          <w:divsChild>
                            <w:div w:id="1091966904">
                              <w:marLeft w:val="0"/>
                              <w:marRight w:val="0"/>
                              <w:marTop w:val="0"/>
                              <w:marBottom w:val="0"/>
                              <w:divBdr>
                                <w:top w:val="none" w:sz="0" w:space="0" w:color="auto"/>
                                <w:left w:val="none" w:sz="0" w:space="0" w:color="auto"/>
                                <w:bottom w:val="none" w:sz="0" w:space="0" w:color="auto"/>
                                <w:right w:val="none" w:sz="0" w:space="0" w:color="auto"/>
                              </w:divBdr>
                              <w:divsChild>
                                <w:div w:id="340082687">
                                  <w:marLeft w:val="0"/>
                                  <w:marRight w:val="0"/>
                                  <w:marTop w:val="0"/>
                                  <w:marBottom w:val="0"/>
                                  <w:divBdr>
                                    <w:top w:val="none" w:sz="0" w:space="0" w:color="auto"/>
                                    <w:left w:val="none" w:sz="0" w:space="0" w:color="auto"/>
                                    <w:bottom w:val="none" w:sz="0" w:space="0" w:color="auto"/>
                                    <w:right w:val="none" w:sz="0" w:space="0" w:color="auto"/>
                                  </w:divBdr>
                                  <w:divsChild>
                                    <w:div w:id="653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0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r.%20Mojmir%20Jezek\Documents\RJ%20Templates\Normal\rj%20normal%20cz%20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blast xmlns="3385085B-E650-45C5-A9C8-1B04D85DC50C">COMMERCIAL</Oblast>
    <Client xmlns="3385085B-E650-45C5-A9C8-1B04D85DC50C" xsi:nil="true"/>
    <Language xmlns="3385085B-E650-45C5-A9C8-1B04D85DC50C">CZ</Language>
    <DocumentNumber xmlns="3385085B-E650-45C5-A9C8-1B04D85DC50C">028004</DocumentNumber>
    <Project xmlns="3385085B-E650-45C5-A9C8-1B04D85DC50C">57 - rj - administration</Project>
    <DocumentType xmlns="3385085B-E650-45C5-A9C8-1B04D85DC50C">Agreement</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rj normal" ma:contentTypeID="0x0101002FC237CD0148944D97AEB0920422539300BE9A1C5B5A53924DA3F503F917A49E89" ma:contentTypeVersion="6" ma:contentTypeDescription="" ma:contentTypeScope="" ma:versionID="5931ff517326485e6ba1273d46e2177a">
  <xsd:schema xmlns:xsd="http://www.w3.org/2001/XMLSchema" xmlns:p="http://schemas.microsoft.com/office/2006/metadata/properties" xmlns:ns2="3385085B-E650-45C5-A9C8-1B04D85DC50C" targetNamespace="http://schemas.microsoft.com/office/2006/metadata/properties" ma:root="true" ma:fieldsID="fd2fd43f15db6e4e8e98529cab727503" ns2:_="">
    <xsd:import namespace="3385085B-E650-45C5-A9C8-1B04D85DC50C"/>
    <xsd:element name="properties">
      <xsd:complexType>
        <xsd:sequence>
          <xsd:element name="documentManagement">
            <xsd:complexType>
              <xsd:all>
                <xsd:element ref="ns2:DocumentNumber" minOccurs="0"/>
                <xsd:element ref="ns2:Project" minOccurs="0"/>
                <xsd:element ref="ns2:DocumentType" minOccurs="0"/>
                <xsd:element ref="ns2:Oblast" minOccurs="0"/>
                <xsd:element ref="ns2:Language" minOccurs="0"/>
                <xsd:element ref="ns2:Client" minOccurs="0"/>
              </xsd:all>
            </xsd:complexType>
          </xsd:element>
        </xsd:sequence>
      </xsd:complexType>
    </xsd:element>
  </xsd:schema>
  <xsd:schema xmlns:xsd="http://www.w3.org/2001/XMLSchema" xmlns:dms="http://schemas.microsoft.com/office/2006/documentManagement/types" targetNamespace="3385085B-E650-45C5-A9C8-1B04D85DC50C" elementFormDefault="qualified">
    <xsd:import namespace="http://schemas.microsoft.com/office/2006/documentManagement/types"/>
    <xsd:element name="DocumentNumber" ma:index="8" nillable="true" ma:displayName="Číslo dokumentu" ma:hidden="true" ma:internalName="DocumentNumber" ma:readOnly="false">
      <xsd:simpleType>
        <xsd:restriction base="dms:Text"/>
      </xsd:simpleType>
    </xsd:element>
    <xsd:element name="Project" ma:index="9" nillable="true" ma:displayName="Projekt" ma:internalName="Project">
      <xsd:simpleType>
        <xsd:restriction base="dms:Choice">
          <xsd:enumeration value="101 - Museum Kampa"/>
          <xsd:enumeration value="102 - Tax - Mgr. Jiří Teichmann"/>
          <xsd:enumeration value="103 - Holzindustrie Schweighofer-SINGHA court proceeding"/>
          <xsd:enumeration value="104 - UBM general advice 2010"/>
          <xsd:enumeration value="105 - DMA general advice 2010"/>
          <xsd:enumeration value="106 - SIMMO general advice 2010"/>
          <xsd:enumeration value="107 - Rhenus Logistics Praha příplatek mimo ZK"/>
          <xsd:enumeration value="109 - rj spv"/>
          <xsd:enumeration value="110 - JTM.Miroslav Kolář - daňová restrukturalizace skupiny"/>
          <xsd:enumeration value="111 - Poskytování služby Data Room"/>
          <xsd:enumeration value="113 - Administrativní služby rutland ježek, advokátní kancelář"/>
          <xsd:enumeration value="114 - Administrativní služby rutland ježek, advokátní kancelář"/>
          <xsd:enumeration value="115 - Úschova Plaza Opava"/>
          <xsd:enumeration value="117 - Konference Transfer Pricing and Law"/>
          <xsd:enumeration value="118 - Konference Transfer Pricing and Law"/>
          <xsd:enumeration value="119 - Czech Brewery Rakovník, a.s. - Due diligence"/>
          <xsd:enumeration value="121 - IP stav - žaloba Bednářovi"/>
          <xsd:enumeration value="122 - Due diligence Mydlovary"/>
          <xsd:enumeration value="123 - rozvod Koukal Jan"/>
          <xsd:enumeration value="124 - Daramis - SPA, JVA"/>
          <xsd:enumeration value="125 - JTM.DD Rakovnik"/>
          <xsd:enumeration value="126 - Litigation Platan"/>
          <xsd:enumeration value="127 - Horizon - Ďáblice"/>
          <xsd:enumeration value="128 - Funtasy Novodvorská dispute"/>
          <xsd:enumeration value="130 - Lomi Terkel"/>
          <xsd:enumeration value="131 - JTM-miscel work for AK RJ 2010"/>
          <xsd:enumeration value="132 - JTM-admin, marketing"/>
          <xsd:enumeration value="133 - Koncar"/>
          <xsd:enumeration value="134 - Reethi general advice 2010"/>
          <xsd:enumeration value="135 - Romariz general advice 2010"/>
          <xsd:enumeration value="136 - Reethi 2010"/>
          <xsd:enumeration value="137 - Romariz 2010"/>
          <xsd:enumeration value="138 - Pracovní smlouva J. Plaček"/>
          <xsd:enumeration value="140 - Rina Europe s.r.o."/>
          <xsd:enumeration value="141 - Title insurance Rakovník"/>
          <xsd:enumeration value="142 - Czech Brewery Rakovník, a.s. - general advice 2010"/>
          <xsd:enumeration value="143 - Smurfit Kappa Czech s.r.o. general advice"/>
          <xsd:enumeration value="144 - Milica Visas"/>
          <xsd:enumeration value="145 - OBI Teplice"/>
          <xsd:enumeration value="146 - ANDREANE - založení sro"/>
          <xsd:enumeration value="147 - VRV odštěpení"/>
          <xsd:enumeration value="148 - CBR General advice 2010"/>
          <xsd:enumeration value="149 - Beorn Whetstone_Divorce"/>
          <xsd:enumeration value="150 - Bonheaur - Stephen Gizicki Imigration"/>
          <xsd:enumeration value="152 - Langová pracovní poměr"/>
          <xsd:enumeration value="153 - Petra Nováková - koupě bytu"/>
          <xsd:enumeration value="154 - Cliff C. Chroust - předmanželská smlouva"/>
          <xsd:enumeration value="155 - Philip Harrison - General advice"/>
          <xsd:enumeration value="156 - Lachlan McKelvie - general advice"/>
          <xsd:enumeration value="157 - Shopsmart TV - Licence Agreement"/>
          <xsd:enumeration value="158 - OBI general advice"/>
          <xsd:enumeration value="159 - Lužiny acquisition"/>
          <xsd:enumeration value="160 - Vacco Invest s.r.o. - Tytry"/>
          <xsd:enumeration value="163 - Magnalink acquisition"/>
          <xsd:enumeration value="164 - David Kovatchev - rozvod"/>
          <xsd:enumeration value="165 - HANDHOLDERS INTERNATIONAL s.r.o.  - General advice"/>
          <xsd:enumeration value="166 - Robert Roemer - koupě bytu"/>
          <xsd:enumeration value="167 - OBI re Global Stores"/>
          <xsd:enumeration value="170 - DARAMIS MANAGEMENT s.r.o. - Escrow services"/>
          <xsd:enumeration value="171 - Quatro D Čelákovice - Akvizice"/>
          <xsd:enumeration value="172 - Unibail - Not Billed"/>
          <xsd:enumeration value="175 - Gisellel Schroederova - divorce"/>
          <xsd:enumeration value="176 - Edmond de Rothschild - Construction Agreement"/>
          <xsd:enumeration value="177 - SVJ 151 neplatnost stavebního povolení"/>
          <xsd:enumeration value="178 - Rustler Property Services s.r.o. - General advice"/>
          <xsd:enumeration value="179 - Benešov Shopping Mall, a.s."/>
          <xsd:enumeration value="180 - Zdiby Logistic Centre, a.s."/>
          <xsd:enumeration value="181 - Horizon Čimice - Financování"/>
          <xsd:enumeration value="182 - Smurfit Kappa Recycling CE general advice"/>
          <xsd:enumeration value="183 - GERIMO general advice 2010"/>
          <xsd:enumeration value="184 - Vendisys Inc. - Erik Paulson"/>
          <xsd:enumeration value="185 - Holzindustrie Schweighofer general advice"/>
          <xsd:enumeration value="186 - Zdeněk Zelinka re GREM TRADE"/>
          <xsd:enumeration value="187 - Spoluvlastnictví domu Jasná II 20"/>
          <xsd:enumeration value="188 - České energetické Centrum general advice"/>
          <xsd:enumeration value="189 - OBI Jihlava"/>
          <xsd:enumeration value="190 - Pobřežní Realty as"/>
          <xsd:enumeration value="191 - Mr. Kýhos - executive agreement"/>
          <xsd:enumeration value="192 - Charles De Giraud D´Agay - Koupě kanceláří Janáčkovo náb."/>
          <xsd:enumeration value="193 - Raftcentrum - znalecký posudek"/>
          <xsd:enumeration value="194 - Sdružení pro plazmaferézu"/>
          <xsd:enumeration value="195 - Unibail - Corporate Pankrác"/>
          <xsd:enumeration value="198 - DentH general advice"/>
          <xsd:enumeration value="199 - Mohan Singh - Establishment of the Company"/>
          <xsd:enumeration value="200 - Andreane general advice"/>
          <xsd:enumeration value="201 - Horizon Holding - Čimice"/>
          <xsd:enumeration value="202 - Sumec - Verkauf Prag 6"/>
          <xsd:enumeration value="203 - Ing. Vladimír Stoy - MEDICEM"/>
          <xsd:enumeration value="204 - Králík general advice"/>
          <xsd:enumeration value="206 - Alexander Zisin - Establishment of the company"/>
          <xsd:enumeration value="208 - Quatro D Čelákovice - změny v OR "/>
          <xsd:enumeration value="209 - Společenství vlastníků Vojtěšská 6"/>
          <xsd:enumeration value="211 - Goegebeur house purchase"/>
          <xsd:enumeration value="212 - Source Prague - Jmenování jednatele Mr. Filipović"/>
          <xsd:enumeration value="213 - Ecovis jtm -  Ecovis Tax Jiří Teichmann"/>
          <xsd:enumeration value="214 - Lesy Alpha acquisition"/>
          <xsd:enumeration value="216 - Unibail - Litigation Chodov - S Bakare"/>
          <xsd:enumeration value="217 - Schengenský informační systém"/>
          <xsd:enumeration value="219 - MME - Copyright legislation review"/>
          <xsd:enumeration value="220 - Maysoun Rifai - Immigration "/>
          <xsd:enumeration value="222 - Primor Czech - převod akcií "/>
          <xsd:enumeration value="223 - Pobřežní realty 2"/>
          <xsd:enumeration value="224 - Discovery - DD Zlín"/>
          <xsd:enumeration value="227 - Labour agency OBI"/>
          <xsd:enumeration value="228 - Ablon - Spin off"/>
          <xsd:enumeration value="229 - Kateřina Brožová - rozvod"/>
          <xsd:enumeration value="230 - OBI Třebíč"/>
          <xsd:enumeration value="232 - ČKD Kutná Hora"/>
          <xsd:enumeration value="235 - Fidan Aslan - Bankroptcy proceeding"/>
          <xsd:enumeration value="236 - Anna Ocenas - Dual Citizenship"/>
          <xsd:enumeration value="237 - Richard Procházka - koupě bytu"/>
          <xsd:enumeration value="238 - Horizon Zličín"/>
          <xsd:enumeration value="239 - Monroe manufacturing factory"/>
          <xsd:enumeration value="240 - Palladium prodej jednotky"/>
          <xsd:enumeration value="242 - A. Bosako - litevský kamion"/>
          <xsd:enumeration value="243 - Kestrina Peza"/>
          <xsd:enumeration value="245 - Shynshynov court proceeding"/>
          <xsd:enumeration value="246 - FISET INTERNATIONAL založení společnosti"/>
          <xsd:enumeration value="249 - ISMFA užití foto na webu"/>
          <xsd:enumeration value="251 - Discovery - DD Imobilia Omega"/>
          <xsd:enumeration value="252 - Motalleb FOULADIAGHABAGHER - Business Visa"/>
          <xsd:enumeration value="253 - rj companies s.r.o. - zakládání společnosti"/>
          <xsd:enumeration value="255 - Christopher Sean Hora - divorce"/>
          <xsd:enumeration value="257 - Aveo - Sale of Real Estate"/>
          <xsd:enumeration value="258 - GRANERO Vlasatice general advice"/>
          <xsd:enumeration value="261 - Helus dědické řízení"/>
          <xsd:enumeration value="262 - Lucie Bartková - Vyjednávání se spol. DEG Czech republic a.s./Phoenix Invest a.s."/>
          <xsd:enumeration value="263 - Lucia Tomek - Velké Přílepy Acquisition"/>
          <xsd:enumeration value="276 - Ferroclean receivable Falko"/>
          <xsd:enumeration value="279 - Sdružení pro plazmaferézu general advice"/>
          <xsd:enumeration value="280 - PMBL general advice"/>
          <xsd:enumeration value="281 - Kevin Mifsud - Nezrušitelné osvojení"/>
          <xsd:enumeration value="286 - Kimsey - Sale of house"/>
          <xsd:enumeration value="287 - Společenství pro dům Residence Nábřeží 55, Praha 5 - poradenství"/>
          <xsd:enumeration value="288 - Společenství pro dům Residence Nábřeží 53, Praha 5 - poradenství"/>
          <xsd:enumeration value="289 - Karlín Group - Invalidovna"/>
          <xsd:enumeration value="29 - Veřejná zakázka LESY ČR"/>
          <xsd:enumeration value="290 - First Title - Vyškov"/>
          <xsd:enumeration value="291 - Karlín Group - Corporate advice"/>
          <xsd:enumeration value="293 - Footlocker Palladium lease assignment"/>
          <xsd:enumeration value="30 - PPF/ECM City Court sale"/>
          <xsd:enumeration value="305 - Palladium disposal data room"/>
          <xsd:enumeration value="306 - Vojtěch Kločurek general advice"/>
          <xsd:enumeration value="307 - BMW Bank Austria"/>
          <xsd:enumeration value="309 - Schweighofer - Všehrdova"/>
          <xsd:enumeration value="31 - DMA re MACH Drůbež a.s."/>
          <xsd:enumeration value="310 - WPT Česko company set up"/>
          <xsd:enumeration value="311 - ALPA tours general advice"/>
          <xsd:enumeration value="320 - Richard Vincent Wyborski - divorce"/>
          <xsd:enumeration value="323 - UNICA repromedic"/>
          <xsd:enumeration value="327 - Kameran Mahmood Mohammed - general advice"/>
          <xsd:enumeration value="328 - Marriott - ECM Insolvency"/>
          <xsd:enumeration value="329 - Připojen s.r.o. general advice"/>
          <xsd:enumeration value="33 - UBM TOSAN park sale"/>
          <xsd:enumeration value="331 - Levné knihy a.s. general advice"/>
          <xsd:enumeration value="332 - Alasgar Hasanov - Azerbaijan Republic Chamber Of Commerce And Industry"/>
          <xsd:enumeration value="334 - NordPay - defamation"/>
          <xsd:enumeration value="337 - FGK Clinical Research s.r.o. - general advice"/>
          <xsd:enumeration value="339 - Schweighofer Ševetín acquisition"/>
          <xsd:enumeration value="34 - Veselovský Pavel court proceeding"/>
          <xsd:enumeration value="341 - Shakespeares - general advice"/>
          <xsd:enumeration value="345 - rj companies - general advice"/>
          <xsd:enumeration value="346 - rj companies - převod obchodního podílu I"/>
          <xsd:enumeration value="348 - MEGABOOKS CZ general advice"/>
          <xsd:enumeration value="349 - rj companies - převod obchodního podílu II"/>
          <xsd:enumeration value="35 - Likvidace Bikes Trading s.r.o."/>
          <xsd:enumeration value="351 - Společenství vlastníků jednotek v domě Rabyňská 738-745, Praha 4 - poradenství"/>
          <xsd:enumeration value="352 - ČKD Kutná Hora - Reorganization plan"/>
          <xsd:enumeration value="353 - INTERIMEX CZ general advice"/>
          <xsd:enumeration value="354 - Zámek Peruc s.r.o."/>
          <xsd:enumeration value="355 - Roland Berger - Billa Clever Preisgarantie"/>
          <xsd:enumeration value="356 - Shiraz Malik - Extradition to USA"/>
          <xsd:enumeration value="357 - STAR GROUP CZECH - Kolbenova Design Center"/>
          <xsd:enumeration value="358 - Discovery - Management Agreement"/>
          <xsd:enumeration value="359 - Sanan Sasha Phutrakul - general advice"/>
          <xsd:enumeration value="36 - Eskelund ZD Vlasatice acquisition"/>
          <xsd:enumeration value="360 - INTERIMEX CZ - Strnadovi žaloba"/>
          <xsd:enumeration value="363 - Lech Gorecki - litigation"/>
          <xsd:enumeration value="37 - MobilKom - postoupení pohledávek"/>
          <xsd:enumeration value="373 - Charles De Giraud D´Agay - Koupě kanceláří Janáčkovo náb. "/>
          <xsd:enumeration value="374 - Muris Čauševič - Advokátní úschova"/>
          <xsd:enumeration value="375 - Apogeo data rooms"/>
          <xsd:enumeration value="377 - Unibail - CČM EC - Leasing"/>
          <xsd:enumeration value="38 - Sodomka Pavel general advice 2010"/>
          <xsd:enumeration value="381 - Yossef Friedman - Koupě bytu 7, Mozartova 12 (LIMMO)"/>
          <xsd:enumeration value="383 - ClinOpt - založení společnosti"/>
          <xsd:enumeration value="384 - Network Support general advice"/>
          <xsd:enumeration value="385 - FGK Clinical Research - ClinOpt"/>
          <xsd:enumeration value="386 - REALTY Construction - Keystone"/>
          <xsd:enumeration value="387 - FGK Clinical Research GmbH general advice"/>
          <xsd:enumeration value="388 - maf Logistik GmbH general advice"/>
          <xsd:enumeration value="389 - AEW - Lability of Supervisory Board Members"/>
          <xsd:enumeration value="39 - Miroslav Kolář general advice"/>
          <xsd:enumeration value="390 - AEW - Memo LOSBM"/>
          <xsd:enumeration value="391 - PPF Real Estate s.r.o. - general advice"/>
          <xsd:enumeration value="392 - OBI Havířov"/>
          <xsd:enumeration value="393 - OBI Ruzyně"/>
          <xsd:enumeration value="394 - Ablon - general advice"/>
          <xsd:enumeration value="395 - Lobkowicz lesy acquisition"/>
          <xsd:enumeration value="396 - Horizon case Net Property"/>
          <xsd:enumeration value="397 - RFE/RL - Orco - Hagibor"/>
          <xsd:enumeration value="398 - Ing. Marek Růžička - general advice"/>
          <xsd:enumeration value="399 - Carsten Franke general advice"/>
          <xsd:enumeration value="400 - Caspian Engineering Company (AzMeCo) - general advice"/>
          <xsd:enumeration value="401 - Kateřina Singer - péče o dítě"/>
          <xsd:enumeration value="402 - Gottfried Ederer - general advice"/>
          <xsd:enumeration value="404 - Unibail - New Civil Code memo"/>
          <xsd:enumeration value="407 - Horizon Holding - Expo Jevany"/>
          <xsd:enumeration value="408 - Piotr Jacek Dwornik - divorce"/>
          <xsd:enumeration value="409 - UNICA general advice"/>
          <xsd:enumeration value="41 - Robert Schönfeld"/>
          <xsd:enumeration value="410 - Caspian Engineering Company LLC - general advice"/>
          <xsd:enumeration value="411 - INTERIMEX CZ disposal"/>
          <xsd:enumeration value="412 - Unibail - Chodov EXT - Leasing studies"/>
          <xsd:enumeration value="415 - Ablon - Volanti SPA"/>
          <xsd:enumeration value="416 - Jana James – termination of lease agreement"/>
          <xsd:enumeration value="419 - Unibail - CČM SC II - Leasing"/>
          <xsd:enumeration value="42 - ECOVIS blf general advice 2010"/>
          <xsd:enumeration value="421 - Unibail - Chodov - Leasing"/>
          <xsd:enumeration value="422 - Edwards general advice"/>
          <xsd:enumeration value="423 - Pavel Heczko - general advice"/>
          <xsd:enumeration value="424 - Pavel Opočenský - divorce"/>
          <xsd:enumeration value="425 - Marriott - GSA"/>
          <xsd:enumeration value="426 - Russell Wallaesa - divorce"/>
          <xsd:enumeration value="427 - Unibail - Litigation Chodov - Sergio Tacchini"/>
          <xsd:enumeration value="428 - ATTN - Data rooms"/>
          <xsd:enumeration value="429 - ClinOpt general advice"/>
          <xsd:enumeration value="43 - Ahold real estate 2010"/>
          <xsd:enumeration value="430 - Ewan Gibb - Prodej bytu (Janáčkovo nábřeží)"/>
          <xsd:enumeration value="435 - HR GURU transfer of clients"/>
          <xsd:enumeration value="436 - Claudia Hidayat - divorce"/>
          <xsd:enumeration value="437 - Horst Siegel general advice"/>
          <xsd:enumeration value="438 - Unibail - Litigation Chodov - 1 - 2 - 3"/>
          <xsd:enumeration value="44 - Edwards Services general advice"/>
          <xsd:enumeration value="441 - Kaindl Ein- und Verkaufsgesellschaft - CE WOOD insolvency"/>
          <xsd:enumeration value="442 - TIKA investment s.r.o. – budova Metrostav"/>
          <xsd:enumeration value="443 - Erika Eckert – damage to health (segway accident)"/>
          <xsd:enumeration value="444 - Motolux Industries - general advice"/>
          <xsd:enumeration value="445 - Unibail - Litigation - Body Basic"/>
          <xsd:enumeration value="448 - Dana Šebrlová - AXA pojištění"/>
          <xsd:enumeration value="449 - QUESD s.r.o. general advice"/>
          <xsd:enumeration value="45 - Pivoňka Vítězslav - půjčka"/>
          <xsd:enumeration value="451 - Step by Step - jazyková škola general advice"/>
          <xsd:enumeration value="452 - Peer Gelser - research"/>
          <xsd:enumeration value="453 - Kodaňská SPA"/>
          <xsd:enumeration value="454 - Czech fitness group, s.r.o. - general advice"/>
          <xsd:enumeration value="455 - Tomáš Hanzálek - general advice"/>
          <xsd:enumeration value="456 - Cosentino Austria GmbH general advice"/>
          <xsd:enumeration value="457 - CIMBRIA HMD Litomyšl new factory"/>
          <xsd:enumeration value="458 - LPP Retail Czech Republic, s.r.o. - general advice"/>
          <xsd:enumeration value="459 - Barton-Dobenin Elizabeth - general advice"/>
          <xsd:enumeration value="46 - Mesa Parts general advice 2010"/>
          <xsd:enumeration value="460 - Kümpers Textil s.r.o. general advice"/>
          <xsd:enumeration value="461 - STŘECHMONT s.r.o. general advice"/>
          <xsd:enumeration value="462 - PROFESSIONALS s.r.o. general advice"/>
          <xsd:enumeration value="463 - rj companies administrativní služby"/>
          <xsd:enumeration value="464 - Alan Trotter divorce"/>
          <xsd:enumeration value="465 - rj companies - převod obchodního podílu III"/>
          <xsd:enumeration value="466 - Blumenbecker Prag - general advice"/>
          <xsd:enumeration value="467 - SEB - Factoring"/>
          <xsd:enumeration value="468 - Jan Musial - General advice"/>
          <xsd:enumeration value="469 - Ofer Dahan – general advice"/>
          <xsd:enumeration value="47 - OS 1 general advice 2010"/>
          <xsd:enumeration value="470 - ABLON - Volanti SPA II"/>
          <xsd:enumeration value="473 - TIKA investment s.r.o. – budova Stavokon"/>
          <xsd:enumeration value="474 - Ian Keith Smith - Employment"/>
          <xsd:enumeration value="475 - INFIGUR - General advice"/>
          <xsd:enumeration value="476 - Suchyňová Marika general advice"/>
          <xsd:enumeration value="477 - Emanuel Bergmann - Český Těšín"/>
          <xsd:enumeration value="478 - Duncan Alexander Picken McKelvie-Sale of House"/>
          <xsd:enumeration value="479 - Horizon Holding - Neocity (Neo Riviera Modřany)"/>
          <xsd:enumeration value="48 - UNICAplasma general advice 2010"/>
          <xsd:enumeration value="480 - Ruslan Totrov - Blue card"/>
          <xsd:enumeration value="481 - Ulrich A. Oeler nostrifikace"/>
          <xsd:enumeration value="482 - Akin Holdings, s.r.o. general advice"/>
          <xsd:enumeration value="483 - Alistair Paterson – General Advise"/>
          <xsd:enumeration value="484 - GORT - general advice"/>
          <xsd:enumeration value="485 - Unibail - Litigation Chodov - H.A.M. GASTRO CZECH s.r.o."/>
          <xsd:enumeration value="486 - Tracey Sedláková – Custody, Divorce"/>
          <xsd:enumeration value="487 - CRESTYL real estate, s.r.o. - General advice"/>
          <xsd:enumeration value="488 - Explora - general advice"/>
          <xsd:enumeration value="49 - RD Heinrichova"/>
          <xsd:enumeration value="490 - Unibail - Litigation Chodov - Gloria Cafe"/>
          <xsd:enumeration value="491 - Joe Cunnane - general advice"/>
          <xsd:enumeration value="492 - Unibail - Chodov - Leasing studies"/>
          <xsd:enumeration value="494 - TIKA investment s.r.o. - založení společnosti"/>
          <xsd:enumeration value="495 - APOGEO - general advice"/>
          <xsd:enumeration value="498 - Fariba Mavaddat - general advice"/>
          <xsd:enumeration value="50 - OS 2 general advice 2010"/>
          <xsd:enumeration value="500 - Juraj Pick - založení společnosti"/>
          <xsd:enumeration value="501 - Horizon Holding Čimice - věcná břemena"/>
          <xsd:enumeration value="502 - Paul Russel - Brandýs"/>
          <xsd:enumeration value="503 - TAZO advokátní úschova - prodej nemovitosti Český Těšín"/>
          <xsd:enumeration value="508 - Marriott - General Catering Agreement"/>
          <xsd:enumeration value="509 - Anastasia Hagen - general advice"/>
          <xsd:enumeration value="51 - PPF Úvalská remedy"/>
          <xsd:enumeration value="511 - Unibail - Litigation CČM - Oáza food"/>
          <xsd:enumeration value="512 - Hotel Duo - Leasing"/>
          <xsd:enumeration value="513 - Tishrie Sherutie Tayarut (Eytan Goldman) – general advice"/>
          <xsd:enumeration value="514 - Unibail - Chodov - Corporate Changes"/>
          <xsd:enumeration value="515 - Unibail - CČM - Corporate Changes"/>
          <xsd:enumeration value="516 - Unibail - Rodamco ČR - Corporate Changes"/>
          <xsd:enumeration value="517 - Unibail - Rodamco Pankrác - Corporate Changes"/>
          <xsd:enumeration value="519 - KCC Development s.r.o."/>
          <xsd:enumeration value="52 - KTM general advice 2010"/>
          <xsd:enumeration value="520 - Špundová Petra soudní řízení"/>
          <xsd:enumeration value="521 - Unibail - Rodamco Pankrác - general advice"/>
          <xsd:enumeration value="522 - David Roberts"/>
          <xsd:enumeration value="523 - Vincent James - Immigration"/>
          <xsd:enumeration value="524 - Zezo Duarte - Immigration"/>
          <xsd:enumeration value="525 - Unibail - Litigation CČM - Kaky"/>
          <xsd:enumeration value="527 - Transitions management general advice"/>
          <xsd:enumeration value="528 - Transitions management data room"/>
          <xsd:enumeration value="529 - Ventile &amp; Fittings Praha spol.s.r.o. - general advice"/>
          <xsd:enumeration value="53 - RK STING general advice 2010"/>
          <xsd:enumeration value="530 - Albertina icome Praha s.r.o. - general advice"/>
          <xsd:enumeration value="532 - Alanas Štaras general advice"/>
          <xsd:enumeration value="533 - EU-Invest s.r.o. – Arbitrations against MAXX Kuchyně s.r.o."/>
          <xsd:enumeration value="534 - Alexandra Tranca – General Advice"/>
          <xsd:enumeration value="535 - MICONEX s.r.o. general advice"/>
          <xsd:enumeration value="536 - Bernardová Daniela - general advice"/>
          <xsd:enumeration value="537 - Recognition of judgements"/>
          <xsd:enumeration value="538 - Unibail - CČM Ext - Casino Merkur"/>
          <xsd:enumeration value="539 - Luka Shopping Mall SPA claims"/>
          <xsd:enumeration value="54 - DRILLTEC general advice 2010"/>
          <xsd:enumeration value="540 - Blooman - Zelené Město"/>
          <xsd:enumeration value="541 - Blooman - Vokovice"/>
          <xsd:enumeration value="542 - Blooman - Park Hotel"/>
          <xsd:enumeration value="543 - Elmira Kondratieva - Litigation"/>
          <xsd:enumeration value="544 - Vladimíra Stoy Částková - Tuchoměřice"/>
          <xsd:enumeration value="545 - CONCEPT Consulting ME - general advice "/>
          <xsd:enumeration value="546 - David George Lewis - divorce"/>
          <xsd:enumeration value="547 - Drvota Marek general advice"/>
          <xsd:enumeration value="549 - TIKA Investments - NAXOS"/>
          <xsd:enumeration value="55 - Schweighofer Mydlovary"/>
          <xsd:enumeration value="550 - Administrativní služby"/>
          <xsd:enumeration value="551 - TPA Horwath Blackbox data room"/>
          <xsd:enumeration value="552 - Robert Zagozdžon general advice"/>
          <xsd:enumeration value="553 - Pavel Táborský - general advice"/>
          <xsd:enumeration value="554 - Horizon Holding - Neocity (Neo Riviera Modřany) - transakce"/>
          <xsd:enumeration value="555 -  rj companies - převod obchodního podílu V"/>
          <xsd:enumeration value="556 - Horizon Holding - Neocity (Neo Riviera Modřany) - Skanska"/>
          <xsd:enumeration value="557 - Cormac Breen - general advice"/>
          <xsd:enumeration value="558 - Blooman - Luka Zličín"/>
          <xsd:enumeration value="559 - Eva Bernadet general advice"/>
          <xsd:enumeration value="56 - rj - business development"/>
          <xsd:enumeration value="560 - Poliklinika Revoluční, s.r.o. enforcement proceedings"/>
          <xsd:enumeration value="561 - Dieter Schramm – Employment"/>
          <xsd:enumeration value="562 - Šmeralová Jana general advice"/>
          <xsd:enumeration value="563 - Pavel Hynek general advice"/>
          <xsd:enumeration value="564 - Poliklinika Starý Lískovec, spol. s r.o. enforcement proceeding"/>
          <xsd:enumeration value="565 - Rustler Property Services s.r.o. - Gravity"/>
          <xsd:enumeration value="569 - Kongresové centrum Praha a.s. - Mezinárodní smlouva o správě"/>
          <xsd:enumeration value="57 - rj - administration"/>
          <xsd:enumeration value="570 - Pokorný Josef - pracovní úraz"/>
          <xsd:enumeration value="571 - Manhal Yazji – Asylum"/>
          <xsd:enumeration value="572 - Alexander Vavilov – Schengen Check"/>
          <xsd:enumeration value="573 - ASSTRA FORWARDING AG – General advice"/>
          <xsd:enumeration value="574 - Anastasia Normatova - custody"/>
          <xsd:enumeration value="576 - JRK BioWaste Management s.r.o. – general advice"/>
          <xsd:enumeration value="577 - Source Prague - Milica Animal Trade"/>
          <xsd:enumeration value="578 - David Carr - Property"/>
          <xsd:enumeration value="579 - Weißauer, Gmeiner &amp; Partner, Rechtsa - GA"/>
          <xsd:enumeration value="58 - rj - vacation"/>
          <xsd:enumeration value="581 - rj companies - převod obchodního podílu rj three"/>
          <xsd:enumeration value="582 -  rj companies - převod obchodního podílu rj four"/>
          <xsd:enumeration value="583 - David Kozub - prodej bytu"/>
          <xsd:enumeration value="585 - Fashion Stores, s.r.o. restructuring"/>
          <xsd:enumeration value="586 -  VistaJet Luftfahrtunternehmen GmbH - general advice"/>
          <xsd:enumeration value="587 - rj companies - převod obchodního podílu rj one"/>
          <xsd:enumeration value="588 - AmRest s.r.o. - general advice"/>
          <xsd:enumeration value="589 -  ASSTRA FORWARDING s.r.o. - general advice"/>
          <xsd:enumeration value="59 - rj - sickness"/>
          <xsd:enumeration value="590 - AsstrA-Polska Sp. z o. o. - general advice"/>
          <xsd:enumeration value="591 - Blooman - Motol &amp; Villa Schweiger"/>
          <xsd:enumeration value="592 - Horizon Holding - Neocity (Neo Riviera Modřany) - Title Insurance"/>
          <xsd:enumeration value="593 - ComplexPR, s.r.o. general advice"/>
          <xsd:enumeration value="594 - Shpilman – parachute accident"/>
          <xsd:enumeration value="595 - Alejandro Fischer - divorce"/>
          <xsd:enumeration value="596 - ComplexPR, s.r.o. domény"/>
          <xsd:enumeration value="597 - Noble Securities SA - Branch Registration"/>
          <xsd:enumeration value="598 - SINIAT GMBH general advice"/>
          <xsd:enumeration value="599 - Tuček Martin general advice"/>
          <xsd:enumeration value="600 - UTYLIS ENERGY INC.-založení společnosti"/>
          <xsd:enumeration value="601 - Sigmajet (GEMINI printer)"/>
          <xsd:enumeration value="602 - Soňa Šulcová - převod bytu"/>
          <xsd:enumeration value="603 - Volksversand Versandapotheke s.r.o. - general advice"/>
          <xsd:enumeration value="604 - Čvančara Martin převod a rozdělení pozemku"/>
          <xsd:enumeration value="605 - Alfred Reiterer"/>
          <xsd:enumeration value="606 - Goldšmídovi-nemovitost Tuhaň"/>
          <xsd:enumeration value="607 - Horizon Holding - Bohdalec"/>
          <xsd:enumeration value="608 - Horizon Holding - NPD"/>
          <xsd:enumeration value="609 - MW CHEMIE general advice"/>
          <xsd:enumeration value="610 - Blooman - Future Hotel"/>
          <xsd:enumeration value="611 - Horizon Holding - Net Property s.r.o. - Contribution"/>
          <xsd:enumeration value="612 - Naukacuvu Investment-prodej nemovitostí Nupaky"/>
          <xsd:enumeration value="613 - RUSTLER Property Services CZ - Litigation CA IMMO"/>
          <xsd:enumeration value="614 - YZ Holding spol. s r.o. - general advice"/>
          <xsd:enumeration value="615 - Bauder arbeitsrechtliche Beratung"/>
          <xsd:enumeration value="618 - Horizon Holding - Financování"/>
          <xsd:enumeration value="619 - Tishrey EU s.r.o. - general advice"/>
          <xsd:enumeration value="620 - MK-NEMO s.r.o. -  přefakturace nákladů "/>
          <xsd:enumeration value="621 - Blooman - general advice"/>
          <xsd:enumeration value="622 - Horizon Holding - Neocity (Neo Riviera Modřany)"/>
          <xsd:enumeration value="624 - Ing. Zuzana Jelínková – general advice"/>
          <xsd:enumeration value="625 -  REALTY Pobřežní a.s."/>
          <xsd:enumeration value="626 - Založení společnosti CALL4U s.r.o."/>
          <xsd:enumeration value="627 - Projekt Queen s.r.o. úschova"/>
          <xsd:enumeration value="628 - Wolfgang Teufl Scheidung"/>
          <xsd:enumeration value="629 - Jetmarovi darovací smlouva"/>
          <xsd:enumeration value="63 - Villa Schwaiger s.r.o."/>
          <xsd:enumeration value="630 - Pinkvelvet Lda. - general advice"/>
          <xsd:enumeration value="631 - rj companies - převod obchodního podílu rj five I"/>
          <xsd:enumeration value="632 - rj companies - převod obchodního podílu rj five II"/>
          <xsd:enumeration value="633 - Jana Hájková - poradenství "/>
          <xsd:enumeration value="635 - Uri Heller - Loan"/>
          <xsd:enumeration value="636 - Premier Beauty Czech s.r.o. - general advice"/>
          <xsd:enumeration value="637 - PROLEGAL, s.r.o. - general advice"/>
          <xsd:enumeration value="638 - Ben Friedman - general advice"/>
          <xsd:enumeration value="639 - Zdiby Logistic Centre general advice"/>
          <xsd:enumeration value="64 - Wadia Lannova - general advice"/>
          <xsd:enumeration value="640 - Libor Hubík general advice"/>
          <xsd:enumeration value="641 - David Roberts II - general advice"/>
          <xsd:enumeration value="642 - Unibail - CČM - Timeout plus - Leasing"/>
          <xsd:enumeration value="643 - Spandex SyndiCUT, s.r.o. – Vymáhání pohledávky"/>
          <xsd:enumeration value="644 - Natalia Tikhonova – Krasny dum s.r.o."/>
          <xsd:enumeration value="645 - Vortal Connecting Business CZ disposal"/>
          <xsd:enumeration value="646 - Josef Pokorný - Rodinné domy Obříství"/>
          <xsd:enumeration value="647 - Oldřich Pospíšil general advice"/>
          <xsd:enumeration value="648 - Jaroslav Hotař escrow"/>
          <xsd:enumeration value="649 - Join2buy S.L. - general advice"/>
          <xsd:enumeration value="65 - Unibail - Moravská obchodní a.s."/>
          <xsd:enumeration value="650 - Zaki Mogra acquisition of rj five"/>
          <xsd:enumeration value="651 - Unibail - Chodov - Megasportbar"/>
          <xsd:enumeration value="652 - Chattertons Solicitors – affidavit of law"/>
          <xsd:enumeration value="653 - James Brickenden - general advice"/>
          <xsd:enumeration value="654 - Eve Solar – citizenship"/>
          <xsd:enumeration value="655 - Ella Hradec - Development Agreement"/>
          <xsd:enumeration value="656 - rj companies - založení RK BioWaste Management"/>
          <xsd:enumeration value="658 - rj companies - převod obchodního podílu rj six Zaki Mogra"/>
          <xsd:enumeration value="659 -  rj companies - převod obchodního podílu rj six Zaki Mogra"/>
          <xsd:enumeration value="660 - LESY Alpha s.r.o. general advice"/>
          <xsd:enumeration value="661 - Barton-Dobenin Josef - inheritance administration (správa dědictví)"/>
          <xsd:enumeration value="662 - Horizon Holding - River Garden"/>
          <xsd:enumeration value="663 - Horizon Holding - JVA - Net Property"/>
          <xsd:enumeration value="664 - Niaz Ahmad - general advice"/>
          <xsd:enumeration value="665 - Ervin Fernando Vaca Burgos - Custody"/>
          <xsd:enumeration value="666 - Jaroslav Joseph Jilek - Inheritance"/>
          <xsd:enumeration value="667 - Přefakturace rj consultancy na JUDr. Monika Rutland, advokát"/>
          <xsd:enumeration value="668 - Jozef Kučerák - advokátní úschova"/>
          <xsd:enumeration value="669 - Ing. Petr Herman - advokátní úschova"/>
          <xsd:enumeration value="67 - Horizon Holding - Jarov"/>
          <xsd:enumeration value="670 - KG Aircraft Rotables Co., Ltd. - general advice"/>
          <xsd:enumeration value="672 - Ragazza s.r.o. - general advice "/>
          <xsd:enumeration value="673 - RSBC Financial Services a.s. – general advice"/>
          <xsd:enumeration value="674 - Rockbed Česká Republika s.r.o. – general advice"/>
          <xsd:enumeration value="675 - RSBC Private Equity CZ a.s. – general advice"/>
          <xsd:enumeration value="676 - Energie pro život s.r.o. general advice"/>
          <xsd:enumeration value="677 - YELLOW STREAM s.r.o. general advice"/>
          <xsd:enumeration value="678 - Multimedia Center s.r.o. - general advice"/>
          <xsd:enumeration value="679 - Zákaznický servis s.r.o. general advice"/>
          <xsd:enumeration value="68 - Plaza - General"/>
          <xsd:enumeration value="680 - BEI ELECTRA s.r.o. general advice"/>
          <xsd:enumeration value="683 - Roni Dohan - general advice"/>
          <xsd:enumeration value="684 - Strebel - general advice"/>
          <xsd:enumeration value="686 - International School of Music and Fine Arts, s.r.o. – fúze"/>
          <xsd:enumeration value="687 - Erdley Gordon - custody"/>
          <xsd:enumeration value="688 - Raman Samusevich - general advice"/>
          <xsd:enumeration value="689 - Horizon Holding - SB RED"/>
          <xsd:enumeration value="69 - Plaza - Opava"/>
          <xsd:enumeration value="690 - Richard Páleník - general advice"/>
          <xsd:enumeration value="691 - Natalia Tikhonova - Cadaster"/>
          <xsd:enumeration value="692 - Xiaohan LIU - divorce"/>
          <xsd:enumeration value="693 - KPMG – Ovanet"/>
          <xsd:enumeration value="694 - BEI MULTIMEDIA INTERACTIVE general advice"/>
          <xsd:enumeration value="695 - Unibail - CČM - Corporate maintenance"/>
          <xsd:enumeration value="696 - Unibail - Investment"/>
          <xsd:enumeration value="697 - Amrest s.r.o. real estate"/>
          <xsd:enumeration value="698 - IMMOFINANZ – Atom Centrum a.s."/>
          <xsd:enumeration value="699 - SAHOS koupě rj seven"/>
          <xsd:enumeration value="700 - RSBC Private Equity CZ a.s. - založení"/>
          <xsd:enumeration value="701 - Rockbed Česká republika s.r.o. založení"/>
          <xsd:enumeration value="702 - rj companies - převod obchodního podílu rj seven"/>
          <xsd:enumeration value="703 - Paola Kattar – Immigration"/>
          <xsd:enumeration value="704 - Unibail - Litigation Chodov - Stella Oro"/>
          <xsd:enumeration value="705 - Meinl Bank AG - Máchova 27"/>
          <xsd:enumeration value="706 - Howie Oh - general advice"/>
          <xsd:enumeration value="707 - Bílý dům s.r.o. test - general advice"/>
          <xsd:enumeration value="708 - MEDIA HOME s.r.o. general advice"/>
          <xsd:enumeration value="709 -  Ing. Luboš Sobotka - úvěrová smlouva"/>
          <xsd:enumeration value="71 - Společenství vlastníků Voroněžská 7"/>
          <xsd:enumeration value="710 - Axes Capital Europe s.r.o."/>
          <xsd:enumeration value="711 - rj companies - převod obchodního podílu rj eight"/>
          <xsd:enumeration value="712 - Meinl Bank AG - Korunní"/>
          <xsd:enumeration value="715 - Neverland s.r.o. - general advice"/>
          <xsd:enumeration value="716 - Immofinanz-Arbes"/>
          <xsd:enumeration value="717 - MICONEX real estate"/>
          <xsd:enumeration value="718 - Dr. Alfred Leitner -  Tschechisches Krankenkassensystem"/>
          <xsd:enumeration value="719 - UTYLIS s.r.o. - general advice"/>
          <xsd:enumeration value="72 - Boston Capital - Přimda"/>
          <xsd:enumeration value="720 - Faheem Chaudhry - separation of joint property of spouses"/>
          <xsd:enumeration value="721 - Mazen Tayara - imigration"/>
          <xsd:enumeration value="722 - YAVER GmbH &amp; Co. KG general advice"/>
          <xsd:enumeration value="723 - Babar Hashmi – custody"/>
          <xsd:enumeration value="724 - Meinl Bank AG – V Kolkovně I."/>
          <xsd:enumeration value="725 - ENERGY SUPLIER NO.1 a.s. general advice"/>
          <xsd:enumeration value="726 - Jakob Blaschke general advice"/>
          <xsd:enumeration value="727 - Bohemia Properties - general advice"/>
          <xsd:enumeration value="728 - Ing. Milan Strieženec - general advice"/>
          <xsd:enumeration value="729 - Duncan Alexander Picken McKelvie - Real Estate Transfer TAX"/>
          <xsd:enumeration value="73 - Boston Capital - Enray"/>
          <xsd:enumeration value="730 - Aslanli Group - PRATURB"/>
          <xsd:enumeration value="731 - Short-term visa refusal"/>
          <xsd:enumeration value="732 - Amos Ben Harav - general advice"/>
          <xsd:enumeration value="733 - Stanislav Tuzov - general advice"/>
          <xsd:enumeration value="734 - Summit advanced systems s.r.o. - general advice"/>
          <xsd:enumeration value="735 - Edouard Perra-general advice"/>
          <xsd:enumeration value="736 - Amigal Group s.r.o. - general advice"/>
          <xsd:enumeration value="737 - Unibail - Presentation New Law"/>
          <xsd:enumeration value="738 - Immofinanz-Kladno"/>
          <xsd:enumeration value="739 - PHL – Vyskočilova s.r.o. due diligence"/>
          <xsd:enumeration value="74 - Boston Capital - ČEZ"/>
          <xsd:enumeration value="740 - Mgr. Petra Šatavová – substituce"/>
          <xsd:enumeration value="741 - East Advisors GmbH - Ovenecká"/>
          <xsd:enumeration value="742 - Courant s.r.o.-general advice"/>
          <xsd:enumeration value="743 - Meinl Bank AG-Tusarova"/>
          <xsd:enumeration value="744 - Peter Milan Luketic - general advice"/>
          <xsd:enumeration value="745 - Unibail - Commercial Law advice"/>
          <xsd:enumeration value="746 - Unibail - Foundation of A.S."/>
          <xsd:enumeration value="747 - Meinl Bank AG - Pecháčkova"/>
          <xsd:enumeration value="749 - Kieran James Long - general advice"/>
          <xsd:enumeration value="75 - WDU Czech - Průhonice"/>
          <xsd:enumeration value="750 - Horizon Holding - KORTA Prague - general advice"/>
          <xsd:enumeration value="751 - Net Property s.r.o. - general advice"/>
          <xsd:enumeration value="752 - Kacafírková – pozemky Keteň"/>
          <xsd:enumeration value="753 - Unibail - CČM Likvidace sdružení"/>
          <xsd:enumeration value="754 - Unibail - CAPEX DD"/>
          <xsd:enumeration value="755 - Venugopalan Nayar – general advice"/>
          <xsd:enumeration value="756 - rj companies - převod obchodního podílu rj nine"/>
          <xsd:enumeration value="757 - Milos Zavodni - general advice"/>
          <xsd:enumeration value="758 - Tatra banka/CHIRANA - general advice"/>
          <xsd:enumeration value="759 - Lugera &amp; Makler Temps Czech s.r.o. - general advice"/>
          <xsd:enumeration value="76 - Holzindustrie Schweighofer s.r.o. - Všehrdova"/>
          <xsd:enumeration value="760 - Phi Partners Global Ltd - general advice"/>
          <xsd:enumeration value="761 - Kathleen M Kokes - general advice"/>
          <xsd:enumeration value="762 - TIKA Investment s.r.o. – Subterra"/>
          <xsd:enumeration value="763 - Horizon Holding - BesTen s.r.o. - general advice"/>
          <xsd:enumeration value="764 - Kelly A. Green – general advice"/>
          <xsd:enumeration value="765 - TIKA Investment s.r.o. - Not billed"/>
          <xsd:enumeration value="766 - Unibail - CČM - Leasing studies"/>
          <xsd:enumeration value="767 - Sdružení nájemců Centrum Černý Most - general advice"/>
          <xsd:enumeration value="768 - CČM - general advice"/>
          <xsd:enumeration value="769 - Unibail - Chodov - general advice I"/>
          <xsd:enumeration value="77 - Vacco Invest s.r.o. - Drahelčice"/>
          <xsd:enumeration value="770 - Unibail - Rodamco Česká republika s.r.o. - general advice III"/>
          <xsd:enumeration value="771 - Unibail - Chodov - GA"/>
          <xsd:enumeration value="772 - Unibail - Rodamco ČR - GA"/>
          <xsd:enumeration value="773 - Unibail - CČM - GA"/>
          <xsd:enumeration value="774 - rj companies - převod obchodního podílu rj eleven"/>
          <xsd:enumeration value="775 - CNC TVAR – JV – Nord Premier"/>
          <xsd:enumeration value="776 - BALANCED HR s.r.o. - general advice"/>
          <xsd:enumeration value="777 - IMMOEAST Projekt Delta Holding GmbH - general advice"/>
          <xsd:enumeration value="778 - IMMOEAST ALLEGRO Beteiligungs GmbH - general advice"/>
          <xsd:enumeration value="779 - Oana Cucu - general advice"/>
          <xsd:enumeration value="78 - Vacco Invest s.r.o. - Slaný"/>
          <xsd:enumeration value="780 - Mark Holding - divorce"/>
          <xsd:enumeration value="781 - GAS Energy Trading a.s. - general advice"/>
          <xsd:enumeration value="782 - Yury Fedosov – general advice"/>
          <xsd:enumeration value="783 - Kárníková - custody"/>
          <xsd:enumeration value="784 - Chima Ugochukwu Ezechukwu - general advice"/>
          <xsd:enumeration value="785 - Performing Arts Center Prague - general advice"/>
          <xsd:enumeration value="786 - RSBC Czech Unit Trust I - general advice"/>
          <xsd:enumeration value="787 - rj companies - kolky"/>
          <xsd:enumeration value="788 - rj companies - ostatní náklady"/>
          <xsd:enumeration value="789 - RSBC Czech Unit Trust - směnky a dluhopisy"/>
          <xsd:enumeration value="790 - West Development - Happy Label"/>
          <xsd:enumeration value="791 - Meinl Bank AG – Rajská zahrada"/>
          <xsd:enumeration value="792 - Ametyst Hotel"/>
          <xsd:enumeration value="793 - Úřad městské části Praha 6 - general advice"/>
          <xsd:enumeration value="794 - LEASE SYSTEM s.r.o. - general advice"/>
          <xsd:enumeration value="795 - Zdeněk Suchitra - general advice"/>
          <xsd:enumeration value="796 - Ivan Jassan - general advice"/>
          <xsd:enumeration value="797 - Clelia Rossi - Roberto Letona Hora citizenship"/>
          <xsd:enumeration value="798 - RSBC Czech Unit Trust, a.s. - založení"/>
          <xsd:enumeration value="799 - Arca Opportunity – general advice"/>
          <xsd:enumeration value="800 - Tika - založení MIGDAL s.r.o."/>
          <xsd:enumeration value="801 - Natalia Tikhonova - general advice"/>
          <xsd:enumeration value="802 - Natalia Tikhovona - Lease agreement"/>
          <xsd:enumeration value="803 - BIRAND - general advice"/>
          <xsd:enumeration value="804 - NORCA, a.s. - general advice"/>
          <xsd:enumeration value="805 - HF 2003 s.r.o. - general advice"/>
          <xsd:enumeration value="806 - Nada Seifaddin Hussain Al-Hellali - Khalid Rebat"/>
          <xsd:enumeration value="807 - Statutární město Liberec - Statutární město Liberec/Swap"/>
          <xsd:enumeration value="808 - Rezidence Bubenečský vrch, s.r.o. - general advice"/>
          <xsd:enumeration value="809 - rj companies - převod obchodního podílu rj thirteen"/>
          <xsd:enumeration value="81 - Bublinkový byt s.r.o. - Změna jednatele"/>
          <xsd:enumeration value="810 - Bohdalec"/>
          <xsd:enumeration value="811 - PASSERINVEST GROUP - spor Metrostav"/>
          <xsd:enumeration value="812 - ERIDAMUS INVEST, s.r.o. - general advice"/>
          <xsd:enumeration value="813 - Robert Miller - Uznání dluhu"/>
          <xsd:enumeration value="814 - Jakoubek Dan – škoda na zdraví"/>
          <xsd:enumeration value="815 - La Sartoria s.r.o. - general advice"/>
          <xsd:enumeration value="816 - TTP invest, uzavřený investiční fond, a.s. - general advice"/>
          <xsd:enumeration value="817 - ProRetail s.r.o. - general advice"/>
          <xsd:enumeration value="818 - Vered Hasharon Ltd - general advice"/>
          <xsd:enumeration value="819 - IFES - general advice"/>
          <xsd:enumeration value="82 - Bublinkový byt s.r.o. - Purchase agreement"/>
          <xsd:enumeration value="821 - Horizon Holding - Eshel Prague, a.s. – zástavní práva"/>
          <xsd:enumeration value="822 - Babar Hashmi - divorce"/>
          <xsd:enumeration value="823 - Petr Lysoněk - general advice"/>
          <xsd:enumeration value="824 - David Wendel Drapela - general advice"/>
          <xsd:enumeration value="825 - Thomas Kent - general advice"/>
          <xsd:enumeration value="826 - Horizon Holding - River Garden - VCES"/>
          <xsd:enumeration value="827 - Horizon Holding - River Garden - Financování"/>
          <xsd:enumeration value="828 - Horizon Holding - River Garden - Cooperation"/>
          <xsd:enumeration value="829 - Ivana Podobová - general advice"/>
          <xsd:enumeration value="830 - Gal Karagula - general advice"/>
          <xsd:enumeration value="831 - Horizon – RiGa Residence West"/>
          <xsd:enumeration value="832 - rj companies - převod obchodního podílu rj twelve"/>
          <xsd:enumeration value="833 - PPH TUSAROVA s.r.o. - general advice"/>
          <xsd:enumeration value="834 - PPH PECHACKOVA s.r.o. - general advice"/>
          <xsd:enumeration value="835 - Meinl Bank AG - V Kolkovně II."/>
          <xsd:enumeration value="836 - Intelekt s.r.o. - general advice"/>
          <xsd:enumeration value="837 - BMW Bank Austria - Auto Activity"/>
          <xsd:enumeration value="838 - Aleksander Gura - general advice"/>
          <xsd:enumeration value="839 - Horizon Holding – River Garden – Client contracts"/>
          <xsd:enumeration value="840 - Stop Shop Czech Republic I B.V. - general advice"/>
          <xsd:enumeration value="841 - Stop Shop Czech Republic II B.V. - general advice"/>
          <xsd:enumeration value="842 - RSBC Private Equity CZ a.s. - Veřejný úpis dluhopisů"/>
          <xsd:enumeration value="843 - BMW Vertriebs GmbH - Auto activity"/>
          <xsd:enumeration value="844 - Noble Securities S.A., organizační složka Česká republika - general advice"/>
          <xsd:enumeration value="845 - Baldwin Jesse – citizenship"/>
          <xsd:enumeration value="846 - MICONEX s.r.o. - Nafigate x Cleanet"/>
          <xsd:enumeration value="847 - Immofinanz - Kladno - Change of BY-LAWS"/>
          <xsd:enumeration value="848 - SERVOUNICA, spol. s r.o. - general advice"/>
          <xsd:enumeration value="849 - TIKA Investment s.r.o. – Subterra – spor"/>
          <xsd:enumeration value="85 - Smurfit Kappa Czech s.r.o. - „ČIZP“"/>
          <xsd:enumeration value="850 - Shafika Arbash - general advice"/>
          <xsd:enumeration value="851 - Lenka Tučková - general advice"/>
          <xsd:enumeration value="852 - Immofinanz - Prague office park I/ LA Diversey"/>
          <xsd:enumeration value="853 - Immofinanz - Prague office park I/ LA Denwel"/>
          <xsd:enumeration value="854 - Shahnaz Abrar - general advice"/>
          <xsd:enumeration value="855 - Edouard Perra - GA"/>
          <xsd:enumeration value="856 - Morad Vaisibiame - general advice"/>
          <xsd:enumeration value="857 - Immofinanz - Westpoint"/>
          <xsd:enumeration value="86 - Ing. Vlastimil Nečas"/>
          <xsd:enumeration value="87 - Lettenmayer &amp; Partner, s.r.o."/>
          <xsd:enumeration value="90 - Horizon Holding - Agreements"/>
          <xsd:enumeration value="91 - Kateřina Tukkerová Sechovská - Rozvod"/>
          <xsd:enumeration value="92 - Plaza - Frýdek Místek"/>
          <xsd:enumeration value="95 - Rustler Group - Matvijová"/>
          <xsd:enumeration value="96 - Ing. Hana Krupicová"/>
          <xsd:enumeration value="97 - 3c REIM - Žižkov Developement Project"/>
          <xsd:enumeration value="98 - OEGP general advice 2010"/>
          <xsd:enumeration value="99 - Boston Capital - Silva North"/>
        </xsd:restriction>
      </xsd:simpleType>
    </xsd:element>
    <xsd:element name="DocumentType" ma:index="10" nillable="true" ma:displayName="Typ dokumentu" ma:default="Agreement" ma:format="Dropdown" ma:internalName="DocumentType">
      <xsd:simpleType>
        <xsd:restriction base="dms:Choice">
          <xsd:enumeration value="Agreement"/>
          <xsd:enumeration value="Power of attorney"/>
          <xsd:enumeration value="Correspondence"/>
          <xsd:enumeration value="Memorandum"/>
          <xsd:enumeration value="Due Diligence"/>
          <xsd:enumeration value="Other"/>
        </xsd:restriction>
      </xsd:simpleType>
    </xsd:element>
    <xsd:element name="Oblast" ma:index="11" nillable="true" ma:displayName="Právní oblast" ma:default="ADMINISTRATION" ma:format="Dropdown" ma:internalName="Oblast">
      <xsd:simpleType>
        <xsd:restriction base="dms:Choice">
          <xsd:enumeration value="ADMINISTRATION"/>
          <xsd:enumeration value="REAL ESTATE"/>
          <xsd:enumeration value="LITIGATION"/>
          <xsd:enumeration value="CORPORATE"/>
          <xsd:enumeration value="INSOLVENCY"/>
          <xsd:enumeration value="COMMERCIAL"/>
          <xsd:enumeration value="M&amp;A"/>
          <xsd:enumeration value="IMMIGRATION"/>
          <xsd:enumeration value="FAMILY"/>
          <xsd:enumeration value="LABOUR"/>
          <xsd:enumeration value="FINANCE"/>
          <xsd:enumeration value="OTHER"/>
        </xsd:restriction>
      </xsd:simpleType>
    </xsd:element>
    <xsd:element name="Language" ma:index="12" nillable="true" ma:displayName="Jazyk" ma:internalName="Language">
      <xsd:simpleType>
        <xsd:restriction base="dms:Choice">
          <xsd:enumeration value="CZ"/>
          <xsd:enumeration value="DE"/>
          <xsd:enumeration value="EN"/>
        </xsd:restriction>
      </xsd:simpleType>
    </xsd:element>
    <xsd:element name="Client" ma:index="13" nillable="true" ma:displayName="Klient" ma:description="Automaticky se vyplní podle projektu" ma:hidden="true" ma:internalName="Cli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ACE4-D51A-47C0-8A87-53B1B870B5DD}">
  <ds:schemaRefs>
    <ds:schemaRef ds:uri="http://schemas.microsoft.com/office/2006/metadata/properties"/>
    <ds:schemaRef ds:uri="3385085B-E650-45C5-A9C8-1B04D85DC50C"/>
  </ds:schemaRefs>
</ds:datastoreItem>
</file>

<file path=customXml/itemProps2.xml><?xml version="1.0" encoding="utf-8"?>
<ds:datastoreItem xmlns:ds="http://schemas.openxmlformats.org/officeDocument/2006/customXml" ds:itemID="{464894D5-9FE2-4535-AE3B-9E3F83BC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5085B-E650-45C5-A9C8-1B04D85DC50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22B323-57D8-45DD-9D14-9B373DA2A938}">
  <ds:schemaRefs>
    <ds:schemaRef ds:uri="http://schemas.microsoft.com/sharepoint/v3/contenttype/forms"/>
  </ds:schemaRefs>
</ds:datastoreItem>
</file>

<file path=customXml/itemProps4.xml><?xml version="1.0" encoding="utf-8"?>
<ds:datastoreItem xmlns:ds="http://schemas.openxmlformats.org/officeDocument/2006/customXml" ds:itemID="{86A4FE86-FF05-4970-8AEB-F8BF84B1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rj normal cz en</Template>
  <TotalTime>34</TotalTime>
  <Pages>8</Pages>
  <Words>2943</Words>
  <Characters>17364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028004v2.0</vt:lpstr>
    </vt:vector>
  </TitlesOfParts>
  <Company>rutland ježek, advokátní kancelář</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028004v2.0</dc:title>
  <dc:creator>ecaslavska</dc:creator>
  <cp:lastModifiedBy>Mikula Pavel</cp:lastModifiedBy>
  <cp:revision>9</cp:revision>
  <cp:lastPrinted>2015-03-27T16:35:00Z</cp:lastPrinted>
  <dcterms:created xsi:type="dcterms:W3CDTF">2020-10-02T07:04:00Z</dcterms:created>
  <dcterms:modified xsi:type="dcterms:W3CDTF">2020-11-11T19:57:00Z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0x0101002FC237CD0148944D97AEB0920422539300BE9A1C5B5A53924DA3F503F917A49E89</vt:lpwstr>
  </property>
  <property fmtid="{D5CDD505-2E9C-101B-9397-08002B2CF9AE}" pid="3" name="ProjectID">
    <vt:lpwstr>57</vt:lpwstr>
  </property>
</Properties>
</file>