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692D454B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2C4709">
        <w:rPr>
          <w:rFonts w:ascii="Arial" w:hAnsi="Arial" w:cs="Arial"/>
          <w:sz w:val="20"/>
          <w:szCs w:val="20"/>
        </w:rPr>
        <w:t xml:space="preserve">Ing. </w:t>
      </w:r>
      <w:r w:rsidR="00BD1083">
        <w:rPr>
          <w:rFonts w:ascii="Arial" w:hAnsi="Arial" w:cs="Arial"/>
          <w:sz w:val="20"/>
          <w:szCs w:val="20"/>
        </w:rPr>
        <w:t>Jaroslavem Kociánem</w:t>
      </w:r>
      <w:r w:rsidRPr="002C4709">
        <w:rPr>
          <w:rFonts w:ascii="Arial" w:hAnsi="Arial" w:cs="Arial"/>
          <w:sz w:val="20"/>
          <w:szCs w:val="20"/>
        </w:rPr>
        <w:t>, předsedou představenstva</w:t>
      </w:r>
      <w:r w:rsidRPr="00BF372B">
        <w:rPr>
          <w:rFonts w:ascii="Arial" w:hAnsi="Arial" w:cs="Arial"/>
          <w:sz w:val="20"/>
          <w:szCs w:val="20"/>
        </w:rPr>
        <w:t xml:space="preserve">, a </w:t>
      </w:r>
      <w:r w:rsidR="002250BB">
        <w:rPr>
          <w:rFonts w:ascii="Arial" w:hAnsi="Arial" w:cs="Arial"/>
          <w:sz w:val="20"/>
          <w:szCs w:val="20"/>
        </w:rPr>
        <w:t xml:space="preserve">Ing. Otakarem Krejsou, </w:t>
      </w:r>
      <w:r w:rsidRPr="002C4709">
        <w:rPr>
          <w:rFonts w:ascii="Arial" w:hAnsi="Arial" w:cs="Arial"/>
          <w:sz w:val="20"/>
          <w:szCs w:val="20"/>
        </w:rPr>
        <w:t>místopředsedou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E7546" w14:textId="77777777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6122">
        <w:rPr>
          <w:rFonts w:ascii="Arial" w:hAnsi="Arial" w:cs="Arial"/>
          <w:b/>
          <w:sz w:val="20"/>
          <w:szCs w:val="20"/>
        </w:rPr>
        <w:t>Dětský domov</w:t>
      </w:r>
      <w:r>
        <w:rPr>
          <w:rFonts w:ascii="Arial" w:hAnsi="Arial" w:cs="Arial"/>
          <w:b/>
          <w:sz w:val="20"/>
          <w:szCs w:val="20"/>
        </w:rPr>
        <w:t>,</w:t>
      </w:r>
      <w:r w:rsidRPr="007061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Humpolec, Libická 928</w:t>
      </w:r>
    </w:p>
    <w:p w14:paraId="57D6000E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Libická 928, 396 01 Humpolec </w:t>
      </w:r>
    </w:p>
    <w:p w14:paraId="47CCFC37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70841586</w:t>
      </w:r>
    </w:p>
    <w:p w14:paraId="1DF4AFBC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Humpolec</w:t>
      </w:r>
    </w:p>
    <w:p w14:paraId="4F068C66" w14:textId="08C84F47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</w:p>
    <w:p w14:paraId="4944FB5F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Ing. Pavlem Matouškem, ředitelem 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39F7E971"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</w:t>
      </w:r>
      <w:r w:rsidR="00BB10C1">
        <w:rPr>
          <w:rFonts w:ascii="Arial" w:hAnsi="Arial" w:cs="Arial"/>
          <w:bCs/>
          <w:sz w:val="20"/>
          <w:szCs w:val="20"/>
        </w:rPr>
        <w:t xml:space="preserve"> x</w:t>
      </w:r>
      <w:bookmarkStart w:id="0" w:name="_GoBack"/>
      <w:bookmarkEnd w:id="0"/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r w:rsidR="00BB10C1">
        <w:rPr>
          <w:rFonts w:ascii="Arial" w:hAnsi="Arial" w:cs="Arial"/>
          <w:sz w:val="20"/>
          <w:szCs w:val="20"/>
        </w:rPr>
        <w:t>x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</w:t>
      </w:r>
      <w:proofErr w:type="spellStart"/>
      <w:r w:rsidR="00247480">
        <w:rPr>
          <w:rFonts w:ascii="Arial" w:hAnsi="Arial" w:cs="Arial"/>
          <w:sz w:val="20"/>
          <w:szCs w:val="20"/>
        </w:rPr>
        <w:t xml:space="preserve">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>Dárce p</w:t>
      </w:r>
      <w:proofErr w:type="spellEnd"/>
      <w:r w:rsidRPr="00D56632">
        <w:rPr>
          <w:rFonts w:ascii="Arial" w:hAnsi="Arial" w:cs="Arial"/>
          <w:sz w:val="20"/>
          <w:szCs w:val="20"/>
        </w:rPr>
        <w:t xml:space="preserve">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77777777" w:rsidR="00247480" w:rsidRPr="002C4709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2DD8BD89" w14:textId="3701F910" w:rsidR="00BB5CF4" w:rsidRDefault="000B103D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B5CF4">
        <w:rPr>
          <w:rFonts w:ascii="Arial" w:hAnsi="Arial" w:cs="Arial"/>
          <w:sz w:val="20"/>
          <w:szCs w:val="20"/>
        </w:rPr>
        <w:t>ybavení pokojů dětského domova Obdarovaného</w:t>
      </w:r>
      <w:r w:rsidR="00FD7160">
        <w:rPr>
          <w:rFonts w:ascii="Arial" w:hAnsi="Arial" w:cs="Arial"/>
          <w:sz w:val="20"/>
          <w:szCs w:val="20"/>
        </w:rPr>
        <w:t>,</w:t>
      </w:r>
    </w:p>
    <w:p w14:paraId="540FB298" w14:textId="61BCA7FD" w:rsidR="00BB5CF4" w:rsidRDefault="00BB5CF4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5CF4">
        <w:rPr>
          <w:rFonts w:ascii="Arial" w:hAnsi="Arial" w:cs="Arial"/>
          <w:sz w:val="20"/>
          <w:szCs w:val="20"/>
        </w:rPr>
        <w:t>vybavení rekreační chalupy</w:t>
      </w:r>
      <w:r>
        <w:rPr>
          <w:rFonts w:ascii="Arial" w:hAnsi="Arial" w:cs="Arial"/>
          <w:sz w:val="20"/>
          <w:szCs w:val="20"/>
        </w:rPr>
        <w:t xml:space="preserve"> Obdarovaného</w:t>
      </w:r>
      <w:r w:rsidRPr="00BB5CF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B5CF4">
        <w:rPr>
          <w:rFonts w:ascii="Arial" w:hAnsi="Arial" w:cs="Arial"/>
          <w:sz w:val="20"/>
          <w:szCs w:val="20"/>
        </w:rPr>
        <w:t>Křepinách</w:t>
      </w:r>
      <w:proofErr w:type="spellEnd"/>
      <w:r w:rsidRPr="00BB5CF4">
        <w:rPr>
          <w:rFonts w:ascii="Arial" w:hAnsi="Arial" w:cs="Arial"/>
          <w:sz w:val="20"/>
          <w:szCs w:val="20"/>
        </w:rPr>
        <w:t xml:space="preserve"> nábytkem a lůžkovinami</w:t>
      </w:r>
      <w:r w:rsidR="00FD7160">
        <w:rPr>
          <w:rFonts w:ascii="Arial" w:hAnsi="Arial" w:cs="Arial"/>
          <w:sz w:val="20"/>
          <w:szCs w:val="20"/>
        </w:rPr>
        <w:t>,</w:t>
      </w:r>
    </w:p>
    <w:p w14:paraId="5EF9FDAB" w14:textId="7F40C14A" w:rsidR="00574512" w:rsidRPr="008002A1" w:rsidRDefault="000B103D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sportovních potřeb, a to zejména </w:t>
      </w:r>
      <w:r w:rsidRPr="000B103D">
        <w:rPr>
          <w:rFonts w:ascii="Arial" w:hAnsi="Arial" w:cs="Arial"/>
          <w:sz w:val="20"/>
          <w:szCs w:val="20"/>
        </w:rPr>
        <w:t>2 stany pro 4 osoby</w:t>
      </w:r>
      <w:r>
        <w:rPr>
          <w:rFonts w:ascii="Arial" w:hAnsi="Arial" w:cs="Arial"/>
          <w:sz w:val="20"/>
          <w:szCs w:val="20"/>
        </w:rPr>
        <w:t xml:space="preserve">, </w:t>
      </w:r>
      <w:r w:rsidRPr="000B103D">
        <w:rPr>
          <w:rFonts w:ascii="Arial" w:hAnsi="Arial" w:cs="Arial"/>
          <w:sz w:val="20"/>
          <w:szCs w:val="20"/>
        </w:rPr>
        <w:t>4 stany pro 2 osoby</w:t>
      </w:r>
      <w:r>
        <w:rPr>
          <w:rFonts w:ascii="Arial" w:hAnsi="Arial" w:cs="Arial"/>
          <w:sz w:val="20"/>
          <w:szCs w:val="20"/>
        </w:rPr>
        <w:t>, 20ks lehátek a 20ks kufrů</w:t>
      </w:r>
      <w:r w:rsidR="00574512" w:rsidRPr="008002A1">
        <w:rPr>
          <w:rFonts w:ascii="Arial" w:hAnsi="Arial" w:cs="Arial"/>
          <w:sz w:val="20"/>
          <w:szCs w:val="20"/>
        </w:rPr>
        <w:t>.</w:t>
      </w:r>
    </w:p>
    <w:p w14:paraId="37856236" w14:textId="77777777" w:rsidR="00247480" w:rsidRPr="001955A5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B9AC6C" w14:textId="77777777" w:rsidR="00FD7160" w:rsidRDefault="00FD7160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F51601A" w14:textId="77777777" w:rsidR="00FD7160" w:rsidRDefault="00FD7160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38188274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Práva a povinnosti Smluvních stran</w:t>
      </w:r>
    </w:p>
    <w:p w14:paraId="1B4010BA" w14:textId="77777777"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20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79312F25" w:rsidR="00D612DA" w:rsidRP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5356E9AC" w14:textId="77777777"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77777777"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>Etický kodex je dostupný na webových stránkách http://www.mero.cz/o-spolecnosti/eticky-kodex/.</w:t>
      </w:r>
    </w:p>
    <w:p w14:paraId="2ED56252" w14:textId="77777777"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 xml:space="preserve">, </w:t>
      </w:r>
      <w:r w:rsidRPr="00342B00">
        <w:rPr>
          <w:rFonts w:ascii="Arial" w:hAnsi="Arial" w:cs="Arial"/>
          <w:sz w:val="20"/>
          <w:szCs w:val="20"/>
        </w:rPr>
        <w:lastRenderedPageBreak/>
        <w:t>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F95F3A3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A83F85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02B67723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BF6B13">
              <w:rPr>
                <w:rFonts w:ascii="Arial" w:hAnsi="Arial" w:cs="Arial"/>
                <w:sz w:val="20"/>
                <w:szCs w:val="20"/>
              </w:rPr>
              <w:t>Humpolci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D1083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Otakar Krejsa, místopředseda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41D4ED1" w14:textId="77777777" w:rsidR="00BF6B13" w:rsidRDefault="00BF6B13" w:rsidP="00BF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Matoušek, ředitel </w:t>
            </w:r>
          </w:p>
          <w:p w14:paraId="0B9F330D" w14:textId="77777777"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03FEF">
      <w:headerReference w:type="default" r:id="rId8"/>
      <w:footerReference w:type="default" r:id="rId9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F69D" w14:textId="77777777" w:rsidR="00774225" w:rsidRDefault="00774225" w:rsidP="00903FEF">
      <w:pPr>
        <w:spacing w:after="0" w:line="240" w:lineRule="auto"/>
      </w:pPr>
      <w:r>
        <w:separator/>
      </w:r>
    </w:p>
  </w:endnote>
  <w:endnote w:type="continuationSeparator" w:id="0">
    <w:p w14:paraId="4357799A" w14:textId="77777777" w:rsidR="00774225" w:rsidRDefault="00774225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4EDC" w14:textId="77777777" w:rsidR="00774225" w:rsidRDefault="00774225" w:rsidP="00903FEF">
      <w:pPr>
        <w:spacing w:after="0" w:line="240" w:lineRule="auto"/>
      </w:pPr>
      <w:r>
        <w:separator/>
      </w:r>
    </w:p>
  </w:footnote>
  <w:footnote w:type="continuationSeparator" w:id="0">
    <w:p w14:paraId="7DEFA367" w14:textId="77777777" w:rsidR="00774225" w:rsidRDefault="00774225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0E03655A" w:rsidR="002B3F71" w:rsidRPr="000A0C07" w:rsidRDefault="000A0C07" w:rsidP="000A0C07">
    <w:pPr>
      <w:pStyle w:val="Zhlav"/>
      <w:jc w:val="right"/>
    </w:pPr>
    <w:r w:rsidRPr="000A0C07">
      <w:rPr>
        <w:b/>
        <w:sz w:val="24"/>
        <w:szCs w:val="24"/>
      </w:rPr>
      <w:t>00888/DAR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A0C07"/>
    <w:rsid w:val="000B103D"/>
    <w:rsid w:val="000C7BF5"/>
    <w:rsid w:val="000D3E3B"/>
    <w:rsid w:val="00140985"/>
    <w:rsid w:val="00177687"/>
    <w:rsid w:val="001955A5"/>
    <w:rsid w:val="001D72E0"/>
    <w:rsid w:val="001F2108"/>
    <w:rsid w:val="002100EA"/>
    <w:rsid w:val="002250BB"/>
    <w:rsid w:val="00241284"/>
    <w:rsid w:val="00247480"/>
    <w:rsid w:val="00273A4F"/>
    <w:rsid w:val="00297DB2"/>
    <w:rsid w:val="002A3FCE"/>
    <w:rsid w:val="002B3F71"/>
    <w:rsid w:val="002C4709"/>
    <w:rsid w:val="002C7C8A"/>
    <w:rsid w:val="002D144D"/>
    <w:rsid w:val="00347DBE"/>
    <w:rsid w:val="003E4A0E"/>
    <w:rsid w:val="00481944"/>
    <w:rsid w:val="004860FA"/>
    <w:rsid w:val="004862D0"/>
    <w:rsid w:val="004D3F55"/>
    <w:rsid w:val="0050617C"/>
    <w:rsid w:val="00526E8B"/>
    <w:rsid w:val="0053207F"/>
    <w:rsid w:val="00574512"/>
    <w:rsid w:val="00582CF9"/>
    <w:rsid w:val="005D0A6B"/>
    <w:rsid w:val="0061462C"/>
    <w:rsid w:val="00636A06"/>
    <w:rsid w:val="0067049B"/>
    <w:rsid w:val="006D11EB"/>
    <w:rsid w:val="006D6329"/>
    <w:rsid w:val="00703576"/>
    <w:rsid w:val="00704051"/>
    <w:rsid w:val="007333C3"/>
    <w:rsid w:val="00774225"/>
    <w:rsid w:val="00795710"/>
    <w:rsid w:val="008002A1"/>
    <w:rsid w:val="00812FAD"/>
    <w:rsid w:val="00817757"/>
    <w:rsid w:val="008553D8"/>
    <w:rsid w:val="00871EDC"/>
    <w:rsid w:val="00887B24"/>
    <w:rsid w:val="008B145F"/>
    <w:rsid w:val="008B2541"/>
    <w:rsid w:val="008B4BF1"/>
    <w:rsid w:val="008E4434"/>
    <w:rsid w:val="009030A1"/>
    <w:rsid w:val="00903FEF"/>
    <w:rsid w:val="009053BD"/>
    <w:rsid w:val="0095625B"/>
    <w:rsid w:val="00A15D9C"/>
    <w:rsid w:val="00A559DD"/>
    <w:rsid w:val="00A603AD"/>
    <w:rsid w:val="00A71DD1"/>
    <w:rsid w:val="00A83F85"/>
    <w:rsid w:val="00AA7755"/>
    <w:rsid w:val="00AC0A68"/>
    <w:rsid w:val="00AC1563"/>
    <w:rsid w:val="00AC4704"/>
    <w:rsid w:val="00AE3CD9"/>
    <w:rsid w:val="00AE7ACE"/>
    <w:rsid w:val="00B05090"/>
    <w:rsid w:val="00B1015C"/>
    <w:rsid w:val="00B201EF"/>
    <w:rsid w:val="00B4114B"/>
    <w:rsid w:val="00B7203B"/>
    <w:rsid w:val="00B9724C"/>
    <w:rsid w:val="00BB10C1"/>
    <w:rsid w:val="00BB5CF4"/>
    <w:rsid w:val="00BC48B1"/>
    <w:rsid w:val="00BC6F1B"/>
    <w:rsid w:val="00BD1083"/>
    <w:rsid w:val="00BF372B"/>
    <w:rsid w:val="00BF6B13"/>
    <w:rsid w:val="00C51279"/>
    <w:rsid w:val="00C74577"/>
    <w:rsid w:val="00C954B8"/>
    <w:rsid w:val="00CB5C1B"/>
    <w:rsid w:val="00D26E96"/>
    <w:rsid w:val="00D46104"/>
    <w:rsid w:val="00D56632"/>
    <w:rsid w:val="00D612DA"/>
    <w:rsid w:val="00DC331C"/>
    <w:rsid w:val="00E06050"/>
    <w:rsid w:val="00E37B6E"/>
    <w:rsid w:val="00ED610A"/>
    <w:rsid w:val="00EE358D"/>
    <w:rsid w:val="00EF3FF8"/>
    <w:rsid w:val="00FB23AF"/>
    <w:rsid w:val="00FB77B7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36EE-3D11-472F-9014-6A00286D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Kateřina Nývltová</cp:lastModifiedBy>
  <cp:revision>2</cp:revision>
  <cp:lastPrinted>2019-11-14T09:22:00Z</cp:lastPrinted>
  <dcterms:created xsi:type="dcterms:W3CDTF">2020-11-11T10:30:00Z</dcterms:created>
  <dcterms:modified xsi:type="dcterms:W3CDTF">2020-11-11T10:30:00Z</dcterms:modified>
</cp:coreProperties>
</file>