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8D6671">
        <w:rPr>
          <w:b/>
          <w:sz w:val="32"/>
          <w:szCs w:val="32"/>
        </w:rPr>
        <w:t xml:space="preserve"> </w:t>
      </w:r>
      <w:r w:rsidR="00A24142">
        <w:rPr>
          <w:b/>
          <w:sz w:val="32"/>
          <w:szCs w:val="32"/>
        </w:rPr>
        <w:t>1</w:t>
      </w:r>
      <w:r w:rsidRPr="00110048">
        <w:rPr>
          <w:b/>
          <w:sz w:val="32"/>
          <w:szCs w:val="32"/>
        </w:rPr>
        <w:t>/201</w:t>
      </w:r>
      <w:r w:rsidR="002F0DEB">
        <w:rPr>
          <w:b/>
          <w:sz w:val="32"/>
          <w:szCs w:val="32"/>
        </w:rPr>
        <w:t>5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A24142">
        <w:rPr>
          <w:b/>
          <w:sz w:val="32"/>
          <w:szCs w:val="32"/>
        </w:rPr>
        <w:t>P/0510030</w:t>
      </w:r>
      <w:r w:rsidRPr="00110048">
        <w:rPr>
          <w:b/>
          <w:sz w:val="32"/>
          <w:szCs w:val="32"/>
        </w:rPr>
        <w:fldChar w:fldCharType="end"/>
      </w:r>
    </w:p>
    <w:p w:rsidR="00110048" w:rsidRDefault="00110048" w:rsidP="00110048">
      <w:pPr>
        <w:jc w:val="center"/>
        <w:rPr>
          <w:b/>
        </w:rPr>
      </w:pPr>
      <w:r w:rsidRPr="00110048">
        <w:rPr>
          <w:b/>
        </w:rPr>
        <w:t xml:space="preserve">o rozšíření licence programového systému PERM 3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:rsidR="00A24142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A24142">
              <w:rPr>
                <w:b/>
              </w:rPr>
              <w:t xml:space="preserve">ZŠ Dr. Hrubého 2, Šternberk, </w:t>
            </w:r>
            <w:r w:rsidRPr="008D2973">
              <w:rPr>
                <w:b/>
              </w:rPr>
              <w:fldChar w:fldCharType="end"/>
            </w:r>
            <w:bookmarkEnd w:id="0"/>
          </w:p>
          <w:p w:rsidR="00110048" w:rsidRDefault="00A24142" w:rsidP="00110048">
            <w:pPr>
              <w:spacing w:before="60" w:after="60"/>
              <w:rPr>
                <w:b/>
              </w:rPr>
            </w:pPr>
            <w:r>
              <w:rPr>
                <w:b/>
              </w:rPr>
              <w:t>příspěvková organizace</w:t>
            </w:r>
          </w:p>
          <w:p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A24142">
              <w:t>Dr. Hrubého 319/2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</w:p>
          <w:p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2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A24142">
              <w:t>78501</w:t>
            </w:r>
            <w:r w:rsidRPr="008D2973">
              <w:fldChar w:fldCharType="end"/>
            </w:r>
            <w:bookmarkEnd w:id="2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3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A24142">
              <w:t>Šternberk</w:t>
            </w:r>
            <w:r w:rsidRPr="008D2973">
              <w:fldChar w:fldCharType="end"/>
            </w:r>
            <w:bookmarkEnd w:id="3"/>
          </w:p>
        </w:tc>
      </w:tr>
      <w:tr w:rsidR="00A24142" w:rsidRPr="006E54B8" w:rsidTr="00780CBD">
        <w:tc>
          <w:tcPr>
            <w:tcW w:w="4395" w:type="dxa"/>
            <w:vAlign w:val="center"/>
          </w:tcPr>
          <w:p w:rsidR="00A24142" w:rsidRPr="006E54B8" w:rsidRDefault="00A24142" w:rsidP="00780CBD">
            <w:pPr>
              <w:spacing w:before="60" w:after="60"/>
              <w:rPr>
                <w:b/>
              </w:rPr>
            </w:pPr>
            <w:r>
              <w:rPr>
                <w:b/>
              </w:rPr>
              <w:t>Spisová značka :</w:t>
            </w:r>
          </w:p>
        </w:tc>
        <w:tc>
          <w:tcPr>
            <w:tcW w:w="4709" w:type="dxa"/>
            <w:vAlign w:val="center"/>
          </w:tcPr>
          <w:p w:rsidR="00A24142" w:rsidRDefault="00A24142" w:rsidP="00A24142">
            <w:pPr>
              <w:keepNext/>
            </w:pPr>
            <w:proofErr w:type="spellStart"/>
            <w:r w:rsidRPr="00A24142">
              <w:rPr>
                <w:rFonts w:asciiTheme="minorHAnsi" w:hAnsiTheme="minorHAnsi" w:cstheme="minorHAnsi"/>
              </w:rPr>
              <w:t>Pr</w:t>
            </w:r>
            <w:proofErr w:type="spellEnd"/>
            <w:r w:rsidRPr="00A24142">
              <w:rPr>
                <w:rFonts w:asciiTheme="minorHAnsi" w:hAnsiTheme="minorHAnsi" w:cstheme="minorHAnsi"/>
              </w:rPr>
              <w:t xml:space="preserve"> 1013 vedená u Krajského soudu v Ostravě 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A24142" w:rsidP="00A24142">
            <w:pPr>
              <w:spacing w:before="60" w:after="60"/>
            </w:pPr>
            <w:r>
              <w:t>Mgr. Vlasta Šafránková, ředitelka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CE2DB9">
              <w:rPr>
                <w:highlight w:val="black"/>
              </w:rPr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CE2DB9">
              <w:rPr>
                <w:highlight w:val="black"/>
              </w:rPr>
              <w:instrText xml:space="preserve"> FORMTEXT </w:instrText>
            </w:r>
            <w:r w:rsidRPr="00CE2DB9">
              <w:rPr>
                <w:highlight w:val="black"/>
              </w:rPr>
            </w:r>
            <w:r w:rsidRPr="00CE2DB9">
              <w:rPr>
                <w:highlight w:val="black"/>
              </w:rPr>
              <w:fldChar w:fldCharType="separate"/>
            </w:r>
            <w:r w:rsidR="00A24142" w:rsidRPr="00CE2DB9">
              <w:rPr>
                <w:highlight w:val="black"/>
              </w:rPr>
              <w:t>61989991</w:t>
            </w:r>
            <w:r w:rsidRPr="00CE2DB9">
              <w:rPr>
                <w:highlight w:val="black"/>
              </w:rPr>
              <w:fldChar w:fldCharType="end"/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4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A24142">
              <w:t> </w:t>
            </w:r>
            <w:r w:rsidR="00A24142">
              <w:t> </w:t>
            </w:r>
            <w:r w:rsidR="00A24142">
              <w:t> </w:t>
            </w:r>
            <w:r w:rsidR="00A24142">
              <w:t> </w:t>
            </w:r>
            <w:r w:rsidR="00A24142">
              <w:t> </w:t>
            </w:r>
            <w:r w:rsidRPr="008D2973">
              <w:fldChar w:fldCharType="end"/>
            </w:r>
            <w:bookmarkEnd w:id="4"/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A24142" w:rsidRPr="006E54B8" w:rsidTr="00C117C5">
        <w:tc>
          <w:tcPr>
            <w:tcW w:w="4498" w:type="dxa"/>
            <w:vAlign w:val="center"/>
          </w:tcPr>
          <w:p w:rsidR="00A24142" w:rsidRPr="006E54B8" w:rsidRDefault="00A24142" w:rsidP="00A24142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Zapis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4606" w:type="dxa"/>
            <w:vAlign w:val="center"/>
          </w:tcPr>
          <w:p w:rsidR="00A24142" w:rsidRPr="006E54B8" w:rsidRDefault="00A24142" w:rsidP="00D83800">
            <w:pPr>
              <w:spacing w:before="60" w:after="60"/>
            </w:pPr>
            <w:r>
              <w:t>OR u KOS v Brně, oddíl C, vložka 907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CE2DB9">
              <w:rPr>
                <w:highlight w:val="black"/>
              </w:rPr>
              <w:t>005 69 135</w:t>
            </w:r>
            <w:bookmarkStart w:id="5" w:name="_GoBack"/>
            <w:bookmarkEnd w:id="5"/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CE2DB9">
              <w:rPr>
                <w:highlight w:val="black"/>
              </w:rPr>
              <w:t>CZ 005 69 135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AC60F6" w:rsidRPr="006E54B8" w:rsidRDefault="00AC60F6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066F05" w:rsidRPr="006E54B8" w:rsidRDefault="00066F05" w:rsidP="00AC60F6"/>
    <w:p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:rsidR="005A2E2F" w:rsidRPr="006E54B8" w:rsidRDefault="008D6671" w:rsidP="008D6671">
      <w:pPr>
        <w:pStyle w:val="Default"/>
      </w:pPr>
      <w:r>
        <w:rPr>
          <w:sz w:val="22"/>
          <w:szCs w:val="22"/>
        </w:rPr>
        <w:t xml:space="preserve">Změna parametrů provozované licence na verzi </w:t>
      </w:r>
      <w:r w:rsidRPr="00A24142">
        <w:rPr>
          <w:b/>
          <w:sz w:val="22"/>
          <w:szCs w:val="22"/>
        </w:rPr>
        <w:t xml:space="preserve">do </w:t>
      </w:r>
      <w:r w:rsidR="00A24142" w:rsidRPr="00A24142">
        <w:rPr>
          <w:b/>
          <w:sz w:val="22"/>
          <w:szCs w:val="22"/>
        </w:rPr>
        <w:t>75</w:t>
      </w:r>
      <w:r w:rsidRPr="00A24142">
        <w:rPr>
          <w:b/>
          <w:sz w:val="22"/>
          <w:szCs w:val="22"/>
        </w:rPr>
        <w:t xml:space="preserve"> osob</w:t>
      </w:r>
      <w:r w:rsidR="00FA0937" w:rsidRPr="00A24142">
        <w:rPr>
          <w:b/>
          <w:sz w:val="22"/>
          <w:szCs w:val="22"/>
        </w:rPr>
        <w:t>ních čísel</w:t>
      </w:r>
      <w:r w:rsidR="00A24142">
        <w:rPr>
          <w:sz w:val="22"/>
          <w:szCs w:val="22"/>
        </w:rPr>
        <w:t xml:space="preserve"> </w:t>
      </w:r>
      <w:r w:rsidR="00D571D7">
        <w:rPr>
          <w:sz w:val="22"/>
          <w:szCs w:val="22"/>
        </w:rPr>
        <w:t xml:space="preserve"> </w:t>
      </w:r>
      <w:r w:rsidR="00A24142">
        <w:rPr>
          <w:sz w:val="22"/>
          <w:szCs w:val="22"/>
        </w:rPr>
        <w:t>v 1</w:t>
      </w:r>
      <w:r>
        <w:rPr>
          <w:sz w:val="22"/>
          <w:szCs w:val="22"/>
        </w:rPr>
        <w:t xml:space="preserve"> databáz</w:t>
      </w:r>
      <w:r w:rsidR="00A24142">
        <w:rPr>
          <w:sz w:val="22"/>
          <w:szCs w:val="22"/>
        </w:rPr>
        <w:t>i</w:t>
      </w:r>
      <w:r>
        <w:rPr>
          <w:sz w:val="22"/>
          <w:szCs w:val="22"/>
        </w:rPr>
        <w:t>,</w:t>
      </w:r>
      <w:r w:rsidR="00A24142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 uživatelsk</w:t>
      </w:r>
      <w:r w:rsidR="00A24142">
        <w:rPr>
          <w:sz w:val="22"/>
          <w:szCs w:val="22"/>
        </w:rPr>
        <w:t>ý</w:t>
      </w:r>
      <w:r>
        <w:rPr>
          <w:sz w:val="22"/>
          <w:szCs w:val="22"/>
        </w:rPr>
        <w:t xml:space="preserve"> přístup.</w:t>
      </w:r>
      <w:r w:rsidR="00066F05" w:rsidRPr="00066F05">
        <w:t xml:space="preserve">   </w:t>
      </w:r>
    </w:p>
    <w:p w:rsidR="004F38E4" w:rsidRDefault="00066F05" w:rsidP="00B87DC0">
      <w:pPr>
        <w:pStyle w:val="Nadpis1"/>
      </w:pPr>
      <w:bookmarkStart w:id="7" w:name="_Toc371431001"/>
      <w:r>
        <w:br w:type="page"/>
      </w:r>
      <w:r w:rsidR="004F38E4" w:rsidRPr="006E54B8">
        <w:lastRenderedPageBreak/>
        <w:t>Cenová a platební ujednání</w:t>
      </w:r>
      <w:bookmarkEnd w:id="7"/>
    </w:p>
    <w:p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7E32AC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 (</w:t>
            </w:r>
            <w:r w:rsidR="00401FF7">
              <w:t>navýšení o</w:t>
            </w:r>
            <w:r>
              <w:t xml:space="preserve">  </w:t>
            </w:r>
            <w:r w:rsidR="00A24142">
              <w:t>2</w:t>
            </w:r>
            <w:r w:rsidR="007E32AC">
              <w:t>5</w:t>
            </w:r>
            <w:r w:rsidR="00A24142">
              <w:t xml:space="preserve"> </w:t>
            </w:r>
            <w:r>
              <w:t>osob</w:t>
            </w:r>
            <w:r w:rsidR="00FA0937">
              <w:t>ních čísel</w:t>
            </w:r>
            <w:r>
              <w:t>)</w:t>
            </w:r>
          </w:p>
        </w:tc>
        <w:tc>
          <w:tcPr>
            <w:tcW w:w="2016" w:type="dxa"/>
            <w:shd w:val="clear" w:color="auto" w:fill="auto"/>
          </w:tcPr>
          <w:p w:rsidR="00066F05" w:rsidRDefault="00A24142" w:rsidP="008B4D2B">
            <w:pPr>
              <w:jc w:val="right"/>
            </w:pPr>
            <w:r>
              <w:t>3.400,-</w:t>
            </w:r>
            <w:r w:rsidR="00066F05">
              <w:t xml:space="preserve"> Kč</w:t>
            </w:r>
          </w:p>
        </w:tc>
      </w:tr>
      <w:tr w:rsidR="00066F05" w:rsidTr="00332D1D">
        <w:tc>
          <w:tcPr>
            <w:tcW w:w="7196" w:type="dxa"/>
            <w:shd w:val="clear" w:color="auto" w:fill="auto"/>
          </w:tcPr>
          <w:p w:rsidR="00066F05" w:rsidRDefault="00066F05" w:rsidP="007E32AC">
            <w:pPr>
              <w:pStyle w:val="Odstavecseseznamem"/>
              <w:numPr>
                <w:ilvl w:val="0"/>
                <w:numId w:val="3"/>
              </w:numPr>
            </w:pPr>
            <w:r>
              <w:t xml:space="preserve">úprava ceny </w:t>
            </w:r>
            <w:r w:rsidR="007E32AC">
              <w:t xml:space="preserve">roční </w:t>
            </w:r>
            <w:r>
              <w:t>„Technické podpory“</w:t>
            </w:r>
            <w:r w:rsidR="008D6671">
              <w:t xml:space="preserve"> (navýšení o </w:t>
            </w:r>
            <w:r w:rsidR="007E32AC">
              <w:t xml:space="preserve">3.400,- </w:t>
            </w:r>
            <w:r w:rsidR="008D6671">
              <w:t>Kč)</w:t>
            </w:r>
          </w:p>
        </w:tc>
        <w:tc>
          <w:tcPr>
            <w:tcW w:w="2016" w:type="dxa"/>
            <w:shd w:val="clear" w:color="auto" w:fill="auto"/>
          </w:tcPr>
          <w:p w:rsidR="00066F05" w:rsidRDefault="007E32AC" w:rsidP="007E32AC">
            <w:pPr>
              <w:jc w:val="right"/>
            </w:pPr>
            <w:r>
              <w:t xml:space="preserve">10.200,- </w:t>
            </w:r>
            <w:r w:rsidR="00066F05">
              <w:t>Kč / rok</w:t>
            </w:r>
          </w:p>
        </w:tc>
      </w:tr>
    </w:tbl>
    <w:p w:rsidR="00066F05" w:rsidRDefault="00066F05" w:rsidP="00066F05"/>
    <w:p w:rsidR="00066F05" w:rsidRDefault="00066F05" w:rsidP="00066F05">
      <w:r>
        <w:t>K uvedeným cenám bude účtována DPH dle aktuálně platného zákona o DPH.</w:t>
      </w:r>
    </w:p>
    <w:p w:rsidR="00066F05" w:rsidRDefault="00066F05" w:rsidP="00066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F05" w:rsidRDefault="00066F05" w:rsidP="007E32AC">
      <w:pPr>
        <w:jc w:val="both"/>
      </w:pPr>
      <w:r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:rsidR="00066F05" w:rsidRDefault="00066F05" w:rsidP="00066F05"/>
    <w:p w:rsidR="00066F05" w:rsidRDefault="00066F05" w:rsidP="007E32AC">
      <w:pPr>
        <w:jc w:val="both"/>
      </w:pPr>
      <w:r>
        <w:t xml:space="preserve">Fakturace dle bodu </w:t>
      </w:r>
      <w:r w:rsidR="00401FF7">
        <w:t>b</w:t>
      </w:r>
      <w:r>
        <w:t>) bude realizována dodavatelem pololetně, formou dvou faktur, každé v</w:t>
      </w:r>
      <w:r w:rsidR="008D6671">
        <w:t>e výši ½ ročního poplatku, tj.</w:t>
      </w:r>
      <w:r w:rsidR="007E32AC">
        <w:t xml:space="preserve"> 5.100,- </w:t>
      </w:r>
      <w:r>
        <w:t>Kč + DPH, vystavených dodavatelem odběrateli vždy v měsíci  dubnu a říjnu příslušného kalendářního roku. První fakturace v této částce bude uskut</w:t>
      </w:r>
      <w:r w:rsidR="002F0DEB">
        <w:t xml:space="preserve">ečněna v měsíci </w:t>
      </w:r>
      <w:r w:rsidR="007E32AC">
        <w:t>dubnu  2016.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D55C84" w:rsidRDefault="00D55C84" w:rsidP="00D55C84"/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</w:t>
      </w:r>
      <w:r w:rsidR="002F0DEB">
        <w:t xml:space="preserve">a účinnosti </w:t>
      </w:r>
      <w:r>
        <w:t xml:space="preserve">dnem podpisu obou smluvních stran. </w:t>
      </w:r>
    </w:p>
    <w:p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:rsidR="00D55C84" w:rsidRDefault="00D55C84" w:rsidP="00D55C84"/>
    <w:p w:rsidR="003E3AB1" w:rsidRDefault="003E3AB1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112740">
        <w:t xml:space="preserve">  2015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="00112740">
        <w:t>2015</w:t>
      </w:r>
      <w:r w:rsidRPr="006E54B8">
        <w:tab/>
        <w:t>.........................................................</w:t>
      </w:r>
    </w:p>
    <w:p w:rsidR="00AA7289" w:rsidRDefault="00C117C5" w:rsidP="00E5151F">
      <w:pPr>
        <w:tabs>
          <w:tab w:val="left" w:pos="4820"/>
        </w:tabs>
      </w:pPr>
      <w:r w:rsidRPr="006E54B8">
        <w:tab/>
      </w:r>
      <w:r w:rsidR="007E32AC">
        <w:t>Mgr. Vlasta Šafránková, ředitelka</w:t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  <w:r>
        <w:tab/>
      </w:r>
    </w:p>
    <w:p w:rsidR="00AA7289" w:rsidRDefault="00AA7289" w:rsidP="00E5151F">
      <w:pPr>
        <w:tabs>
          <w:tab w:val="left" w:pos="4820"/>
        </w:tabs>
      </w:pPr>
    </w:p>
    <w:p w:rsidR="00AA7289" w:rsidRDefault="00AA7289" w:rsidP="00E5151F">
      <w:pPr>
        <w:tabs>
          <w:tab w:val="left" w:pos="4820"/>
        </w:tabs>
      </w:pPr>
    </w:p>
    <w:p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7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42" w:rsidRDefault="00A24142" w:rsidP="00AC60F6">
      <w:r>
        <w:separator/>
      </w:r>
    </w:p>
    <w:p w:rsidR="00A24142" w:rsidRDefault="00A24142" w:rsidP="00AC60F6"/>
    <w:p w:rsidR="00A24142" w:rsidRDefault="00A24142" w:rsidP="00AC60F6"/>
    <w:p w:rsidR="00A24142" w:rsidRDefault="00A24142" w:rsidP="00AC60F6"/>
    <w:p w:rsidR="00A24142" w:rsidRDefault="00A24142" w:rsidP="00AC60F6"/>
  </w:endnote>
  <w:endnote w:type="continuationSeparator" w:id="0">
    <w:p w:rsidR="00A24142" w:rsidRDefault="00A24142" w:rsidP="00AC60F6">
      <w:r>
        <w:continuationSeparator/>
      </w:r>
    </w:p>
    <w:p w:rsidR="00A24142" w:rsidRDefault="00A24142" w:rsidP="00AC60F6"/>
    <w:p w:rsidR="00A24142" w:rsidRDefault="00A24142" w:rsidP="00AC60F6"/>
    <w:p w:rsidR="00A24142" w:rsidRDefault="00A24142" w:rsidP="00AC60F6"/>
    <w:p w:rsidR="00A24142" w:rsidRDefault="00A24142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3" w:rsidRPr="00A23575" w:rsidRDefault="00D571D7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1016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8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/yySI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1D7">
      <w:rPr>
        <w:noProof/>
      </w:rPr>
      <w:t>1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42" w:rsidRDefault="00A24142" w:rsidP="00AC60F6">
      <w:r>
        <w:separator/>
      </w:r>
    </w:p>
    <w:p w:rsidR="00A24142" w:rsidRDefault="00A24142" w:rsidP="00AC60F6"/>
    <w:p w:rsidR="00A24142" w:rsidRDefault="00A24142" w:rsidP="00AC60F6"/>
    <w:p w:rsidR="00A24142" w:rsidRDefault="00A24142" w:rsidP="00AC60F6"/>
    <w:p w:rsidR="00A24142" w:rsidRDefault="00A24142" w:rsidP="00AC60F6"/>
  </w:footnote>
  <w:footnote w:type="continuationSeparator" w:id="0">
    <w:p w:rsidR="00A24142" w:rsidRDefault="00A24142" w:rsidP="00AC60F6">
      <w:r>
        <w:continuationSeparator/>
      </w:r>
    </w:p>
    <w:p w:rsidR="00A24142" w:rsidRDefault="00A24142" w:rsidP="00AC60F6"/>
    <w:p w:rsidR="00A24142" w:rsidRDefault="00A24142" w:rsidP="00AC60F6"/>
    <w:p w:rsidR="00A24142" w:rsidRDefault="00A24142" w:rsidP="00AC60F6"/>
    <w:p w:rsidR="00A24142" w:rsidRDefault="00A24142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142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2740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2AC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4142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2DB9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1D7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5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7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3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9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2015-11-19T11:58:00Z</dcterms:created>
  <dcterms:modified xsi:type="dcterms:W3CDTF">2020-11-10T08:35:00Z</dcterms:modified>
</cp:coreProperties>
</file>