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5F07" w14:textId="77777777" w:rsidR="00C41C31" w:rsidRDefault="00C41C31" w:rsidP="00FC525B">
      <w:pPr>
        <w:pStyle w:val="Zkladntext"/>
        <w:jc w:val="center"/>
        <w:rPr>
          <w:rFonts w:ascii="Segoe UI" w:hAnsi="Segoe UI" w:cs="Segoe UI"/>
          <w:color w:val="808080" w:themeColor="background1" w:themeShade="80"/>
          <w:sz w:val="32"/>
          <w:szCs w:val="32"/>
        </w:rPr>
      </w:pPr>
    </w:p>
    <w:p w14:paraId="4FAAA75C" w14:textId="77777777" w:rsidR="00C41C31" w:rsidRDefault="00C41C31" w:rsidP="00FC525B">
      <w:pPr>
        <w:pStyle w:val="Zkladntext"/>
        <w:jc w:val="center"/>
        <w:rPr>
          <w:rFonts w:ascii="Segoe UI" w:hAnsi="Segoe UI" w:cs="Segoe UI"/>
          <w:color w:val="808080" w:themeColor="background1" w:themeShade="80"/>
          <w:sz w:val="32"/>
          <w:szCs w:val="32"/>
        </w:rPr>
      </w:pPr>
    </w:p>
    <w:p w14:paraId="035391E0" w14:textId="409880E3"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595C3A">
        <w:rPr>
          <w:rFonts w:ascii="Segoe UI" w:hAnsi="Segoe UI" w:cs="Segoe UI"/>
          <w:noProof/>
          <w:color w:val="808080" w:themeColor="background1" w:themeShade="80"/>
          <w:sz w:val="32"/>
          <w:szCs w:val="32"/>
        </w:rPr>
        <w:t>01712042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2AB8CFAA"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IČ</w:t>
      </w:r>
      <w:r w:rsidR="00A21502">
        <w:rPr>
          <w:rFonts w:ascii="Segoe UI" w:hAnsi="Segoe UI" w:cs="Segoe UI"/>
          <w:color w:val="auto"/>
          <w:sz w:val="20"/>
        </w:rPr>
        <w:t>O</w:t>
      </w:r>
      <w:r w:rsidRPr="00720CC5">
        <w:rPr>
          <w:rFonts w:ascii="Segoe UI" w:hAnsi="Segoe UI" w:cs="Segoe UI"/>
          <w:color w:val="auto"/>
          <w:sz w:val="20"/>
        </w:rPr>
        <w:t xml:space="preserve">: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3B8F67B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00A21502">
        <w:rPr>
          <w:rFonts w:ascii="Segoe UI" w:hAnsi="Segoe UI" w:cs="Segoe UI"/>
          <w:color w:val="auto"/>
          <w:sz w:val="20"/>
        </w:rPr>
        <w:t>4</w:t>
      </w:r>
      <w:r w:rsidRPr="00720CC5">
        <w:rPr>
          <w:rFonts w:ascii="Segoe UI" w:hAnsi="Segoe UI" w:cs="Segoe UI"/>
          <w:color w:val="auto"/>
          <w:sz w:val="20"/>
        </w:rPr>
        <w:t>000</w:t>
      </w:r>
      <w:r w:rsidR="00A21502">
        <w:rPr>
          <w:rFonts w:ascii="Segoe UI" w:hAnsi="Segoe UI" w:cs="Segoe UI"/>
          <w:color w:val="auto"/>
          <w:sz w:val="20"/>
        </w:rPr>
        <w:t>2</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7CCCEDB6" w14:textId="77777777" w:rsidR="00595C3A" w:rsidRPr="00595C3A" w:rsidRDefault="00595C3A" w:rsidP="00595C3A">
      <w:pPr>
        <w:pStyle w:val="Zkladntext"/>
        <w:rPr>
          <w:rFonts w:ascii="Segoe UI" w:hAnsi="Segoe UI" w:cs="Segoe UI"/>
          <w:b/>
          <w:noProof/>
          <w:sz w:val="20"/>
        </w:rPr>
      </w:pPr>
      <w:r w:rsidRPr="00595C3A">
        <w:rPr>
          <w:rFonts w:ascii="Segoe UI" w:hAnsi="Segoe UI" w:cs="Segoe UI"/>
          <w:b/>
          <w:noProof/>
          <w:sz w:val="20"/>
        </w:rPr>
        <w:t>Arega s.r.o.</w:t>
      </w:r>
    </w:p>
    <w:p w14:paraId="5CC8561A" w14:textId="77777777"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obchodní společnost zapsaná v obchodním rejstříku vedeném Krajským soudem v Ústí nad Labem, oddíl C, vložka 28632</w:t>
      </w:r>
    </w:p>
    <w:p w14:paraId="0C9C0E5F" w14:textId="77777777"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 xml:space="preserve">se sídlem:  </w:t>
      </w:r>
      <w:r w:rsidRPr="00595C3A">
        <w:rPr>
          <w:rFonts w:ascii="Segoe UI" w:hAnsi="Segoe UI" w:cs="Segoe UI"/>
          <w:noProof/>
          <w:sz w:val="20"/>
        </w:rPr>
        <w:tab/>
      </w:r>
      <w:r w:rsidRPr="00595C3A">
        <w:rPr>
          <w:rFonts w:ascii="Segoe UI" w:hAnsi="Segoe UI" w:cs="Segoe UI"/>
          <w:noProof/>
          <w:sz w:val="20"/>
        </w:rPr>
        <w:tab/>
        <w:t xml:space="preserve">             Rokelská 1858, 432 01 Kadaň</w:t>
      </w:r>
    </w:p>
    <w:p w14:paraId="59E00DB4" w14:textId="77777777"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 xml:space="preserve">IČ: </w:t>
      </w:r>
      <w:r w:rsidRPr="00595C3A">
        <w:rPr>
          <w:rFonts w:ascii="Segoe UI" w:hAnsi="Segoe UI" w:cs="Segoe UI"/>
          <w:noProof/>
          <w:sz w:val="20"/>
        </w:rPr>
        <w:tab/>
      </w:r>
      <w:r w:rsidRPr="00595C3A">
        <w:rPr>
          <w:rFonts w:ascii="Segoe UI" w:hAnsi="Segoe UI" w:cs="Segoe UI"/>
          <w:noProof/>
          <w:sz w:val="20"/>
        </w:rPr>
        <w:tab/>
      </w:r>
      <w:r w:rsidRPr="00595C3A">
        <w:rPr>
          <w:rFonts w:ascii="Segoe UI" w:hAnsi="Segoe UI" w:cs="Segoe UI"/>
          <w:noProof/>
          <w:sz w:val="20"/>
        </w:rPr>
        <w:tab/>
      </w:r>
      <w:r w:rsidRPr="00595C3A">
        <w:rPr>
          <w:rFonts w:ascii="Segoe UI" w:hAnsi="Segoe UI" w:cs="Segoe UI"/>
          <w:noProof/>
          <w:sz w:val="20"/>
        </w:rPr>
        <w:tab/>
        <w:t>28720024</w:t>
      </w:r>
    </w:p>
    <w:p w14:paraId="037A9F44" w14:textId="6AF86558"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 xml:space="preserve">zastoupená: </w:t>
      </w:r>
      <w:r w:rsidRPr="00595C3A">
        <w:rPr>
          <w:rFonts w:ascii="Segoe UI" w:hAnsi="Segoe UI" w:cs="Segoe UI"/>
          <w:noProof/>
          <w:sz w:val="20"/>
        </w:rPr>
        <w:tab/>
      </w:r>
      <w:r w:rsidRPr="00595C3A">
        <w:rPr>
          <w:rFonts w:ascii="Segoe UI" w:hAnsi="Segoe UI" w:cs="Segoe UI"/>
          <w:noProof/>
          <w:sz w:val="20"/>
        </w:rPr>
        <w:tab/>
      </w:r>
      <w:r w:rsidRPr="00595C3A">
        <w:rPr>
          <w:rFonts w:ascii="Segoe UI" w:hAnsi="Segoe UI" w:cs="Segoe UI"/>
          <w:noProof/>
          <w:sz w:val="20"/>
        </w:rPr>
        <w:tab/>
        <w:t>Michalem J a k o u b k e m, jednatelem</w:t>
      </w:r>
    </w:p>
    <w:p w14:paraId="123CA443" w14:textId="66CC21F6"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 xml:space="preserve">bankovní spojení:       </w:t>
      </w:r>
      <w:r w:rsidRPr="00595C3A">
        <w:rPr>
          <w:rFonts w:ascii="Segoe UI" w:hAnsi="Segoe UI" w:cs="Segoe UI"/>
          <w:noProof/>
          <w:sz w:val="20"/>
        </w:rPr>
        <w:tab/>
      </w:r>
      <w:r w:rsidRPr="00595C3A">
        <w:rPr>
          <w:rFonts w:ascii="Segoe UI" w:hAnsi="Segoe UI" w:cs="Segoe UI"/>
          <w:noProof/>
          <w:sz w:val="20"/>
        </w:rPr>
        <w:tab/>
      </w:r>
      <w:r w:rsidR="00D92925">
        <w:rPr>
          <w:rFonts w:ascii="Segoe UI" w:hAnsi="Segoe UI" w:cs="Segoe UI"/>
          <w:noProof/>
          <w:sz w:val="20"/>
        </w:rPr>
        <w:t>xxxxxxxxxxxxxxxxxxxx</w:t>
      </w:r>
      <w:r w:rsidRPr="00595C3A">
        <w:rPr>
          <w:rFonts w:ascii="Segoe UI" w:hAnsi="Segoe UI" w:cs="Segoe UI"/>
          <w:noProof/>
          <w:sz w:val="20"/>
        </w:rPr>
        <w:t xml:space="preserve"> </w:t>
      </w:r>
    </w:p>
    <w:p w14:paraId="3B76466D" w14:textId="1787CF00" w:rsidR="00595C3A" w:rsidRPr="00595C3A" w:rsidRDefault="00595C3A" w:rsidP="00595C3A">
      <w:pPr>
        <w:pStyle w:val="Zkladntext"/>
        <w:rPr>
          <w:rFonts w:ascii="Segoe UI" w:hAnsi="Segoe UI" w:cs="Segoe UI"/>
          <w:noProof/>
          <w:sz w:val="20"/>
        </w:rPr>
      </w:pPr>
      <w:r w:rsidRPr="00595C3A">
        <w:rPr>
          <w:rFonts w:ascii="Segoe UI" w:hAnsi="Segoe UI" w:cs="Segoe UI"/>
          <w:noProof/>
          <w:sz w:val="20"/>
        </w:rPr>
        <w:t xml:space="preserve">číslo účtu: </w:t>
      </w:r>
      <w:r w:rsidRPr="00595C3A">
        <w:rPr>
          <w:rFonts w:ascii="Segoe UI" w:hAnsi="Segoe UI" w:cs="Segoe UI"/>
          <w:noProof/>
          <w:sz w:val="20"/>
        </w:rPr>
        <w:tab/>
      </w:r>
      <w:r w:rsidRPr="00595C3A">
        <w:rPr>
          <w:rFonts w:ascii="Segoe UI" w:hAnsi="Segoe UI" w:cs="Segoe UI"/>
          <w:noProof/>
          <w:sz w:val="20"/>
        </w:rPr>
        <w:tab/>
      </w:r>
      <w:r w:rsidRPr="00595C3A">
        <w:rPr>
          <w:rFonts w:ascii="Segoe UI" w:hAnsi="Segoe UI" w:cs="Segoe UI"/>
          <w:noProof/>
          <w:sz w:val="20"/>
        </w:rPr>
        <w:tab/>
      </w:r>
      <w:r w:rsidR="00D92925">
        <w:rPr>
          <w:rFonts w:ascii="Segoe UI" w:hAnsi="Segoe UI" w:cs="Segoe UI"/>
          <w:noProof/>
          <w:sz w:val="20"/>
        </w:rPr>
        <w:t>xxxxxxxxxxxxxxxxxxxxx</w:t>
      </w:r>
      <w:bookmarkStart w:id="0" w:name="_GoBack"/>
      <w:bookmarkEnd w:id="0"/>
    </w:p>
    <w:p w14:paraId="6D2E8642" w14:textId="77777777" w:rsidR="00595C3A" w:rsidRDefault="00595C3A" w:rsidP="00C35D81">
      <w:pPr>
        <w:pStyle w:val="Zkladntext"/>
        <w:rPr>
          <w:rFonts w:ascii="Segoe UI" w:hAnsi="Segoe UI" w:cs="Segoe UI"/>
          <w:noProof/>
          <w:sz w:val="20"/>
        </w:rPr>
      </w:pPr>
      <w:r w:rsidRPr="00595C3A">
        <w:rPr>
          <w:rFonts w:ascii="Segoe UI" w:hAnsi="Segoe UI" w:cs="Segoe UI"/>
          <w:noProof/>
          <w:sz w:val="20"/>
        </w:rPr>
        <w:t xml:space="preserve">variabilní symbol: </w:t>
      </w:r>
      <w:r w:rsidRPr="00595C3A">
        <w:rPr>
          <w:rFonts w:ascii="Segoe UI" w:hAnsi="Segoe UI" w:cs="Segoe UI"/>
          <w:noProof/>
          <w:sz w:val="20"/>
        </w:rPr>
        <w:tab/>
      </w:r>
      <w:r w:rsidRPr="00595C3A">
        <w:rPr>
          <w:rFonts w:ascii="Segoe UI" w:hAnsi="Segoe UI" w:cs="Segoe UI"/>
          <w:noProof/>
          <w:sz w:val="20"/>
        </w:rPr>
        <w:tab/>
        <w:t>viz článek VI bod 2.</w:t>
      </w:r>
    </w:p>
    <w:p w14:paraId="52280851" w14:textId="3124D5E5" w:rsidR="00FC525B" w:rsidRPr="00720CC5" w:rsidRDefault="00FC525B" w:rsidP="00C35D81">
      <w:pPr>
        <w:pStyle w:val="Zkladntext"/>
        <w:rPr>
          <w:rFonts w:ascii="Segoe UI" w:hAnsi="Segoe UI" w:cs="Segoe UI"/>
          <w:color w:val="auto"/>
          <w:sz w:val="20"/>
        </w:rPr>
      </w:pPr>
      <w:r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07128C06"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595C3A">
        <w:rPr>
          <w:rFonts w:ascii="Segoe UI" w:hAnsi="Segoe UI" w:cs="Segoe UI"/>
          <w:noProof/>
          <w:color w:val="auto"/>
          <w:sz w:val="20"/>
        </w:rPr>
        <w:t xml:space="preserve">01712042 </w:t>
      </w:r>
      <w:r w:rsidRPr="00720CC5">
        <w:rPr>
          <w:rFonts w:ascii="Segoe UI" w:hAnsi="Segoe UI" w:cs="Segoe UI"/>
          <w:color w:val="auto"/>
          <w:sz w:val="20"/>
        </w:rPr>
        <w:t xml:space="preserve">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w:t>
      </w:r>
      <w:r w:rsidR="00595C3A">
        <w:rPr>
          <w:rFonts w:ascii="Segoe UI" w:hAnsi="Segoe UI" w:cs="Segoe UI"/>
          <w:color w:val="auto"/>
          <w:sz w:val="20"/>
        </w:rPr>
        <w:t>17. 7. 2020</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6D926F5C"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4386A">
        <w:rPr>
          <w:rFonts w:ascii="Segoe UI" w:hAnsi="Segoe UI" w:cs="Segoe UI"/>
          <w:color w:val="auto"/>
          <w:sz w:val="20"/>
        </w:rPr>
        <w:t>9</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332C56F9"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595C3A">
        <w:rPr>
          <w:rFonts w:ascii="Segoe UI" w:hAnsi="Segoe UI" w:cs="Segoe UI"/>
          <w:b/>
          <w:color w:val="auto"/>
          <w:sz w:val="20"/>
        </w:rPr>
        <w:t>353 600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proofErr w:type="gramStart"/>
      <w:r w:rsidRPr="00720CC5">
        <w:rPr>
          <w:rFonts w:ascii="Segoe UI" w:hAnsi="Segoe UI" w:cs="Segoe UI"/>
          <w:color w:val="auto"/>
          <w:sz w:val="20"/>
        </w:rPr>
        <w:t xml:space="preserve">slovy: </w:t>
      </w:r>
      <w:r w:rsidR="005C1A4C">
        <w:rPr>
          <w:rFonts w:ascii="Segoe UI" w:hAnsi="Segoe UI" w:cs="Segoe UI"/>
          <w:noProof/>
          <w:color w:val="auto"/>
          <w:sz w:val="20"/>
        </w:rPr>
        <w:t xml:space="preserve"> </w:t>
      </w:r>
      <w:r w:rsidR="00595C3A">
        <w:rPr>
          <w:rFonts w:ascii="Segoe UI" w:hAnsi="Segoe UI" w:cs="Segoe UI"/>
          <w:noProof/>
          <w:color w:val="auto"/>
          <w:sz w:val="20"/>
        </w:rPr>
        <w:t>tři</w:t>
      </w:r>
      <w:proofErr w:type="gramEnd"/>
      <w:r w:rsidR="00595C3A">
        <w:rPr>
          <w:rFonts w:ascii="Segoe UI" w:hAnsi="Segoe UI" w:cs="Segoe UI"/>
          <w:noProof/>
          <w:color w:val="auto"/>
          <w:sz w:val="20"/>
        </w:rPr>
        <w:t xml:space="preserve"> sta padesát tři tisíc šest set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4C7CE0">
        <w:rPr>
          <w:rFonts w:ascii="Segoe UI" w:hAnsi="Segoe UI" w:cs="Segoe UI"/>
          <w:color w:val="auto"/>
          <w:sz w:val="20"/>
        </w:rPr>
        <w:t xml:space="preserve"> </w:t>
      </w:r>
      <w:r w:rsidR="00595C3A">
        <w:rPr>
          <w:rFonts w:ascii="Segoe UI" w:hAnsi="Segoe UI" w:cs="Segoe UI"/>
          <w:color w:val="auto"/>
          <w:sz w:val="20"/>
        </w:rPr>
        <w:t>524</w:t>
      </w:r>
      <w:r w:rsidR="003F0E86">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4386A" w:rsidRPr="00720CC5">
        <w:rPr>
          <w:rFonts w:ascii="Segoe UI" w:hAnsi="Segoe UI" w:cs="Segoe UI"/>
          <w:color w:val="auto"/>
          <w:sz w:val="20"/>
        </w:rPr>
        <w:t>201</w:t>
      </w:r>
      <w:r w:rsidR="0044386A">
        <w:rPr>
          <w:rFonts w:ascii="Segoe UI" w:hAnsi="Segoe UI" w:cs="Segoe UI"/>
          <w:color w:val="auto"/>
          <w:sz w:val="20"/>
        </w:rPr>
        <w:t>9</w:t>
      </w:r>
      <w:r w:rsidR="0044386A" w:rsidRPr="00720CC5">
        <w:rPr>
          <w:rFonts w:ascii="Segoe UI" w:hAnsi="Segoe UI" w:cs="Segoe UI"/>
          <w:color w:val="auto"/>
          <w:sz w:val="20"/>
        </w:rPr>
        <w:t xml:space="preserve"> </w:t>
      </w:r>
      <w:r w:rsidRPr="00720CC5">
        <w:rPr>
          <w:rFonts w:ascii="Segoe UI" w:hAnsi="Segoe UI" w:cs="Segoe UI"/>
          <w:color w:val="auto"/>
          <w:sz w:val="20"/>
        </w:rPr>
        <w:t>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1829C60"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Pr="00720CC5">
        <w:rPr>
          <w:rFonts w:ascii="Segoe UI" w:hAnsi="Segoe UI" w:cs="Segoe UI"/>
          <w:snapToGrid w:val="0"/>
          <w:color w:val="auto"/>
          <w:sz w:val="20"/>
          <w:szCs w:val="20"/>
        </w:rPr>
        <w:t>do 12/</w:t>
      </w:r>
      <w:r w:rsidR="0044386A" w:rsidRPr="00720CC5">
        <w:rPr>
          <w:rFonts w:ascii="Segoe UI" w:hAnsi="Segoe UI" w:cs="Segoe UI"/>
          <w:snapToGrid w:val="0"/>
          <w:color w:val="auto"/>
          <w:sz w:val="20"/>
          <w:szCs w:val="20"/>
        </w:rPr>
        <w:t>201</w:t>
      </w:r>
      <w:r w:rsidR="0044386A">
        <w:rPr>
          <w:rFonts w:ascii="Segoe UI" w:hAnsi="Segoe UI" w:cs="Segoe UI"/>
          <w:snapToGrid w:val="0"/>
          <w:color w:val="auto"/>
          <w:sz w:val="20"/>
          <w:szCs w:val="20"/>
        </w:rPr>
        <w:t>9</w:t>
      </w:r>
      <w:r w:rsidR="0044386A"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1ADAB6EF"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2649DD">
        <w:rPr>
          <w:rFonts w:ascii="Segoe UI" w:hAnsi="Segoe UI" w:cs="Segoe UI"/>
          <w:color w:val="auto"/>
          <w:sz w:val="20"/>
        </w:rPr>
        <w:t xml:space="preserve"> </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8CE6" w14:textId="77777777" w:rsidR="00AA4193" w:rsidRDefault="00AA4193" w:rsidP="00F6060F">
      <w:r>
        <w:separator/>
      </w:r>
    </w:p>
  </w:endnote>
  <w:endnote w:type="continuationSeparator" w:id="0">
    <w:p w14:paraId="4628185F" w14:textId="77777777" w:rsidR="00AA4193" w:rsidRDefault="00AA4193"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32D4DBFF" w:rsidR="00F6060F" w:rsidRDefault="00F6060F">
        <w:pPr>
          <w:pStyle w:val="Zpat"/>
          <w:jc w:val="center"/>
        </w:pPr>
        <w:r>
          <w:fldChar w:fldCharType="begin"/>
        </w:r>
        <w:r>
          <w:instrText>PAGE   \* MERGEFORMAT</w:instrText>
        </w:r>
        <w:r>
          <w:fldChar w:fldCharType="separate"/>
        </w:r>
        <w:r w:rsidR="00D92925">
          <w:rPr>
            <w:noProof/>
          </w:rPr>
          <w:t>2</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FB9F" w14:textId="77777777" w:rsidR="00AA4193" w:rsidRDefault="00AA4193" w:rsidP="00F6060F">
      <w:r>
        <w:separator/>
      </w:r>
    </w:p>
  </w:footnote>
  <w:footnote w:type="continuationSeparator" w:id="0">
    <w:p w14:paraId="4586B18B" w14:textId="77777777" w:rsidR="00AA4193" w:rsidRDefault="00AA4193"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14962"/>
    <w:rsid w:val="00027AD3"/>
    <w:rsid w:val="000413EC"/>
    <w:rsid w:val="00044CD2"/>
    <w:rsid w:val="0011652D"/>
    <w:rsid w:val="00167D88"/>
    <w:rsid w:val="001E7BBE"/>
    <w:rsid w:val="002649DD"/>
    <w:rsid w:val="002D27A1"/>
    <w:rsid w:val="002D44FE"/>
    <w:rsid w:val="002E3674"/>
    <w:rsid w:val="002F733D"/>
    <w:rsid w:val="00332A62"/>
    <w:rsid w:val="00346307"/>
    <w:rsid w:val="003F0E86"/>
    <w:rsid w:val="00415A7C"/>
    <w:rsid w:val="0044386A"/>
    <w:rsid w:val="00495330"/>
    <w:rsid w:val="004A47F0"/>
    <w:rsid w:val="004C7CE0"/>
    <w:rsid w:val="00595C3A"/>
    <w:rsid w:val="005C1A4C"/>
    <w:rsid w:val="00627454"/>
    <w:rsid w:val="006A1923"/>
    <w:rsid w:val="006C2495"/>
    <w:rsid w:val="006F4ECF"/>
    <w:rsid w:val="00720CC5"/>
    <w:rsid w:val="007368E1"/>
    <w:rsid w:val="00767EC9"/>
    <w:rsid w:val="007E0F9E"/>
    <w:rsid w:val="00805646"/>
    <w:rsid w:val="008131E8"/>
    <w:rsid w:val="008221B6"/>
    <w:rsid w:val="008224E4"/>
    <w:rsid w:val="00857D26"/>
    <w:rsid w:val="008A1900"/>
    <w:rsid w:val="009779D2"/>
    <w:rsid w:val="00980B78"/>
    <w:rsid w:val="00A21502"/>
    <w:rsid w:val="00AA4193"/>
    <w:rsid w:val="00AE4CED"/>
    <w:rsid w:val="00BA2337"/>
    <w:rsid w:val="00C16B1F"/>
    <w:rsid w:val="00C35D81"/>
    <w:rsid w:val="00C41C31"/>
    <w:rsid w:val="00C81197"/>
    <w:rsid w:val="00CA35EE"/>
    <w:rsid w:val="00CB5527"/>
    <w:rsid w:val="00D0001C"/>
    <w:rsid w:val="00D7514C"/>
    <w:rsid w:val="00D92925"/>
    <w:rsid w:val="00D92ED4"/>
    <w:rsid w:val="00DB5DC4"/>
    <w:rsid w:val="00DC5A5E"/>
    <w:rsid w:val="00DC6088"/>
    <w:rsid w:val="00DF0D7A"/>
    <w:rsid w:val="00E94D3D"/>
    <w:rsid w:val="00EE7A71"/>
    <w:rsid w:val="00F23184"/>
    <w:rsid w:val="00F6060F"/>
    <w:rsid w:val="00F912D2"/>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7750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2019-10-24T14:00:00Z</cp:lastPrinted>
  <dcterms:created xsi:type="dcterms:W3CDTF">2020-11-06T10:30:00Z</dcterms:created>
  <dcterms:modified xsi:type="dcterms:W3CDTF">2020-11-06T10:33:00Z</dcterms:modified>
</cp:coreProperties>
</file>