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8003</w:t>
      </w:r>
      <w:r w:rsidR="008C1BFA">
        <w:rPr>
          <w:b/>
        </w:rPr>
        <w:t>9</w:t>
      </w:r>
      <w:r w:rsidR="0058607E">
        <w:rPr>
          <w:b/>
        </w:rPr>
        <w:t>2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0F4899">
        <w:rPr>
          <w:b/>
        </w:rPr>
        <w:t>3</w:t>
      </w:r>
      <w:r w:rsidR="008C1BFA">
        <w:rPr>
          <w:b/>
        </w:rPr>
        <w:t>9</w:t>
      </w:r>
      <w:r w:rsidR="009A70A6">
        <w:rPr>
          <w:b/>
        </w:rPr>
        <w:t>2</w:t>
      </w:r>
      <w:r w:rsidR="00651F1A">
        <w:rPr>
          <w:b/>
        </w:rPr>
        <w:t>_1</w:t>
      </w:r>
      <w:r w:rsidR="00D578D2">
        <w:rPr>
          <w:b/>
        </w:rPr>
        <w:t>6</w:t>
      </w:r>
      <w:r w:rsidR="0055459C">
        <w:rPr>
          <w:b/>
        </w:rPr>
        <w:t>10</w:t>
      </w:r>
      <w:r w:rsidR="008C1BFA">
        <w:rPr>
          <w:b/>
        </w:rPr>
        <w:t>2</w:t>
      </w:r>
      <w:r w:rsidR="009A70A6">
        <w:rPr>
          <w:b/>
        </w:rPr>
        <w:t>5</w:t>
      </w:r>
      <w:r w:rsidR="00C16F7D" w:rsidRPr="00C16F7D">
        <w:rPr>
          <w:b/>
        </w:rPr>
        <w:t>_</w:t>
      </w:r>
      <w:r w:rsidR="009A70A6">
        <w:rPr>
          <w:b/>
        </w:rPr>
        <w:t>1303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9A70A6">
        <w:t>358093001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r>
        <w:t>s.p</w:t>
      </w:r>
      <w:proofErr w:type="spellEnd"/>
      <w:r>
        <w:t xml:space="preserve">.,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18307A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18307A">
        <w:rPr>
          <w:b/>
        </w:rPr>
        <w:t>Moravská plynárenská s.r.o.</w:t>
      </w:r>
      <w:r w:rsidR="006D5311">
        <w:rPr>
          <w:b/>
        </w:rPr>
        <w:br/>
        <w:t xml:space="preserve">se sídlem </w:t>
      </w:r>
      <w:r w:rsidRPr="0018307A">
        <w:rPr>
          <w:b/>
        </w:rPr>
        <w:t xml:space="preserve">Křižíkova 2697/70, Královo Pole, 612 00 Brno  </w:t>
      </w:r>
      <w:r w:rsidR="002B5925" w:rsidRPr="002B5925">
        <w:rPr>
          <w:b/>
        </w:rPr>
        <w:t xml:space="preserve">  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18307A" w:rsidRPr="0018307A">
        <w:t>T</w:t>
      </w:r>
      <w:r w:rsidR="0018307A">
        <w:t>omáš</w:t>
      </w:r>
      <w:r w:rsidR="0018307A" w:rsidRPr="0018307A">
        <w:t xml:space="preserve"> Z</w:t>
      </w:r>
      <w:r w:rsidR="0018307A">
        <w:t>abloudil</w:t>
      </w:r>
      <w:r w:rsidR="00AE2467">
        <w:t xml:space="preserve">, </w:t>
      </w:r>
      <w:r w:rsidR="00EA3CF1">
        <w:t>jednatel</w:t>
      </w:r>
    </w:p>
    <w:p w:rsidR="006D5311" w:rsidRDefault="006D5311" w:rsidP="006D5311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18307A" w:rsidRPr="0018307A">
        <w:rPr>
          <w:rStyle w:val="nowrap"/>
        </w:rPr>
        <w:t>05099951</w:t>
      </w:r>
    </w:p>
    <w:p w:rsidR="006D5311" w:rsidRDefault="00AF4B18" w:rsidP="006D5311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</w:r>
      <w:r w:rsidR="00AE2467">
        <w:t>CZ</w:t>
      </w:r>
      <w:r w:rsidR="0018307A" w:rsidRPr="0018307A">
        <w:t>05099951</w:t>
      </w:r>
    </w:p>
    <w:p w:rsidR="00CF59CC" w:rsidRDefault="00CF59CC" w:rsidP="00D13E11">
      <w:pPr>
        <w:tabs>
          <w:tab w:val="left" w:pos="1800"/>
          <w:tab w:val="left" w:pos="2160"/>
        </w:tabs>
        <w:ind w:left="567"/>
        <w:jc w:val="both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022879">
        <w:t xml:space="preserve">Krajským </w:t>
      </w:r>
      <w:r>
        <w:t>soudem v </w:t>
      </w:r>
      <w:r w:rsidR="00EA3CF1" w:rsidRPr="00EA3CF1">
        <w:t>Brně</w:t>
      </w:r>
      <w:r>
        <w:t xml:space="preserve">, oddíl </w:t>
      </w:r>
      <w:r w:rsidR="002B5925">
        <w:t>C</w:t>
      </w:r>
      <w:r w:rsidR="007541C5">
        <w:t xml:space="preserve">, vložka </w:t>
      </w:r>
      <w:r w:rsidR="0018307A" w:rsidRPr="0018307A">
        <w:t>93589</w:t>
      </w:r>
    </w:p>
    <w:p w:rsidR="00B00A63" w:rsidRPr="00853527" w:rsidRDefault="00B00A63" w:rsidP="008C1BFA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  <w:proofErr w:type="spellStart"/>
      <w:r w:rsidR="000A163A">
        <w:t>Fio</w:t>
      </w:r>
      <w:proofErr w:type="spellEnd"/>
      <w:r w:rsidR="000A163A">
        <w:t xml:space="preserve"> banka</w:t>
      </w:r>
      <w:r w:rsidR="007541C5">
        <w:t>, a.s.</w:t>
      </w:r>
    </w:p>
    <w:p w:rsidR="00B00A63" w:rsidRPr="002851C9" w:rsidRDefault="00B00A63" w:rsidP="008C1BFA">
      <w:pPr>
        <w:tabs>
          <w:tab w:val="left" w:pos="540"/>
          <w:tab w:val="left" w:pos="2160"/>
        </w:tabs>
        <w:spacing w:before="60"/>
        <w:ind w:left="1259" w:hanging="720"/>
      </w:pPr>
      <w:r>
        <w:t xml:space="preserve">číslo účtu: </w:t>
      </w:r>
      <w:proofErr w:type="spellStart"/>
      <w:r w:rsidR="00B87AF2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055EAE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2B5925" w:rsidRDefault="002B5925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B7009" w:rsidRPr="000B7009" w:rsidRDefault="000B7009" w:rsidP="000B7009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260"/>
        <w:gridCol w:w="2700"/>
        <w:gridCol w:w="1260"/>
        <w:gridCol w:w="1980"/>
        <w:gridCol w:w="720"/>
      </w:tblGrid>
      <w:tr w:rsidR="005B4AB4" w:rsidTr="00B00A63">
        <w:tc>
          <w:tcPr>
            <w:tcW w:w="716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Poř.č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r w:rsidRPr="00F8793F">
              <w:rPr>
                <w:b/>
                <w:sz w:val="20"/>
                <w:szCs w:val="20"/>
              </w:rPr>
              <w:t>Akce</w:t>
            </w:r>
            <w:r w:rsidRPr="00F8793F">
              <w:rPr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03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70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Mobilní telefon</w:t>
            </w:r>
            <w:r w:rsidR="00D37D4D" w:rsidRPr="00F8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Uživ.jméno</w:t>
            </w:r>
            <w:proofErr w:type="spellEnd"/>
            <w:r w:rsidRPr="00F8793F">
              <w:rPr>
                <w:b/>
                <w:sz w:val="20"/>
                <w:szCs w:val="20"/>
              </w:rPr>
              <w:t>/</w:t>
            </w:r>
            <w:proofErr w:type="spellStart"/>
            <w:r w:rsidRPr="00F8793F">
              <w:rPr>
                <w:b/>
                <w:sz w:val="20"/>
                <w:szCs w:val="20"/>
              </w:rPr>
              <w:t>Certif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r w:rsidRPr="00F8793F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Zápis</w:t>
            </w:r>
          </w:p>
        </w:tc>
      </w:tr>
      <w:tr w:rsidR="00B00A63" w:rsidTr="00B00A63">
        <w:tc>
          <w:tcPr>
            <w:tcW w:w="716" w:type="dxa"/>
          </w:tcPr>
          <w:p w:rsidR="00B00A63" w:rsidRPr="00557121" w:rsidRDefault="00B00A63" w:rsidP="00F8793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B00A63" w:rsidRPr="006A6A7A" w:rsidRDefault="002B5925" w:rsidP="00F329C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03" w:type="dxa"/>
          </w:tcPr>
          <w:p w:rsidR="00B00A63" w:rsidRPr="00557121" w:rsidRDefault="00B87AF2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 w:rsidR="002B59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00A63" w:rsidRPr="00557121" w:rsidRDefault="00B87AF2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00" w:type="dxa"/>
          </w:tcPr>
          <w:p w:rsidR="002B5925" w:rsidRPr="0018307A" w:rsidRDefault="00B87AF2" w:rsidP="00B87AF2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xxx</w:t>
              </w:r>
              <w:proofErr w:type="spellEnd"/>
            </w:hyperlink>
          </w:p>
        </w:tc>
        <w:tc>
          <w:tcPr>
            <w:tcW w:w="1260" w:type="dxa"/>
          </w:tcPr>
          <w:p w:rsidR="00B00A63" w:rsidRPr="00557121" w:rsidRDefault="00B87AF2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</w:tcPr>
          <w:p w:rsidR="00B00A63" w:rsidRPr="006A6A7A" w:rsidRDefault="00B87AF2" w:rsidP="004A2E0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B00A63" w:rsidRPr="00557121" w:rsidRDefault="00B00A63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Ano</w:t>
            </w:r>
          </w:p>
        </w:tc>
      </w:tr>
    </w:tbl>
    <w:p w:rsidR="00BD3FA9" w:rsidRDefault="00D37D4D" w:rsidP="00912F63">
      <w:pPr>
        <w:tabs>
          <w:tab w:val="left" w:pos="540"/>
          <w:tab w:val="left" w:pos="900"/>
        </w:tabs>
        <w:spacing w:before="6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 w:rsidR="00053599">
        <w:rPr>
          <w:sz w:val="20"/>
          <w:szCs w:val="20"/>
        </w:rPr>
        <w:t>, SA – sloučený administrátor</w:t>
      </w:r>
    </w:p>
    <w:p w:rsidR="00D37D4D" w:rsidRDefault="00D37D4D" w:rsidP="00F81DBC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Návrh uživatelského jména/Sériové číslo komerčního certifikátu České pošty, </w:t>
      </w:r>
      <w:proofErr w:type="spellStart"/>
      <w:proofErr w:type="gram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  <w:proofErr w:type="gramEnd"/>
    </w:p>
    <w:p w:rsidR="00BD31C3" w:rsidRDefault="00BD31C3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164DBD">
      <w:pPr>
        <w:tabs>
          <w:tab w:val="left" w:pos="540"/>
          <w:tab w:val="left" w:pos="851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8C6FE5">
      <w:pPr>
        <w:tabs>
          <w:tab w:val="left" w:pos="851"/>
          <w:tab w:val="left" w:pos="6237"/>
          <w:tab w:val="left" w:pos="6379"/>
        </w:tabs>
        <w:ind w:right="-994"/>
        <w:rPr>
          <w:rStyle w:val="Hypertextovodkaz"/>
          <w:b/>
          <w:sz w:val="28"/>
          <w:szCs w:val="28"/>
          <w:lang w:val="en-US"/>
        </w:rPr>
      </w:pPr>
      <w:r>
        <w:tab/>
        <w:t>změnových souborů a příjem datových souborů:</w:t>
      </w:r>
      <w:r w:rsidR="008C6FE5">
        <w:tab/>
      </w:r>
      <w:hyperlink r:id="rId10" w:history="1">
        <w:proofErr w:type="spellStart"/>
        <w:r w:rsidR="00B87AF2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1" w:history="1">
        <w:proofErr w:type="spellStart"/>
        <w:r w:rsidR="00B87AF2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B843B7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55459C">
      <w:pPr>
        <w:pStyle w:val="Odstavecseseznamem"/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0B7EB3" w:rsidRDefault="0074104B" w:rsidP="00055EAE">
      <w:pPr>
        <w:tabs>
          <w:tab w:val="left" w:pos="851"/>
          <w:tab w:val="left" w:pos="5400"/>
        </w:tabs>
        <w:spacing w:before="240"/>
        <w:jc w:val="both"/>
        <w:rPr>
          <w:snapToGrid w:val="0"/>
        </w:rPr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 xml:space="preserve">a všechny využívané kódy poplatků </w:t>
      </w:r>
    </w:p>
    <w:p w:rsidR="00DF6C6E" w:rsidRDefault="000B7EB3" w:rsidP="000B7EB3">
      <w:pPr>
        <w:tabs>
          <w:tab w:val="left" w:pos="851"/>
          <w:tab w:val="left" w:pos="5400"/>
        </w:tabs>
        <w:ind w:left="5398"/>
        <w:jc w:val="both"/>
      </w:pPr>
      <w:r w:rsidRPr="00DE2BC9">
        <w:rPr>
          <w:snapToGrid w:val="0"/>
        </w:rPr>
        <w:t>zvlášť</w:t>
      </w:r>
      <w:r>
        <w:rPr>
          <w:snapToGrid w:val="0"/>
        </w:rPr>
        <w:t xml:space="preserve"> </w:t>
      </w:r>
      <w:r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2B5925" w:rsidRDefault="002B592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C176BB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18307A" w:rsidRPr="0018307A">
        <w:rPr>
          <w:b/>
        </w:rPr>
        <w:t>Moravská plynárenská s.r.o.</w:t>
      </w:r>
      <w:r w:rsidR="00D920FC">
        <w:rPr>
          <w:b/>
        </w:rPr>
        <w:t>,</w:t>
      </w:r>
      <w:r w:rsidR="006A6A7A">
        <w:rPr>
          <w:b/>
        </w:rPr>
        <w:t xml:space="preserve"> </w:t>
      </w:r>
    </w:p>
    <w:p w:rsidR="002B5925" w:rsidRDefault="0018307A" w:rsidP="0018307A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307A">
        <w:rPr>
          <w:b/>
        </w:rPr>
        <w:t>Křižíkova 2697/70</w:t>
      </w:r>
      <w:r w:rsidR="004A2E09">
        <w:rPr>
          <w:b/>
        </w:rPr>
        <w:t xml:space="preserve">, </w:t>
      </w:r>
    </w:p>
    <w:p w:rsidR="00D920FC" w:rsidRPr="00C9333F" w:rsidRDefault="002B5925" w:rsidP="002B5925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307A" w:rsidRPr="0018307A">
        <w:rPr>
          <w:b/>
        </w:rPr>
        <w:t>612 00 Brno</w:t>
      </w:r>
      <w:r>
        <w:rPr>
          <w:b/>
        </w:rPr>
        <w:t>-</w:t>
      </w:r>
      <w:r w:rsidR="0018307A" w:rsidRPr="0018307A">
        <w:rPr>
          <w:b/>
        </w:rPr>
        <w:t>Královo Pole</w:t>
      </w:r>
    </w:p>
    <w:p w:rsidR="009A234F" w:rsidRPr="0082471E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E66AC0">
      <w:pPr>
        <w:tabs>
          <w:tab w:val="left" w:pos="851"/>
          <w:tab w:val="left" w:pos="1980"/>
          <w:tab w:val="left" w:pos="5760"/>
          <w:tab w:val="left" w:pos="9180"/>
        </w:tabs>
        <w:spacing w:before="120"/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7572B8">
        <w:rPr>
          <w:b/>
        </w:rPr>
        <w:t>Příkazníka:</w:t>
      </w:r>
    </w:p>
    <w:p w:rsidR="0060147F" w:rsidRDefault="00B87AF2" w:rsidP="00115E99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9A234F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1980"/>
          <w:tab w:val="left" w:pos="6300"/>
        </w:tabs>
        <w:spacing w:before="360"/>
        <w:ind w:left="851" w:hanging="851"/>
        <w:rPr>
          <w:b/>
        </w:rPr>
      </w:pPr>
      <w:r>
        <w:rPr>
          <w:b/>
        </w:rPr>
        <w:t>Příkazce</w:t>
      </w:r>
    </w:p>
    <w:p w:rsidR="0018307A" w:rsidRDefault="00B87AF2" w:rsidP="0018307A">
      <w:pPr>
        <w:tabs>
          <w:tab w:val="left" w:pos="851"/>
          <w:tab w:val="left" w:pos="5400"/>
          <w:tab w:val="left" w:pos="5760"/>
        </w:tabs>
        <w:spacing w:before="120"/>
        <w:ind w:left="720" w:firstLine="131"/>
      </w:pPr>
      <w:proofErr w:type="spellStart"/>
      <w:r>
        <w:t>xxx</w:t>
      </w:r>
      <w:proofErr w:type="spellEnd"/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2" w:history="1">
        <w:proofErr w:type="spellStart"/>
        <w:r w:rsidR="00B87AF2">
          <w:rPr>
            <w:rStyle w:val="Hypertextovodkaz"/>
          </w:rPr>
          <w:t>xxx</w:t>
        </w:r>
        <w:proofErr w:type="spellEnd"/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7572B8" w:rsidRDefault="007572B8" w:rsidP="00055EAE">
      <w:pPr>
        <w:tabs>
          <w:tab w:val="left" w:pos="720"/>
          <w:tab w:val="left" w:pos="5760"/>
        </w:tabs>
        <w:ind w:left="851"/>
        <w:jc w:val="both"/>
      </w:pPr>
      <w:r>
        <w:t>Smlouva nabývá účinnosti prvním dnem měsíce následujícího po datu nabytí její platnosti.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bookmarkStart w:id="0" w:name="_GoBack"/>
      <w:bookmarkEnd w:id="0"/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CE6887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CE6887" w:rsidRDefault="00CE6887" w:rsidP="00CE68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</w:t>
      </w:r>
      <w:r>
        <w:lastRenderedPageBreak/>
        <w:t>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7572B8">
      <w:pPr>
        <w:tabs>
          <w:tab w:val="left" w:pos="720"/>
          <w:tab w:val="left" w:pos="5760"/>
        </w:tabs>
        <w:ind w:left="720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2B5925">
        <w:t>Brně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18307A" w:rsidP="00055EAE">
      <w:pPr>
        <w:tabs>
          <w:tab w:val="left" w:pos="851"/>
          <w:tab w:val="left" w:pos="2160"/>
          <w:tab w:val="left" w:pos="5760"/>
        </w:tabs>
        <w:spacing w:before="120"/>
        <w:ind w:left="851"/>
        <w:jc w:val="both"/>
      </w:pPr>
      <w:r w:rsidRPr="0018307A">
        <w:t>T</w:t>
      </w:r>
      <w:r>
        <w:t>omáš</w:t>
      </w:r>
      <w:r w:rsidRPr="0018307A">
        <w:t xml:space="preserve"> Z</w:t>
      </w:r>
      <w:r>
        <w:t>abloudil</w:t>
      </w:r>
      <w:r w:rsidR="009F1BBC">
        <w:tab/>
      </w:r>
      <w:r w:rsidR="000D64F2">
        <w:t>Podpis: ……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EA3CF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 w:rsidRPr="00EA3CF1"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83" w:rsidRDefault="00B92383">
      <w:r>
        <w:separator/>
      </w:r>
    </w:p>
  </w:endnote>
  <w:endnote w:type="continuationSeparator" w:id="0">
    <w:p w:rsidR="00B92383" w:rsidRDefault="00B9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83" w:rsidRDefault="00B92383">
      <w:r>
        <w:separator/>
      </w:r>
    </w:p>
  </w:footnote>
  <w:footnote w:type="continuationSeparator" w:id="0">
    <w:p w:rsidR="00B92383" w:rsidRDefault="00B9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8C1BFA">
      <w:rPr>
        <w:sz w:val="20"/>
        <w:szCs w:val="20"/>
      </w:rPr>
      <w:t>39</w:t>
    </w:r>
    <w:r w:rsidR="009A70A6">
      <w:rPr>
        <w:sz w:val="20"/>
        <w:szCs w:val="20"/>
      </w:rPr>
      <w:t>2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D578D2">
      <w:rPr>
        <w:sz w:val="20"/>
        <w:szCs w:val="20"/>
      </w:rPr>
      <w:t>6</w:t>
    </w:r>
    <w:r w:rsidR="0055459C">
      <w:rPr>
        <w:sz w:val="20"/>
        <w:szCs w:val="20"/>
      </w:rPr>
      <w:t>10</w:t>
    </w:r>
    <w:r w:rsidR="008C1BFA">
      <w:rPr>
        <w:sz w:val="20"/>
        <w:szCs w:val="20"/>
      </w:rPr>
      <w:t>2</w:t>
    </w:r>
    <w:r w:rsidR="009A70A6">
      <w:rPr>
        <w:sz w:val="20"/>
        <w:szCs w:val="20"/>
      </w:rPr>
      <w:t>5</w:t>
    </w:r>
    <w:r w:rsidRPr="00B9352C">
      <w:rPr>
        <w:sz w:val="20"/>
        <w:szCs w:val="20"/>
      </w:rPr>
      <w:t>_</w:t>
    </w:r>
    <w:r w:rsidR="009A70A6">
      <w:rPr>
        <w:sz w:val="20"/>
        <w:szCs w:val="20"/>
      </w:rPr>
      <w:t>1303</w:t>
    </w:r>
    <w:r>
      <w:rPr>
        <w:sz w:val="20"/>
        <w:szCs w:val="20"/>
      </w:rPr>
      <w:t>_</w:t>
    </w:r>
    <w:r w:rsidR="00A61A70">
      <w:rPr>
        <w:sz w:val="20"/>
        <w:szCs w:val="20"/>
      </w:rPr>
      <w:t>2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B87AF2">
      <w:rPr>
        <w:rStyle w:val="slostrnky"/>
        <w:noProof/>
        <w:sz w:val="20"/>
        <w:szCs w:val="20"/>
      </w:rPr>
      <w:t>4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36B8"/>
    <w:rsid w:val="000B7009"/>
    <w:rsid w:val="000B7EB3"/>
    <w:rsid w:val="000C3651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3201D"/>
    <w:rsid w:val="00146919"/>
    <w:rsid w:val="00164DBD"/>
    <w:rsid w:val="001775E3"/>
    <w:rsid w:val="00181D2A"/>
    <w:rsid w:val="0018307A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627F2"/>
    <w:rsid w:val="002851C9"/>
    <w:rsid w:val="00285766"/>
    <w:rsid w:val="00292DE2"/>
    <w:rsid w:val="002A140A"/>
    <w:rsid w:val="002B3B00"/>
    <w:rsid w:val="002B463E"/>
    <w:rsid w:val="002B5925"/>
    <w:rsid w:val="002C3B27"/>
    <w:rsid w:val="002C76AD"/>
    <w:rsid w:val="002D00A5"/>
    <w:rsid w:val="002D61CD"/>
    <w:rsid w:val="002E08E8"/>
    <w:rsid w:val="002E6C31"/>
    <w:rsid w:val="00301964"/>
    <w:rsid w:val="00302634"/>
    <w:rsid w:val="0037271D"/>
    <w:rsid w:val="00391933"/>
    <w:rsid w:val="003A4747"/>
    <w:rsid w:val="00402619"/>
    <w:rsid w:val="00440BC5"/>
    <w:rsid w:val="004440F7"/>
    <w:rsid w:val="00450B7D"/>
    <w:rsid w:val="0045599B"/>
    <w:rsid w:val="00463DB7"/>
    <w:rsid w:val="00474768"/>
    <w:rsid w:val="00497B38"/>
    <w:rsid w:val="004A2E09"/>
    <w:rsid w:val="004C639D"/>
    <w:rsid w:val="004D0738"/>
    <w:rsid w:val="004D1433"/>
    <w:rsid w:val="004E5D07"/>
    <w:rsid w:val="004F5BFC"/>
    <w:rsid w:val="0053083C"/>
    <w:rsid w:val="00535BAB"/>
    <w:rsid w:val="005362A1"/>
    <w:rsid w:val="0055459C"/>
    <w:rsid w:val="00555772"/>
    <w:rsid w:val="00557121"/>
    <w:rsid w:val="00567ADC"/>
    <w:rsid w:val="0057214A"/>
    <w:rsid w:val="00572159"/>
    <w:rsid w:val="0058607E"/>
    <w:rsid w:val="00586545"/>
    <w:rsid w:val="00593CD3"/>
    <w:rsid w:val="00596F78"/>
    <w:rsid w:val="00597182"/>
    <w:rsid w:val="005B4AB4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20F5E"/>
    <w:rsid w:val="00721E6E"/>
    <w:rsid w:val="0072411A"/>
    <w:rsid w:val="0073775E"/>
    <w:rsid w:val="0074104B"/>
    <w:rsid w:val="00741A04"/>
    <w:rsid w:val="00746902"/>
    <w:rsid w:val="007541C5"/>
    <w:rsid w:val="007572B8"/>
    <w:rsid w:val="00783015"/>
    <w:rsid w:val="00792545"/>
    <w:rsid w:val="007A6918"/>
    <w:rsid w:val="007E1C44"/>
    <w:rsid w:val="007E6F64"/>
    <w:rsid w:val="00802563"/>
    <w:rsid w:val="00802D1C"/>
    <w:rsid w:val="0082471E"/>
    <w:rsid w:val="008263C4"/>
    <w:rsid w:val="00835BD2"/>
    <w:rsid w:val="00835CE9"/>
    <w:rsid w:val="008C1BFA"/>
    <w:rsid w:val="008C6FE5"/>
    <w:rsid w:val="008E471B"/>
    <w:rsid w:val="008E59E2"/>
    <w:rsid w:val="008F3945"/>
    <w:rsid w:val="008F6D0B"/>
    <w:rsid w:val="00904EFD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61A70"/>
    <w:rsid w:val="00A702E6"/>
    <w:rsid w:val="00A9109B"/>
    <w:rsid w:val="00AA2FD7"/>
    <w:rsid w:val="00AA47D7"/>
    <w:rsid w:val="00AC462F"/>
    <w:rsid w:val="00AD6A4F"/>
    <w:rsid w:val="00AE2467"/>
    <w:rsid w:val="00AE42A9"/>
    <w:rsid w:val="00AF4B18"/>
    <w:rsid w:val="00B00A63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87AF2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147BE"/>
    <w:rsid w:val="00E15B82"/>
    <w:rsid w:val="00E174DB"/>
    <w:rsid w:val="00E24006"/>
    <w:rsid w:val="00E3347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o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.vakvi@cpos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echanek@moravskaplynarens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bloudil.tom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DC98-93C5-4886-9640-0EC3D9EF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5834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2017-02-07T12:19:00Z</cp:lastPrinted>
  <dcterms:created xsi:type="dcterms:W3CDTF">2017-02-15T12:07:00Z</dcterms:created>
  <dcterms:modified xsi:type="dcterms:W3CDTF">2017-02-15T12:09:00Z</dcterms:modified>
</cp:coreProperties>
</file>