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1" w:after="570" w:line="240" w:lineRule="auto"/>
        <w:ind w:right="8512" w:left="10"/>
        <w:jc w:val="left"/>
        <w:textAlignment w:val="baseline"/>
      </w:pPr>
      <w:r>
        <w:drawing>
          <wp:inline>
            <wp:extent cx="786130" cy="786130"/>
            <wp:docPr id="1" name="Picture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2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67" w:line="462" w:lineRule="exact"/>
        <w:ind w:right="0" w:left="0" w:firstLine="0"/>
        <w:jc w:val="right"/>
        <w:textAlignment w:val="baseline"/>
        <w:rPr>
          <w:rFonts w:ascii="Cambria" w:hAnsi="Cambria" w:eastAsia="Cambria"/>
          <w:b w:val="true"/>
          <w:strike w:val="false"/>
          <w:color w:val="000000"/>
          <w:spacing w:val="5"/>
          <w:w w:val="100"/>
          <w:sz w:val="35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5"/>
          <w:w w:val="100"/>
          <w:sz w:val="35"/>
          <w:vertAlign w:val="baseline"/>
          <w:lang w:val="cs-CZ"/>
        </w:rPr>
        <w:t xml:space="preserve">Všeobecné podmínky</w:t>
      </w:r>
    </w:p>
    <w:p>
      <w:pPr>
        <w:spacing w:before="724" w:after="0" w:line="355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</w:pPr>
      <w:r>
        <w:pict>
          <v:line strokeweight="1.7pt" strokecolor="#000000" from="52.55pt,171.1pt" to="540.6pt,171.1pt" style="position:absolute;mso-position-horizontal-relative:page;mso-position-vertical-relative:page;">
            <v:stroke dashstyle="solid"/>
          </v:line>
        </w:pic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Část A – Základní ustanovení</w:t>
      </w:r>
    </w:p>
    <w:p>
      <w:pPr>
        <w:spacing w:before="289" w:after="0" w:line="259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3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Článek 1</w:t>
      </w:r>
    </w:p>
    <w:p>
      <w:pPr>
        <w:spacing w:before="1" w:after="0" w:line="259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Obecná ustanovení</w:t>
      </w:r>
    </w:p>
    <w:p>
      <w:pPr>
        <w:numPr>
          <w:ilvl w:val="0"/>
          <w:numId w:val="2"/>
        </w:numPr>
        <w:tabs>
          <w:tab w:val="clear" w:pos="504"/>
          <w:tab w:val="left" w:pos="504"/>
        </w:tabs>
        <w:spacing w:before="204" w:after="0" w:line="298" w:lineRule="exact"/>
        <w:ind w:right="0" w:left="504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Všeobecné podmínky jsou závazné a vymahatelné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smluvním stranám Smlouvy o poskytnutí podpory 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programového projektu (dále jen „Smlouva“).</w:t>
      </w:r>
    </w:p>
    <w:p>
      <w:pPr>
        <w:numPr>
          <w:ilvl w:val="0"/>
          <w:numId w:val="2"/>
        </w:numPr>
        <w:tabs>
          <w:tab w:val="clear" w:pos="504"/>
          <w:tab w:val="left" w:pos="504"/>
        </w:tabs>
        <w:spacing w:before="230" w:after="0" w:line="298" w:lineRule="exact"/>
        <w:ind w:right="0" w:left="504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Všeobecné podmínky jsou rovn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ěž závazné a vymahatelné v 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 Rozhodnutí o poskytnutí podpory, pokud ve prosp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ěch 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říjemce bylo vydáno, 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čemž v tomto 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 se použijí 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řim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řen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ě.</w:t>
      </w:r>
    </w:p>
    <w:p>
      <w:pPr>
        <w:numPr>
          <w:ilvl w:val="0"/>
          <w:numId w:val="2"/>
        </w:numPr>
        <w:tabs>
          <w:tab w:val="clear" w:pos="504"/>
          <w:tab w:val="left" w:pos="504"/>
        </w:tabs>
        <w:spacing w:before="249" w:after="0" w:line="293" w:lineRule="exact"/>
        <w:ind w:right="0" w:left="504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Ustanovení specifických podmínek Smlouvy a Rozhodnutí o poskytnutí podpory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ůže stanovit v souladu s podmínkami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sout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ěže nebo podmínkami projektu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zakázky ustanovení</w:t>
      </w:r>
    </w:p>
    <w:p>
      <w:pPr>
        <w:spacing w:before="15" w:after="0" w:line="283" w:lineRule="exact"/>
        <w:ind w:right="0" w:left="504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odchylná od všeobecných podmínek.</w:t>
      </w:r>
    </w:p>
    <w:p>
      <w:pPr>
        <w:numPr>
          <w:ilvl w:val="0"/>
          <w:numId w:val="2"/>
        </w:numPr>
        <w:tabs>
          <w:tab w:val="clear" w:pos="504"/>
          <w:tab w:val="left" w:pos="504"/>
        </w:tabs>
        <w:spacing w:before="234" w:after="0" w:line="298" w:lineRule="exact"/>
        <w:ind w:right="0" w:left="504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Smlouva o poskytnutí podpory a Všeobecné podmínky obsahují veškerá práva a povinnosti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říjemce. Metodické a procesní aspekty jejich provedení jsou uvedeny ve vnit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řních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ředpisech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poskytovatele,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které jsou dostupné na jeho webových stránkách.</w:t>
      </w:r>
    </w:p>
    <w:p>
      <w:pPr>
        <w:spacing w:before="793" w:after="0" w:line="259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Článek 2</w:t>
      </w:r>
    </w:p>
    <w:p>
      <w:pPr>
        <w:spacing w:before="4" w:after="0" w:line="259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Vymezení pojm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ů</w:t>
      </w:r>
    </w:p>
    <w:p>
      <w:pPr>
        <w:tabs>
          <w:tab w:val="left" w:leader="none" w:pos="504"/>
        </w:tabs>
        <w:spacing w:before="213" w:after="0" w:line="281" w:lineRule="exact"/>
        <w:ind w:right="0" w:left="0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-3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3"/>
          <w:w w:val="100"/>
          <w:sz w:val="23"/>
          <w:vertAlign w:val="baseline"/>
          <w:lang w:val="cs-CZ"/>
        </w:rPr>
        <w:t xml:space="preserve">1.	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Pro ú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čely Smlouvy se rozumí:</w:t>
      </w:r>
    </w:p>
    <w:p>
      <w:pPr>
        <w:numPr>
          <w:ilvl w:val="0"/>
          <w:numId w:val="3"/>
        </w:numPr>
        <w:tabs>
          <w:tab w:val="clear" w:pos="432"/>
          <w:tab w:val="left" w:pos="1080"/>
        </w:tabs>
        <w:spacing w:before="241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„Dalším ú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častníkem”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právnická osoba nebo fyzická osoba, organiza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složka státu nebo organiza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jednotka ministerstva, zabývající se výzkumem a vývojem, jejíž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 na projektu je vymezena v návrhu projektu a s níž 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uzav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řel smlouvu 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časti 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čemž se jedná o toho uchaze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říjemce, který obvykle není ve vztahu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k poskytovateli,</w:t>
      </w:r>
    </w:p>
    <w:p>
      <w:pPr>
        <w:numPr>
          <w:ilvl w:val="0"/>
          <w:numId w:val="3"/>
        </w:numPr>
        <w:tabs>
          <w:tab w:val="clear" w:pos="432"/>
          <w:tab w:val="left" w:pos="1080"/>
        </w:tabs>
        <w:spacing w:before="120" w:after="0" w:line="257" w:lineRule="exact"/>
        <w:ind w:right="0" w:left="1080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„Dobou 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doba ode dne zahájení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do dne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čemž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se považuje za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čené rovn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časného zastavení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v souvislosti s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čením platnosti Smlouvy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poskytnutí podpory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rozhodnutí o poskytnutí podpory,</w:t>
      </w:r>
    </w:p>
    <w:p>
      <w:pPr>
        <w:numPr>
          <w:ilvl w:val="0"/>
          <w:numId w:val="3"/>
        </w:numPr>
        <w:tabs>
          <w:tab w:val="clear" w:pos="432"/>
          <w:tab w:val="left" w:pos="1080"/>
        </w:tabs>
        <w:spacing w:before="121" w:after="215" w:line="258" w:lineRule="exact"/>
        <w:ind w:right="0" w:left="1080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„D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ěrnou informací”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informace, kterou lze považovat ve smyslu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říslušných ustanovení zákona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89/2012 Sb., ob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čanský zákoník za obchodní tajemství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kterou jedna ze smluvních stran ozna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čí jako 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ěrnou informaci, nebo jakákoliv informace, jejíž prozrazení jednou smluvní stranou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ůže být pro druhou smluvní stranu nevýhodné, není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li všeobecn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známa nebo nebyla smluvní stranou ozna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čena za ned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ěrnou,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07"/>
        <w:gridCol w:w="5253"/>
      </w:tblGrid>
      <w:tr>
        <w:trPr>
          <w:trHeight w:val="678" w:hRule="exact"/>
        </w:trPr>
        <w:tc>
          <w:tcPr>
            <w:tcW w:w="4507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0"/>
              <w:jc w:val="center"/>
              <w:textAlignment w:val="baseline"/>
            </w:pPr>
            <w:r>
              <w:drawing>
                <wp:inline>
                  <wp:extent cx="2861945" cy="414655"/>
                  <wp:docPr id="3" name="Picture"/>
                  <a:graphic>
                    <a:graphicData uri="http://schemas.openxmlformats.org/drawingml/2006/picture">
                      <pic:pic>
                        <pic:nvPicPr>
                          <pic:cNvPr id="4" name="test1"/>
                          <pic:cNvPicPr preferRelativeResize="false"/>
                        </pic:nvPicPr>
                        <pic:blipFill>
                          <a:blip r:embed="d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35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92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Strana 1/25</w:t>
            </w:r>
          </w:p>
        </w:tc>
      </w:tr>
    </w:tbl>
    <w:p>
      <w:pPr>
        <w:sectPr>
          <w:type w:val="nextPage"/>
          <w:pgSz w:w="11909" w:h="16838" w:orient="portrait"/>
          <w:pgMar w:bottom="462" w:top="1060" w:right="1098" w:left="1051" w:header="720" w:footer="720"/>
          <w:titlePg w:val="false"/>
          <w:textDirection w:val="lrTb"/>
        </w:sectPr>
      </w:pPr>
    </w:p>
    <w:p>
      <w:pPr>
        <w:spacing w:before="1" w:after="461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5" name="Picture"/>
            <a:graphic>
              <a:graphicData uri="http://schemas.openxmlformats.org/drawingml/2006/picture">
                <pic:pic>
                  <pic:nvPicPr>
                    <pic:cNvPr id="6" name="test1"/>
                    <pic:cNvPicPr preferRelativeResize="false"/>
                  </pic:nvPicPr>
                  <pic:blipFill>
                    <a:blip r:embed="drId6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tabs>
          <w:tab w:val="clear" w:pos="432"/>
          <w:tab w:val="left" w:pos="1080"/>
        </w:tabs>
        <w:spacing w:before="24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„Hlavním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říjemcem” ten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říjemce, který vstupuje s poskytovatelem do smluvního vztahu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odpovídá za 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veškerých povinností 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ěhem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poskytovateli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Smlouvy o poskytnutí podpory nebo rozhodnutí o poskytnutí podpory, a to jak povinností hlavního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říjemce, tak dalšího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častníka,</w:t>
      </w:r>
    </w:p>
    <w:p>
      <w:pPr>
        <w:numPr>
          <w:ilvl w:val="0"/>
          <w:numId w:val="4"/>
        </w:numPr>
        <w:tabs>
          <w:tab w:val="clear" w:pos="432"/>
          <w:tab w:val="left" w:pos="1080"/>
        </w:tabs>
        <w:spacing w:before="118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„Implementa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čním plánem” hlavním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ředkládaný plán implementace dosažených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</w:t>
      </w:r>
    </w:p>
    <w:p>
      <w:pPr>
        <w:numPr>
          <w:ilvl w:val="0"/>
          <w:numId w:val="4"/>
        </w:numPr>
        <w:tabs>
          <w:tab w:val="clear" w:pos="432"/>
          <w:tab w:val="left" w:pos="1080"/>
        </w:tabs>
        <w:spacing w:before="117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„IS VaVaI„ Informa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ční systém výzkumu, experimentálního vývoje a inovací neboli informa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ční systém ve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řejné správy zajiš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ťující shromaž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ďování, zpracování, poskytování a využívání údaj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ů</w:t>
      </w:r>
    </w:p>
    <w:p>
      <w:pPr>
        <w:numPr>
          <w:ilvl w:val="0"/>
          <w:numId w:val="5"/>
        </w:numPr>
        <w:tabs>
          <w:tab w:val="clear" w:pos="216"/>
          <w:tab w:val="left" w:pos="1296"/>
        </w:tabs>
        <w:spacing w:before="2" w:after="0" w:line="258" w:lineRule="exact"/>
        <w:ind w:right="0" w:left="1080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výzkumu, vývoji a inovacích podporovaných z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řejných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jehož obsah, postup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ředání, za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řazení, zpracování a poskytování údaj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je stanoven ZPVV, 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řízením vlády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397/2009 Sb., o informa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čním systému výzkumu, experimentálního vývoje a inovací, zvláštními právními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ředpisy a provozním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řádem IS VaVaI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,</w:t>
      </w:r>
    </w:p>
    <w:p>
      <w:pPr>
        <w:numPr>
          <w:ilvl w:val="0"/>
          <w:numId w:val="6"/>
        </w:numPr>
        <w:tabs>
          <w:tab w:val="clear" w:pos="432"/>
          <w:tab w:val="left" w:pos="1080"/>
        </w:tabs>
        <w:spacing w:before="122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„Kontrolním procesem” proces stanovený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čl. 19 Všeobecných podmínek, provád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ěný zejména za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čelem hodnocení 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cíl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projektu, kontroly financování projektu, zhodnocení dosažených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 jejich právní oc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hrany,</w:t>
      </w:r>
    </w:p>
    <w:p>
      <w:pPr>
        <w:numPr>
          <w:ilvl w:val="0"/>
          <w:numId w:val="6"/>
        </w:numPr>
        <w:tabs>
          <w:tab w:val="clear" w:pos="432"/>
          <w:tab w:val="left" w:pos="1080"/>
        </w:tabs>
        <w:spacing w:before="122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řízením” 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 Komise (ES)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651/2014 ze dne 17.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června 2014, kterým se v souladu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články 107 a 108 Smlouvy prohlašují ur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čité kategorie za slu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čitelné s vnit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řním trhem,</w:t>
      </w:r>
    </w:p>
    <w:p>
      <w:pPr>
        <w:numPr>
          <w:ilvl w:val="0"/>
          <w:numId w:val="6"/>
        </w:numPr>
        <w:tabs>
          <w:tab w:val="clear" w:pos="432"/>
          <w:tab w:val="left" w:pos="1080"/>
        </w:tabs>
        <w:spacing w:before="114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„Podnikem” každý subjekt vykonávající hospodá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řskou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činnost, bez ohledu na jeho právní formu ve smyslu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řílohy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1 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čemž tato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říloha 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článek II odst. 2 a 24 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 vymezují jednotlivé velikosti podniku na velký, 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řední, malý podnik a mikropodnik,</w:t>
      </w:r>
    </w:p>
    <w:p>
      <w:pPr>
        <w:numPr>
          <w:ilvl w:val="0"/>
          <w:numId w:val="6"/>
        </w:numPr>
        <w:tabs>
          <w:tab w:val="clear" w:pos="432"/>
          <w:tab w:val="left" w:pos="1080"/>
        </w:tabs>
        <w:spacing w:before="122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„Podporou”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čelové finan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ředky 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poskytnuté poskytovatelem formou dotace v návaznosti na výsledky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sout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ěže nebo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zakázky ve výzkumu, vývoji a inovacích a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Smlouvy o poskytnutí podpory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rozhodnutí o poskytnutí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podpory,</w:t>
      </w:r>
    </w:p>
    <w:p>
      <w:pPr>
        <w:numPr>
          <w:ilvl w:val="0"/>
          <w:numId w:val="6"/>
        </w:numPr>
        <w:tabs>
          <w:tab w:val="clear" w:pos="432"/>
          <w:tab w:val="left" w:pos="1080"/>
        </w:tabs>
        <w:spacing w:before="124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„Poskytovatelem” Technologická agentura 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České republiky (TA 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ČR),</w:t>
      </w:r>
    </w:p>
    <w:p>
      <w:pPr>
        <w:numPr>
          <w:ilvl w:val="0"/>
          <w:numId w:val="6"/>
        </w:numPr>
        <w:tabs>
          <w:tab w:val="clear" w:pos="432"/>
          <w:tab w:val="left" w:pos="1080"/>
        </w:tabs>
        <w:spacing w:before="117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13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13"/>
          <w:w w:val="100"/>
          <w:sz w:val="22"/>
          <w:vertAlign w:val="baseline"/>
          <w:lang w:val="cs-CZ"/>
        </w:rPr>
        <w:t xml:space="preserve">„Pravidly poskytnutí podpory” souhrn práv a povinností stanovených smlouvou</w:t>
      </w:r>
    </w:p>
    <w:p>
      <w:pPr>
        <w:numPr>
          <w:ilvl w:val="0"/>
          <w:numId w:val="7"/>
        </w:numPr>
        <w:tabs>
          <w:tab w:val="clear" w:pos="288"/>
          <w:tab w:val="left" w:pos="1368"/>
        </w:tabs>
        <w:spacing w:before="0" w:after="0" w:line="257" w:lineRule="exact"/>
        <w:ind w:right="0" w:left="1080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poskytnutí podpory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či rozhodnutím o poskytnutí podpory, všeobecnými podmínkami,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říslušným programem a zadávací dokumentací a obecn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 závaznými právními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ředpisy (národními i evropskými), zejména ZPVV, rozpo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čtovými pravidly a pravidly ve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řejné podpory,</w:t>
      </w:r>
    </w:p>
    <w:p>
      <w:pPr>
        <w:numPr>
          <w:ilvl w:val="0"/>
          <w:numId w:val="8"/>
        </w:numPr>
        <w:tabs>
          <w:tab w:val="clear" w:pos="432"/>
          <w:tab w:val="left" w:pos="1080"/>
        </w:tabs>
        <w:spacing w:before="121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„Pravidly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podpory” souhrn práv a povinností stanovených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článkem 107 až 109 Smlouvy o fungování Evropské unie, a pro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čely výzkumu, vývoje a inovací zejména Rá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mcem 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řízením,</w:t>
      </w:r>
    </w:p>
    <w:p>
      <w:pPr>
        <w:numPr>
          <w:ilvl w:val="0"/>
          <w:numId w:val="8"/>
        </w:numPr>
        <w:tabs>
          <w:tab w:val="clear" w:pos="432"/>
          <w:tab w:val="left" w:pos="1080"/>
        </w:tabs>
        <w:spacing w:before="124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„Programem” program ve smyslu § 2 odst. 2 písm. f) ZPVV,</w:t>
      </w:r>
    </w:p>
    <w:p>
      <w:pPr>
        <w:numPr>
          <w:ilvl w:val="0"/>
          <w:numId w:val="8"/>
        </w:numPr>
        <w:tabs>
          <w:tab w:val="clear" w:pos="432"/>
          <w:tab w:val="left" w:pos="1080"/>
        </w:tabs>
        <w:spacing w:before="121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„Projektem” projekt ve smyslu § 2 odst. 2 písm. g) ZPVV,</w:t>
      </w:r>
    </w:p>
    <w:p>
      <w:pPr>
        <w:numPr>
          <w:ilvl w:val="0"/>
          <w:numId w:val="8"/>
        </w:numPr>
        <w:tabs>
          <w:tab w:val="clear" w:pos="432"/>
          <w:tab w:val="left" w:pos="1080"/>
        </w:tabs>
        <w:spacing w:before="114" w:after="494" w:line="258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ětem duševního vlastnictví” majetek nehmotné povahy, kterým jsou díla chrán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ěná podle práva autorského a práv souvisejících s právem autorským 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ěty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ůmyslov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právní ochrany, tj. technická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(patenty, užitné vzory,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topografie polovodi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čových výrobk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ů),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ěty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ůmyslového výtvarnictví a designu (pr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ůmyslové vzory), ozna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výrobk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 služeb (ochranné známky, ozna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ůvodu, zem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ěpisná ozna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čení, obchodní firma) a dále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ředevším obchodní tajemství a know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how (psané i nepsané výrobní, obchodní a jiné zkušenosti),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7" name="Picture"/>
                  <a:graphic>
                    <a:graphicData uri="http://schemas.openxmlformats.org/drawingml/2006/picture">
                      <pic:pic>
                        <pic:nvPicPr>
                          <pic:cNvPr id="8" name="test1"/>
                          <pic:cNvPicPr preferRelativeResize="false"/>
                        </pic:nvPicPr>
                        <pic:blipFill>
                          <a:blip r:embed="d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92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Strana 2/25</w:t>
            </w:r>
          </w:p>
        </w:tc>
      </w:tr>
    </w:tbl>
    <w:p>
      <w:pPr>
        <w:spacing w:before="1" w:after="461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9" name="Picture"/>
            <a:graphic>
              <a:graphicData uri="http://schemas.openxmlformats.org/drawingml/2006/picture">
                <pic:pic>
                  <pic:nvPicPr>
                    <pic:cNvPr id="10" name="test1"/>
                    <pic:cNvPicPr preferRelativeResize="false"/>
                  </pic:nvPicPr>
                  <pic:blipFill>
                    <a:blip r:embed="drId8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9"/>
        </w:numPr>
        <w:tabs>
          <w:tab w:val="clear" w:pos="432"/>
          <w:tab w:val="left" w:pos="1080"/>
        </w:tabs>
        <w:spacing w:before="23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„P</w:t>
      </w:r>
      <w:r>
        <w:rPr>
          <w:rFonts w:ascii="Cambria" w:hAnsi="Cambria" w:eastAsia="Cambria"/>
          <w:b w:val="true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říjemcem”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uchaze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č, v jehož prosp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ěch bylo o poskytnutí podpory poskytovatelem rozhodnuto,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čemž rozhodným dnem je den doru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čení tohoto rozhodnutí, a kterému pokud se stanoví práva a povinnosti, stanoví se tak spole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 hlavnímu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říjemci a dalším ú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častník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ům,</w:t>
      </w:r>
    </w:p>
    <w:p>
      <w:pPr>
        <w:numPr>
          <w:ilvl w:val="0"/>
          <w:numId w:val="9"/>
        </w:numPr>
        <w:tabs>
          <w:tab w:val="clear" w:pos="432"/>
          <w:tab w:val="left" w:pos="1080"/>
        </w:tabs>
        <w:spacing w:before="116" w:after="0" w:line="259" w:lineRule="exact"/>
        <w:ind w:right="0" w:left="1080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„Rámcem”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ělení Komise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-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Rámec pro státní podporu výzkumu, vývoje a inovací (2014/C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198/01),</w:t>
      </w:r>
    </w:p>
    <w:p>
      <w:pPr>
        <w:numPr>
          <w:ilvl w:val="0"/>
          <w:numId w:val="9"/>
        </w:numPr>
        <w:tabs>
          <w:tab w:val="clear" w:pos="432"/>
          <w:tab w:val="left" w:pos="1080"/>
        </w:tabs>
        <w:spacing w:before="122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„Rozpo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čtovými pravidly”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zákon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218/2000 Sb., o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čtových pravidlech a o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ěkterých souvisejících zákon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(rozpo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čtová pravidla), ve zn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pozd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ějších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ředpis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</w:t>
      </w:r>
    </w:p>
    <w:p>
      <w:pPr>
        <w:numPr>
          <w:ilvl w:val="0"/>
          <w:numId w:val="9"/>
        </w:numPr>
        <w:tabs>
          <w:tab w:val="clear" w:pos="432"/>
          <w:tab w:val="left" w:pos="1080"/>
        </w:tabs>
        <w:spacing w:before="116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Řešitelem”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fyzická osoba odpov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ědná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říjemci za odbornou úrove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 projektu,</w:t>
      </w:r>
    </w:p>
    <w:p>
      <w:pPr>
        <w:numPr>
          <w:ilvl w:val="0"/>
          <w:numId w:val="9"/>
        </w:numPr>
        <w:tabs>
          <w:tab w:val="clear" w:pos="432"/>
          <w:tab w:val="left" w:pos="1080"/>
        </w:tabs>
        <w:spacing w:before="129" w:after="0" w:line="255" w:lineRule="exact"/>
        <w:ind w:right="0" w:left="1080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„Smlouvou o ú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časti na 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smlouva uzav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řená mezi hlavním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dalšími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častníky v souladu s § 2 odst. 2 písm. h) ZPVV,</w:t>
      </w:r>
    </w:p>
    <w:p>
      <w:pPr>
        <w:numPr>
          <w:ilvl w:val="0"/>
          <w:numId w:val="9"/>
        </w:numPr>
        <w:tabs>
          <w:tab w:val="clear" w:pos="432"/>
          <w:tab w:val="left" w:pos="1080"/>
        </w:tabs>
        <w:spacing w:before="121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„Uznanými náklady”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náklady ve smyslu § 2 odst. 2 písm. l) ZPVV,</w:t>
      </w:r>
    </w:p>
    <w:p>
      <w:pPr>
        <w:numPr>
          <w:ilvl w:val="0"/>
          <w:numId w:val="9"/>
        </w:numPr>
        <w:tabs>
          <w:tab w:val="clear" w:pos="432"/>
          <w:tab w:val="left" w:pos="1080"/>
        </w:tabs>
        <w:spacing w:before="122" w:after="0" w:line="257" w:lineRule="exact"/>
        <w:ind w:right="0" w:left="1080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„Ve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řejnosprávní kontrolou“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kontrola provád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ěná 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finan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podpory nebo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uchaze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o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řejnou finan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podporu poskytovatelem jako kontrolním orgánem ve smyslu § 3 odst. 1 písm. a) zákona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320/2001 Sb., o finan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kontrole,</w:t>
      </w:r>
    </w:p>
    <w:p>
      <w:pPr>
        <w:numPr>
          <w:ilvl w:val="0"/>
          <w:numId w:val="9"/>
        </w:numPr>
        <w:tabs>
          <w:tab w:val="clear" w:pos="432"/>
          <w:tab w:val="left" w:pos="1080"/>
        </w:tabs>
        <w:spacing w:before="116" w:after="0" w:line="259" w:lineRule="exact"/>
        <w:ind w:right="0" w:left="1080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„Ve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řejnou podporou”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podpora ve smyslu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článku 107 odst. 1 Smlouvy o fungování Evropské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unie,</w:t>
      </w:r>
    </w:p>
    <w:p>
      <w:pPr>
        <w:numPr>
          <w:ilvl w:val="0"/>
          <w:numId w:val="9"/>
        </w:numPr>
        <w:tabs>
          <w:tab w:val="clear" w:pos="432"/>
          <w:tab w:val="left" w:pos="1080"/>
        </w:tabs>
        <w:spacing w:before="100" w:after="0" w:line="279" w:lineRule="exact"/>
        <w:ind w:right="0" w:left="1080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„Ve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řejnou sout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ěží”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řejná sout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 ve výzkumu, vývoji a inovacích podle Hlavy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ZPVV,</w:t>
      </w:r>
    </w:p>
    <w:p>
      <w:pPr>
        <w:numPr>
          <w:ilvl w:val="0"/>
          <w:numId w:val="9"/>
        </w:numPr>
        <w:tabs>
          <w:tab w:val="clear" w:pos="432"/>
          <w:tab w:val="left" w:pos="1080"/>
        </w:tabs>
        <w:spacing w:before="122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„Ve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řejnou zakázkou ve výzkumu, vývoji a inovacích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“ zakázka na služby v aplikovaném výzkumu, vývoji nebo inovacích podle § 2 odst. 2, písm. e) ZPVV,</w:t>
      </w:r>
    </w:p>
    <w:p>
      <w:pPr>
        <w:spacing w:before="96" w:after="0" w:line="279" w:lineRule="exact"/>
        <w:ind w:right="0" w:left="648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aa) 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„Výsledek projektu”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výsledek ve smyslu § 2 odst. 2 písm. i) ZPVV,</w:t>
      </w:r>
    </w:p>
    <w:p>
      <w:pPr>
        <w:spacing w:before="114" w:after="0" w:line="259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bb) 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„Výzkumnou organizací”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organizace pro výzkum a ší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ření znalostí ve smyslu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článku. 2 odst. 83 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řízení,</w:t>
      </w:r>
    </w:p>
    <w:p>
      <w:pPr>
        <w:spacing w:before="123" w:after="0" w:line="258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cc)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“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Závaznými parametry 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říloha Smlouvy o poskytnutí podpory, která je schváleným návrhem projektu ve smyslu § 9 odst. 2 ZPVV, a která obsahuje ozna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hlavního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a dalších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jméno,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říjmení 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řípadné akademické tituly a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ědecké hodnosti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řešitele,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časový plán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termínu zahájení a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rojektu, cíle projektu, deklarované výsledky projektu, a jejichž sou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částí je tabulka uznaných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projektu,</w:t>
      </w:r>
    </w:p>
    <w:p>
      <w:pPr>
        <w:spacing w:before="116" w:after="0" w:line="259" w:lineRule="exact"/>
        <w:ind w:right="0" w:left="1080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dd) 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„ZPVV”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zákon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130/2002 Sb., o podpo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 výzkumu, experimentálního vývoje a inovací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řejných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 o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ěkterých souvisejících zákon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(zákon o podpo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 výzkumu, experimentálního vývoje a inovací),</w:t>
      </w:r>
    </w:p>
    <w:p>
      <w:pPr>
        <w:spacing w:before="101" w:after="0" w:line="279" w:lineRule="exact"/>
        <w:ind w:right="0" w:left="648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ee) </w:t>
      </w:r>
      <w:r>
        <w:rPr>
          <w:rFonts w:ascii="Cambria" w:hAnsi="Cambria" w:eastAsia="Cambria"/>
          <w:b w:val="true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“ZZVZ” </w:t>
      </w: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zákon </w:t>
      </w: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č. 134/2016 Sb., o zadávání ve</w:t>
      </w: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řejných zakázek,</w:t>
      </w:r>
    </w:p>
    <w:p>
      <w:pPr>
        <w:tabs>
          <w:tab w:val="left" w:leader="none" w:pos="1080"/>
        </w:tabs>
        <w:spacing w:before="96" w:after="2198" w:line="282" w:lineRule="exact"/>
        <w:ind w:right="0" w:left="648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ff)	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„Zp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ůsobilými náklady”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náklady ve smyslu § 2 odst. 2 písm. k) ZPVV.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11" name="Picture"/>
                  <a:graphic>
                    <a:graphicData uri="http://schemas.openxmlformats.org/drawingml/2006/picture">
                      <pic:pic>
                        <pic:nvPicPr>
                          <pic:cNvPr id="12" name="test1"/>
                          <pic:cNvPicPr preferRelativeResize="false"/>
                        </pic:nvPicPr>
                        <pic:blipFill>
                          <a:blip r:embed="d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92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Strana 3/25</w:t>
            </w:r>
          </w:p>
        </w:tc>
      </w:tr>
    </w:tbl>
    <w:p>
      <w:pPr>
        <w:spacing w:before="1" w:after="452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13" name="Picture"/>
            <a:graphic>
              <a:graphicData uri="http://schemas.openxmlformats.org/drawingml/2006/picture">
                <pic:pic>
                  <pic:nvPicPr>
                    <pic:cNvPr id="14" name="test1"/>
                    <pic:cNvPicPr preferRelativeResize="false"/>
                  </pic:nvPicPr>
                  <pic:blipFill>
                    <a:blip r:embed="d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7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Část B – Práva a povinnosti smluvních stran, d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ůsledky jejich porušení
</w:t>
        <w:br/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a 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ukon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čení Smlouvy</w:t>
      </w:r>
    </w:p>
    <w:p>
      <w:pPr>
        <w:spacing w:before="303" w:after="0" w:line="244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Článek 3</w:t>
      </w:r>
    </w:p>
    <w:p>
      <w:pPr>
        <w:spacing w:before="15" w:after="0" w:line="244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Poskytnutí podpory</w:t>
      </w:r>
    </w:p>
    <w:p>
      <w:pPr>
        <w:tabs>
          <w:tab w:val="decimal" w:leader="none" w:pos="216"/>
          <w:tab w:val="left" w:leader="none" w:pos="504"/>
        </w:tabs>
        <w:spacing w:before="204" w:after="0" w:line="296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1.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 poskytuje hlavnímu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říjemci podporu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Smlouvy a za podmínek v ní</w:t>
      </w:r>
    </w:p>
    <w:p>
      <w:pPr>
        <w:spacing w:before="1" w:after="0" w:line="296" w:lineRule="exact"/>
        <w:ind w:right="0" w:left="576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uvedených v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četn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 podpory ur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čené dalším ú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častník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ům.</w:t>
      </w:r>
    </w:p>
    <w:p>
      <w:pPr>
        <w:tabs>
          <w:tab w:val="decimal" w:leader="none" w:pos="216"/>
          <w:tab w:val="left" w:leader="none" w:pos="504"/>
        </w:tabs>
        <w:spacing w:before="242" w:after="0" w:line="296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2.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 se zavazuje po provedení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sout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zakázky poskytnout podporu na</w:t>
      </w:r>
    </w:p>
    <w:p>
      <w:pPr>
        <w:spacing w:before="0" w:after="0" w:line="295" w:lineRule="exact"/>
        <w:ind w:right="0" w:left="57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ve výši uvedené v Závazných parametrech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zp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ůsobem uvedeným ve specifických podmínkách Smlouvy.</w:t>
      </w:r>
    </w:p>
    <w:p>
      <w:pPr>
        <w:tabs>
          <w:tab w:val="decimal" w:leader="none" w:pos="216"/>
          <w:tab w:val="left" w:leader="none" w:pos="504"/>
        </w:tabs>
        <w:spacing w:before="242" w:after="0" w:line="296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3.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ředpokladem pro poskytnutí podpory je, že</w:t>
      </w:r>
    </w:p>
    <w:p>
      <w:pPr>
        <w:numPr>
          <w:ilvl w:val="0"/>
          <w:numId w:val="10"/>
        </w:numPr>
        <w:tabs>
          <w:tab w:val="clear" w:pos="360"/>
          <w:tab w:val="left" w:pos="936"/>
        </w:tabs>
        <w:spacing w:before="203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nedojde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ůsledku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čtového provizoria nebo krácení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ze státního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k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regulaci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čerpání státního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čtu a</w:t>
      </w:r>
    </w:p>
    <w:p>
      <w:pPr>
        <w:numPr>
          <w:ilvl w:val="0"/>
          <w:numId w:val="10"/>
        </w:numPr>
        <w:tabs>
          <w:tab w:val="clear" w:pos="360"/>
          <w:tab w:val="left" w:pos="936"/>
        </w:tabs>
        <w:spacing w:before="0" w:after="0" w:line="294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nebylo rozhodnuto o pozastavení poskytování podpory.</w:t>
      </w:r>
    </w:p>
    <w:p>
      <w:pPr>
        <w:spacing w:before="338" w:after="0" w:line="296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4. Dojde-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li k regulaci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čerpání státního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čtu, poskytovatel v závislosti na povaze a rozsahu takového opat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ření</w:t>
      </w:r>
    </w:p>
    <w:p>
      <w:pPr>
        <w:numPr>
          <w:ilvl w:val="0"/>
          <w:numId w:val="11"/>
        </w:numPr>
        <w:tabs>
          <w:tab w:val="clear" w:pos="360"/>
          <w:tab w:val="left" w:pos="936"/>
        </w:tabs>
        <w:spacing w:before="201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oznámí písemn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 hlavnímu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říjemci, že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říslušnou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část podpory neposkytne ve stanovené lh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ůt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a je-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li tak možné, uvede jinou lh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ůtu, kdy bude hlavnímu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říjemci tato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část podpory poskytnuta,</w:t>
      </w:r>
    </w:p>
    <w:p>
      <w:pPr>
        <w:numPr>
          <w:ilvl w:val="0"/>
          <w:numId w:val="11"/>
        </w:numPr>
        <w:tabs>
          <w:tab w:val="clear" w:pos="360"/>
          <w:tab w:val="left" w:pos="936"/>
        </w:tabs>
        <w:spacing w:before="1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navrhne hlavnímu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říjemci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ěnu Závazných parametr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nebo</w:t>
      </w:r>
    </w:p>
    <w:p>
      <w:pPr>
        <w:numPr>
          <w:ilvl w:val="0"/>
          <w:numId w:val="11"/>
        </w:numPr>
        <w:tabs>
          <w:tab w:val="clear" w:pos="360"/>
          <w:tab w:val="left" w:pos="936"/>
        </w:tabs>
        <w:spacing w:before="2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smlouvu vypoví.</w:t>
      </w:r>
    </w:p>
    <w:p>
      <w:pPr>
        <w:spacing w:before="337" w:after="0" w:line="296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5. Poskytova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tel si vyhrazuje právo neposkytnout podporu ve lh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ůt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ě dle specifických podmínek Smlouvy, pokud má pochybnosti o spln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ění veškerých povinností hlavního p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říjemce, p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čemž k ov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ě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ření je zapot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řebí využít kontrolní proces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. 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Lh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ůta se prodlouží o tu dobu, co byl provád</w:t>
      </w:r>
      <w:r>
        <w:rPr>
          <w:rFonts w:ascii="Cambria" w:hAnsi="Cambria" w:eastAsia="Cambria"/>
          <w:strike w:val="false"/>
          <w:color w:val="000000"/>
          <w:spacing w:val="2"/>
          <w:w w:val="100"/>
          <w:sz w:val="22"/>
          <w:vertAlign w:val="baseline"/>
          <w:lang w:val="cs-CZ"/>
        </w:rPr>
        <w:t xml:space="preserve">ěn kontrolní proces.</w:t>
      </w:r>
    </w:p>
    <w:p>
      <w:pPr>
        <w:spacing w:before="241" w:after="0" w:line="296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6. </w:t>
      </w: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Povinnosti hlavního p</w:t>
      </w: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říjemce se považují pro ú</w:t>
      </w: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čely poskytnutí podpory za spln</w:t>
      </w: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ěné, pokud na základ</w:t>
      </w: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ě ukon</w:t>
      </w: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čených nebo probíhajících kontrolních proces</w:t>
      </w: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ů poskytovatel ve lh</w:t>
      </w: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ůt</w:t>
      </w: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ě pro poskytnutí </w:t>
      </w:r>
      <w:r>
        <w:rPr>
          <w:rFonts w:ascii="Cambria" w:hAnsi="Cambria" w:eastAsia="Cambria"/>
          <w:strike w:val="false"/>
          <w:color w:val="000000"/>
          <w:spacing w:val="1"/>
          <w:w w:val="100"/>
          <w:sz w:val="22"/>
          <w:vertAlign w:val="baseline"/>
          <w:lang w:val="cs-CZ"/>
        </w:rPr>
        <w:t xml:space="preserve">podpory</w:t>
      </w:r>
    </w:p>
    <w:p>
      <w:pPr>
        <w:numPr>
          <w:ilvl w:val="0"/>
          <w:numId w:val="12"/>
        </w:numPr>
        <w:tabs>
          <w:tab w:val="clear" w:pos="360"/>
          <w:tab w:val="left" w:pos="936"/>
        </w:tabs>
        <w:spacing w:before="202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písemn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hlavnímu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říjemci neoznámí zahájení kontrolního procesu,</w:t>
      </w:r>
    </w:p>
    <w:p>
      <w:pPr>
        <w:numPr>
          <w:ilvl w:val="0"/>
          <w:numId w:val="12"/>
        </w:numPr>
        <w:tabs>
          <w:tab w:val="clear" w:pos="360"/>
          <w:tab w:val="left" w:pos="936"/>
        </w:tabs>
        <w:spacing w:before="2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písemn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hlavního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nevyzve k dodate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čnému spln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všech jeho závazk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</w:t>
      </w:r>
    </w:p>
    <w:p>
      <w:pPr>
        <w:numPr>
          <w:ilvl w:val="0"/>
          <w:numId w:val="12"/>
        </w:numPr>
        <w:tabs>
          <w:tab w:val="clear" w:pos="360"/>
          <w:tab w:val="left" w:pos="936"/>
        </w:tabs>
        <w:spacing w:before="0" w:after="0" w:line="294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neodešle hlavnímu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říjemci výpov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ď nebo odstoupení od Smlouvy nebo</w:t>
      </w:r>
    </w:p>
    <w:p>
      <w:pPr>
        <w:numPr>
          <w:ilvl w:val="0"/>
          <w:numId w:val="12"/>
        </w:numPr>
        <w:tabs>
          <w:tab w:val="clear" w:pos="360"/>
          <w:tab w:val="left" w:pos="936"/>
        </w:tabs>
        <w:spacing w:before="1" w:after="205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nepodá podn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 k zahájení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 o porušení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čtové kázn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k místn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říslušnému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fina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čnímu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řadu nebo nepodá v souvislosti s domn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ělým trestným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činem spáchaným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souvislosti 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řešením projektu trestní oznámení na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a místn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říslušný orgán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činný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trestním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15" name="Picture"/>
                  <a:graphic>
                    <a:graphicData uri="http://schemas.openxmlformats.org/drawingml/2006/picture">
                      <pic:pic>
                        <pic:nvPicPr>
                          <pic:cNvPr id="16" name="test1"/>
                          <pic:cNvPicPr preferRelativeResize="false"/>
                        </pic:nvPicPr>
                        <pic:blipFill>
                          <a:blip r:embed="d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92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Strana 4/25</w:t>
            </w:r>
          </w:p>
        </w:tc>
      </w:tr>
    </w:tbl>
    <w:p>
      <w:pPr>
        <w:spacing w:before="1" w:after="482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17" name="Picture"/>
            <a:graphic>
              <a:graphicData uri="http://schemas.openxmlformats.org/drawingml/2006/picture">
                <pic:pic>
                  <pic:nvPicPr>
                    <pic:cNvPr id="18" name="test1"/>
                    <pic:cNvPicPr preferRelativeResize="false"/>
                  </pic:nvPicPr>
                  <pic:blipFill>
                    <a:blip r:embed="d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decimal" w:leader="none" w:pos="216"/>
          <w:tab w:val="left" w:leader="none" w:pos="504"/>
        </w:tabs>
        <w:spacing w:before="23" w:after="0" w:line="235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7.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 poskytuje podporu</w:t>
      </w:r>
    </w:p>
    <w:p>
      <w:pPr>
        <w:numPr>
          <w:ilvl w:val="0"/>
          <w:numId w:val="13"/>
        </w:numPr>
        <w:tabs>
          <w:tab w:val="clear" w:pos="360"/>
          <w:tab w:val="left" w:pos="936"/>
        </w:tabs>
        <w:spacing w:before="202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vysoké škole a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výzkumné instituci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řevodem z bankovního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čtu poskytovatele na bankovní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 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České národní banky uvedený ve smlouv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</w:t>
      </w:r>
    </w:p>
    <w:p>
      <w:pPr>
        <w:numPr>
          <w:ilvl w:val="0"/>
          <w:numId w:val="13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ostatním fyzickým a právnickým osobám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řevodem z bankovního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čtu poskytovatele na bankovní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 uvedený ve smlouv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a</w:t>
      </w:r>
    </w:p>
    <w:p>
      <w:pPr>
        <w:numPr>
          <w:ilvl w:val="0"/>
          <w:numId w:val="13"/>
        </w:numPr>
        <w:tabs>
          <w:tab w:val="clear" w:pos="360"/>
          <w:tab w:val="left" w:pos="936"/>
        </w:tabs>
        <w:spacing w:before="0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organiza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čním složkám státu nebo organiza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čním jednotkám ministerstva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řevodem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státního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čtu pomocí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čtového opat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ření.</w:t>
      </w:r>
    </w:p>
    <w:p>
      <w:pPr>
        <w:spacing w:before="334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8.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říslušná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 podpory se považuje za poskytnutou dnem, kdy jsou finan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ředky takto ur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čené uvoln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ěny z bankovního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čtu poskytovatele, nebo schválením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čtového opat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ření Ministerstvem financí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České republiky.</w:t>
      </w:r>
    </w:p>
    <w:p>
      <w:pPr>
        <w:tabs>
          <w:tab w:val="decimal" w:leader="none" w:pos="216"/>
          <w:tab w:val="left" w:leader="none" w:pos="504"/>
        </w:tabs>
        <w:spacing w:before="240" w:after="0" w:line="297" w:lineRule="exact"/>
        <w:ind w:right="0" w:left="72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9.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Veškeré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činnosti, na které je podpora poskytována musí sm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řovat k dosažení cíl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projektu, neboli</w:t>
      </w:r>
    </w:p>
    <w:p>
      <w:pPr>
        <w:spacing w:before="1" w:after="0" w:line="297" w:lineRule="exact"/>
        <w:ind w:right="0" w:left="57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k napln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čelu podpory, tj.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svou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činností vytvo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ředpoklady k tomu, aby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ěchto cíl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bylo dosaženo.</w:t>
      </w:r>
    </w:p>
    <w:p>
      <w:pPr>
        <w:spacing w:before="233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10.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Pokud nedojde k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čerpání celé poskytnuté podpory v pr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ěhu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řešení projektu, hlavní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říjemce je povinen vrátit nevy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čerpanou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část podpory na ú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čet poskytovatele.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říjemce je povinen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řevést nevy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čerpanou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část podpory na výdajový ú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čet poskytovatele nejpozd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ěji do 14 kalendá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řních dn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 poté, co se dozví, že tuto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část z jakéhokoliv d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ůvodu nevyužije v pr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ěhu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řešení projektu, nebo poté, co byl poskytovatelem k jejímu vrácení vyzván. Nevy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čerpanou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část podpory je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říjemce povinen vrátit nejpozd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ěji do 31. prosince kalendá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řního roku, v 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ěmž bylo ukon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čeno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řešení projektu na výdajový ú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čet poskytovatele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č.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3125001/0710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. Nejvýše 5 % nevy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čerpané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části podpory z podpory poskytnuté v posledním kalendá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řním roce je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říjemce povinen vrátit nejpozd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ěji do 15. úno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ra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následujícího kalendá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řního roku po ukon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řešení projektu, a to na ú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čet cizích prost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ředk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č.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6015-3125001/0710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. Do 15. února roku následujícího po ukon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řešení projektu je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říjemce povinen rovn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ěž provést finan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ční vypo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řádání se státním rozpo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čtem.</w:t>
      </w:r>
    </w:p>
    <w:p>
      <w:pPr>
        <w:spacing w:before="829" w:after="0" w:line="252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Článek 4</w:t>
      </w:r>
    </w:p>
    <w:p>
      <w:pPr>
        <w:spacing w:before="3" w:after="0" w:line="254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Povinnosti hlavního p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</w:t>
      </w:r>
    </w:p>
    <w:p>
      <w:pPr>
        <w:tabs>
          <w:tab w:val="decimal" w:leader="none" w:pos="216"/>
          <w:tab w:val="left" w:leader="none" w:pos="504"/>
        </w:tabs>
        <w:spacing w:before="194" w:after="0" w:line="297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1.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je povinen</w:t>
      </w:r>
    </w:p>
    <w:p>
      <w:pPr>
        <w:numPr>
          <w:ilvl w:val="0"/>
          <w:numId w:val="14"/>
        </w:numPr>
        <w:tabs>
          <w:tab w:val="clear" w:pos="360"/>
          <w:tab w:val="left" w:pos="936"/>
        </w:tabs>
        <w:spacing w:before="198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čerpat a využívat podporu v souladu s pravidly poskytnutí podpory a Závaznými parametry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zejména využívat podporu na uznané náklady v souladu 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částí E a postupovat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 souladu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 § 8 odst. 4 ZPVV podle ZZVZ,</w:t>
      </w:r>
    </w:p>
    <w:p>
      <w:pPr>
        <w:numPr>
          <w:ilvl w:val="0"/>
          <w:numId w:val="14"/>
        </w:numPr>
        <w:tabs>
          <w:tab w:val="clear" w:pos="360"/>
          <w:tab w:val="left" w:pos="936"/>
        </w:tabs>
        <w:spacing w:before="2" w:after="306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uhradit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 podpory využité dalším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častníkem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rozporu 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pravidly poskytnutí podpory a Závaznými parametry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spo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čívající zejména v nevyužití podpory dalším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častníkem na uznané náklady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souladu 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částí E a nepostupování v souladu s § 8 odst. 4 ZPVV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ZZVZ,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19" name="Picture"/>
                  <a:graphic>
                    <a:graphicData uri="http://schemas.openxmlformats.org/drawingml/2006/picture">
                      <pic:pic>
                        <pic:nvPicPr>
                          <pic:cNvPr id="20" name="test1"/>
                          <pic:cNvPicPr preferRelativeResize="false"/>
                        </pic:nvPicPr>
                        <pic:blipFill>
                          <a:blip r:embed="d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92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Strana 5/25</w:t>
            </w:r>
          </w:p>
        </w:tc>
      </w:tr>
    </w:tbl>
    <w:p>
      <w:pPr>
        <w:sectPr>
          <w:type w:val="nextPage"/>
          <w:pgSz w:w="11909" w:h="16838" w:orient="portrait"/>
          <w:pgMar w:bottom="462" w:top="1060" w:right="1113" w:left="1036" w:header="720" w:footer="720"/>
          <w:titlePg w:val="false"/>
          <w:textDirection w:val="lrTb"/>
        </w:sectPr>
      </w:pPr>
    </w:p>
    <w:p>
      <w:pPr>
        <w:spacing w:before="1" w:after="443" w:line="240" w:lineRule="auto"/>
        <w:ind w:right="8502" w:left="20"/>
        <w:jc w:val="left"/>
        <w:textAlignment w:val="baseline"/>
      </w:pPr>
      <w:r>
        <w:drawing>
          <wp:inline>
            <wp:extent cx="786130" cy="786130"/>
            <wp:docPr id="21" name="Picture"/>
            <a:graphic>
              <a:graphicData uri="http://schemas.openxmlformats.org/drawingml/2006/picture">
                <pic:pic>
                  <pic:nvPicPr>
                    <pic:cNvPr id="22" name="test1"/>
                    <pic:cNvPicPr preferRelativeResize="false"/>
                  </pic:nvPicPr>
                  <pic:blipFill>
                    <a:blip r:embed="d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5"/>
        </w:numPr>
        <w:tabs>
          <w:tab w:val="clear" w:pos="360"/>
          <w:tab w:val="left" w:pos="936"/>
        </w:tabs>
        <w:spacing w:before="2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dosáhnout do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všech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deklarovaných v Závazných parametrech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</w:t>
      </w:r>
    </w:p>
    <w:p>
      <w:pPr>
        <w:numPr>
          <w:ilvl w:val="0"/>
          <w:numId w:val="15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řevést ze svého bankovního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čtu na bankovní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čty dalších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říslušnou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 podpory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odle Závazných parametr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ve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ůtách stanovených ve smlouv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časti 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</w:t>
      </w:r>
    </w:p>
    <w:p>
      <w:pPr>
        <w:numPr>
          <w:ilvl w:val="0"/>
          <w:numId w:val="15"/>
        </w:numPr>
        <w:tabs>
          <w:tab w:val="clear" w:pos="360"/>
          <w:tab w:val="left" w:pos="936"/>
        </w:tabs>
        <w:spacing w:before="3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vrátit poskytovateli na jeho 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ěžný výdajový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 podpory, kterou nevyužije, a to v souladu 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čl. 3 odst. 10,</w:t>
      </w:r>
    </w:p>
    <w:p>
      <w:pPr>
        <w:numPr>
          <w:ilvl w:val="0"/>
          <w:numId w:val="15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vést v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četnictví odd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ělenou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četní evidenci uznaných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 poskytnuté podpory projektu, financovaných z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ur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čených k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pro každý jednotlivý projekt, a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da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ňové evidence odd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ělenou evidenci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projektu,</w:t>
      </w:r>
    </w:p>
    <w:p>
      <w:pPr>
        <w:numPr>
          <w:ilvl w:val="0"/>
          <w:numId w:val="15"/>
        </w:numPr>
        <w:tabs>
          <w:tab w:val="clear" w:pos="360"/>
          <w:tab w:val="left" w:pos="936"/>
        </w:tabs>
        <w:spacing w:before="6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zaplatit smluvní pokutu stanovenou podle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l. 5 odst. 3,</w:t>
      </w:r>
    </w:p>
    <w:p>
      <w:pPr>
        <w:numPr>
          <w:ilvl w:val="0"/>
          <w:numId w:val="15"/>
        </w:numPr>
        <w:tabs>
          <w:tab w:val="clear" w:pos="360"/>
          <w:tab w:val="left" w:pos="936"/>
        </w:tabs>
        <w:spacing w:before="0" w:after="0" w:line="295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 výjimkou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zakázky ve výzkumu, vývoji a inovacích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ředložit spole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se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čnou zprávou smlouvu o využití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uzav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řenou s uživatelem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anebo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řádné od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ůvodn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(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čestné prohlášení o využití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ů), zejména pokud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bude jediným uživatelem výsledku projektu,</w:t>
      </w:r>
    </w:p>
    <w:p>
      <w:pPr>
        <w:numPr>
          <w:ilvl w:val="0"/>
          <w:numId w:val="15"/>
        </w:numPr>
        <w:tabs>
          <w:tab w:val="clear" w:pos="360"/>
          <w:tab w:val="left" w:pos="936"/>
        </w:tabs>
        <w:spacing w:before="1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 výsledky podle pravidel stanovených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čl.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15,</w:t>
      </w:r>
    </w:p>
    <w:p>
      <w:pPr>
        <w:numPr>
          <w:ilvl w:val="0"/>
          <w:numId w:val="15"/>
        </w:numPr>
        <w:tabs>
          <w:tab w:val="clear" w:pos="360"/>
          <w:tab w:val="left" w:pos="936"/>
        </w:tabs>
        <w:spacing w:before="3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bez zbyte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čného odkladu po výzv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poskytovatele protokolárn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ředat poskytovateli výsledek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zakázky ve výzkumu, vývoji a inovacích.</w:t>
      </w:r>
    </w:p>
    <w:p>
      <w:pPr>
        <w:tabs>
          <w:tab w:val="left" w:leader="none" w:pos="504"/>
        </w:tabs>
        <w:spacing w:before="337" w:after="0" w:line="297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2.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je dále povinen</w:t>
      </w:r>
    </w:p>
    <w:p>
      <w:pPr>
        <w:numPr>
          <w:ilvl w:val="0"/>
          <w:numId w:val="16"/>
        </w:numPr>
        <w:tabs>
          <w:tab w:val="clear" w:pos="360"/>
          <w:tab w:val="left" w:pos="936"/>
        </w:tabs>
        <w:spacing w:before="20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zahájit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v termínu stanoveném v Závazných parametrech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nejpozd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ěji však do 60 kalendá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řních 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ode dne nabytí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 Smlouvy,</w:t>
      </w:r>
    </w:p>
    <w:p>
      <w:pPr>
        <w:numPr>
          <w:ilvl w:val="0"/>
          <w:numId w:val="16"/>
        </w:numPr>
        <w:tabs>
          <w:tab w:val="clear" w:pos="360"/>
          <w:tab w:val="left" w:pos="936"/>
        </w:tabs>
        <w:spacing w:before="5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písemn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 informovat poskytovatele o veškerých zm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ěnách, týkajících se jeho osoby nebo dalšího ú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častníka, o zm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ěnách veškerých skute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čností uvedených v Závazných parametrech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řešení projektu, a dále o jakýchkoliv dalších zm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ěnách a skute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čnostech, které by mohly mít vliv na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řešení a cíle projektu nebo zm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ěnu údaj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ů zve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řej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ňovaných v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3"/>
          <w:vertAlign w:val="baseline"/>
          <w:lang w:val="cs-CZ"/>
        </w:rPr>
        <w:t xml:space="preserve">IS VaVaI, a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o tom, že jeho osoba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či další ú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častník 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řestal spl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ňovat podmínky zp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ůsobilosti, které nastaly v dob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 ode dne nabytí ú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činnosti Smlouvy, 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čemž informování je možné provést rovnou žádostí o zm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ěnu dle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čl. 21,</w:t>
      </w:r>
    </w:p>
    <w:p>
      <w:pPr>
        <w:numPr>
          <w:ilvl w:val="0"/>
          <w:numId w:val="16"/>
        </w:numPr>
        <w:tabs>
          <w:tab w:val="clear" w:pos="360"/>
          <w:tab w:val="left" w:pos="936"/>
        </w:tabs>
        <w:spacing w:before="1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ři prezentaci informací o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řešeném projektu s podporou TA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ČR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či o jeho výsledcích v hromadných sd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ělovacích prost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ředcích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či jiným zp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ůsobem, informovat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řim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řeným zp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ůsobem o tom, že projekt byl realizován za finan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ční spoluú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časti TA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ČR, a to na všech propaga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čních materiálech i ve všech typech médií, které se k projektu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či jeho výsledk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ům a výstup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ům vztahují,</w:t>
      </w:r>
    </w:p>
    <w:p>
      <w:pPr>
        <w:numPr>
          <w:ilvl w:val="0"/>
          <w:numId w:val="16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6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6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6"/>
          <w:w w:val="100"/>
          <w:sz w:val="22"/>
          <w:vertAlign w:val="baseline"/>
          <w:lang w:val="cs-CZ"/>
        </w:rPr>
        <w:t xml:space="preserve">ředkládat úplné zprávy a další relevantní informace v souladu se Smlouvou a p</w:t>
      </w:r>
      <w:r>
        <w:rPr>
          <w:rFonts w:ascii="Cambria" w:hAnsi="Cambria" w:eastAsia="Cambria"/>
          <w:strike w:val="false"/>
          <w:color w:val="000000"/>
          <w:spacing w:val="6"/>
          <w:w w:val="100"/>
          <w:sz w:val="22"/>
          <w:vertAlign w:val="baseline"/>
          <w:lang w:val="cs-CZ"/>
        </w:rPr>
        <w:t xml:space="preserve">říslušnými kontrolními procesy, které se týkají jak </w:t>
      </w:r>
      <w:r>
        <w:rPr>
          <w:rFonts w:ascii="Cambria" w:hAnsi="Cambria" w:eastAsia="Cambria"/>
          <w:strike w:val="false"/>
          <w:color w:val="000000"/>
          <w:spacing w:val="6"/>
          <w:w w:val="100"/>
          <w:sz w:val="22"/>
          <w:vertAlign w:val="baseline"/>
          <w:lang w:val="cs-CZ"/>
        </w:rPr>
        <w:t xml:space="preserve">řešení projektu tak pln</w:t>
      </w:r>
      <w:r>
        <w:rPr>
          <w:rFonts w:ascii="Cambria" w:hAnsi="Cambria" w:eastAsia="Cambria"/>
          <w:strike w:val="false"/>
          <w:color w:val="000000"/>
          <w:spacing w:val="6"/>
          <w:w w:val="100"/>
          <w:sz w:val="22"/>
          <w:vertAlign w:val="baseline"/>
          <w:lang w:val="cs-CZ"/>
        </w:rPr>
        <w:t xml:space="preserve">ění implementa</w:t>
      </w:r>
      <w:r>
        <w:rPr>
          <w:rFonts w:ascii="Cambria" w:hAnsi="Cambria" w:eastAsia="Cambria"/>
          <w:strike w:val="false"/>
          <w:color w:val="000000"/>
          <w:spacing w:val="6"/>
          <w:w w:val="100"/>
          <w:sz w:val="22"/>
          <w:vertAlign w:val="baseline"/>
          <w:lang w:val="cs-CZ"/>
        </w:rPr>
        <w:t xml:space="preserve">čního plánu,</w:t>
      </w:r>
    </w:p>
    <w:p>
      <w:pPr>
        <w:numPr>
          <w:ilvl w:val="0"/>
          <w:numId w:val="16"/>
        </w:numPr>
        <w:tabs>
          <w:tab w:val="clear" w:pos="360"/>
          <w:tab w:val="left" w:pos="936"/>
        </w:tabs>
        <w:spacing w:before="2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uvád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 informace, které nejsou zmate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 a zajistit, že veškeré informace uvád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ěné ve zprávách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jiných zasílaných dokumentech nejsou v rozporu se skute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čným stavem, zejména finan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vypo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řádání uvád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ěné v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 zpráv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odpovídají skute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 výši vrácené nevy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čerpané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části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podpory,</w:t>
      </w:r>
    </w:p>
    <w:p>
      <w:pPr>
        <w:numPr>
          <w:ilvl w:val="0"/>
          <w:numId w:val="16"/>
        </w:numPr>
        <w:tabs>
          <w:tab w:val="clear" w:pos="360"/>
          <w:tab w:val="left" w:pos="936"/>
        </w:tabs>
        <w:spacing w:before="3" w:after="4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3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oskytovat veškerou sou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činnost, jinou než uvedenou v písm. e), v souvislosti s pr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ěhem kontrolních proces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 dle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čl. 19, poskytovat na žádost poskytovatele jakékoliv informace týkající</w:t>
      </w:r>
    </w:p>
    <w:p>
      <w:pPr>
        <w:spacing w:before="260" w:after="0" w:line="174" w:lineRule="exact"/>
        <w:ind w:right="0" w:left="0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-7"/>
          <w:w w:val="100"/>
          <w:sz w:val="16"/>
          <w:vertAlign w:val="baseline"/>
          <w:lang w:val="cs-CZ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437.3pt;height:41.55pt;z-index:-1000;margin-left:52.05pt;margin-top:757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53" w:after="25" w:line="240" w:lineRule="auto"/>
                    <w:ind w:right="4229" w:left="10"/>
                    <w:jc w:val="left"/>
                    <w:textAlignment w:val="baseline"/>
                  </w:pPr>
                  <w:r>
                    <w:drawing>
                      <wp:inline>
                        <wp:extent cx="2861945" cy="414655"/>
                        <wp:docPr id="23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id="24" name="test1"/>
                                <pic:cNvPicPr preferRelativeResize="false"/>
                              </pic:nvPicPr>
                              <pic:blipFill>
                                <a:blip r:embed="d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1945" cy="414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mbria" w:hAnsi="Cambria" w:eastAsia="Cambria"/>
          <w:strike w:val="false"/>
          <w:color w:val="000000"/>
          <w:spacing w:val="-7"/>
          <w:w w:val="100"/>
          <w:sz w:val="16"/>
          <w:vertAlign w:val="baseline"/>
          <w:lang w:val="cs-CZ"/>
        </w:rPr>
        <w:t xml:space="preserve">F-211, Verze 6</w:t>
      </w:r>
    </w:p>
    <w:p>
      <w:pPr>
        <w:spacing w:before="8" w:after="0" w:line="187" w:lineRule="exact"/>
        <w:ind w:right="0" w:left="144" w:firstLine="288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řejný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Strana 6/25</w:t>
      </w:r>
    </w:p>
    <w:p>
      <w:pPr>
        <w:sectPr>
          <w:type w:val="nextPage"/>
          <w:pgSz w:w="11909" w:h="16838" w:orient="portrait"/>
          <w:pgMar w:bottom="462" w:top="1060" w:right="1108" w:left="1041" w:header="720" w:footer="720"/>
          <w:titlePg w:val="false"/>
          <w:textDirection w:val="lrTb"/>
        </w:sectPr>
      </w:pPr>
    </w:p>
    <w:p>
      <w:pPr>
        <w:spacing w:before="1" w:after="443" w:line="240" w:lineRule="auto"/>
        <w:ind w:right="8500" w:left="22"/>
        <w:jc w:val="left"/>
        <w:textAlignment w:val="baseline"/>
      </w:pPr>
      <w:r>
        <w:drawing>
          <wp:inline>
            <wp:extent cx="786130" cy="786130"/>
            <wp:docPr id="25" name="Picture"/>
            <a:graphic>
              <a:graphicData uri="http://schemas.openxmlformats.org/drawingml/2006/picture">
                <pic:pic>
                  <pic:nvPicPr>
                    <pic:cNvPr id="26" name="test1"/>
                    <pic:cNvPicPr preferRelativeResize="false"/>
                  </pic:nvPicPr>
                  <pic:blipFill>
                    <a:blip r:embed="d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 w:after="0" w:line="297" w:lineRule="exact"/>
        <w:ind w:right="0" w:left="93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se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jeho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a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ěhu realizace implementa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čního plánu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 poskytovateli veškeré pot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řebné informace za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čelem zve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ňování v IS VaVaI,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to vše ve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ůtách stanovených jednotlivými kontrolními procesy, zákonných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ůtách, nebo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ůtách uvedených v žádostech poskytovatele,</w:t>
      </w:r>
    </w:p>
    <w:p>
      <w:pPr>
        <w:numPr>
          <w:ilvl w:val="0"/>
          <w:numId w:val="17"/>
        </w:numPr>
        <w:tabs>
          <w:tab w:val="clear" w:pos="360"/>
          <w:tab w:val="left" w:pos="936"/>
        </w:tabs>
        <w:spacing w:before="1" w:after="0" w:line="297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zajistit sou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 v souvislosti s kontrolními procesy u dalšího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častníka,</w:t>
      </w:r>
    </w:p>
    <w:p>
      <w:pPr>
        <w:numPr>
          <w:ilvl w:val="0"/>
          <w:numId w:val="17"/>
        </w:numPr>
        <w:tabs>
          <w:tab w:val="clear" w:pos="360"/>
          <w:tab w:val="left" w:pos="936"/>
        </w:tabs>
        <w:spacing w:before="0" w:after="0" w:line="295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prokázat na výzvu poskytovatele, že spl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ňuje povinnosti stanovené pravidly poskytnutí podpory, a to ve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uvedené v této výzv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</w:t>
      </w:r>
    </w:p>
    <w:p>
      <w:pPr>
        <w:numPr>
          <w:ilvl w:val="0"/>
          <w:numId w:val="17"/>
        </w:numPr>
        <w:tabs>
          <w:tab w:val="clear" w:pos="360"/>
          <w:tab w:val="left" w:pos="936"/>
        </w:tabs>
        <w:spacing w:before="0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 veškerou sou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 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ředkládat požadované informace 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dokumenty ve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stanovených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ůtách</w:t>
      </w:r>
    </w:p>
    <w:p>
      <w:pPr>
        <w:numPr>
          <w:ilvl w:val="0"/>
          <w:numId w:val="17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 souladu 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čl. 9 vy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číslit a odvést poskytovateli veškeré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říjmy z projekt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 nezamezovat jejich získávání.</w:t>
      </w:r>
    </w:p>
    <w:p>
      <w:pPr>
        <w:numPr>
          <w:ilvl w:val="0"/>
          <w:numId w:val="17"/>
        </w:numPr>
        <w:tabs>
          <w:tab w:val="clear" w:pos="360"/>
          <w:tab w:val="left" w:pos="936"/>
        </w:tabs>
        <w:spacing w:before="0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mít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řed podpisem Smlouvy uzav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řenou písemnou smlouvu o ú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časti na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řešení projektu se všemi jejími povinnými náležitostmi podle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čl. 6, pokud se na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řešení projektu podílí více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ů,</w:t>
      </w:r>
    </w:p>
    <w:p>
      <w:pPr>
        <w:numPr>
          <w:ilvl w:val="0"/>
          <w:numId w:val="18"/>
        </w:numPr>
        <w:tabs>
          <w:tab w:val="clear" w:pos="432"/>
          <w:tab w:val="left" w:pos="576"/>
        </w:tabs>
        <w:spacing w:before="334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je zárove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 povinen zajistit, aby další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 rovn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 dodržoval výše uvedené povinnosti, pop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ř. aby poskytl veškerou pot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řebnou sou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 za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čelem dodržení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ěchto povinností hlavním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říjemcem.</w:t>
      </w:r>
    </w:p>
    <w:p>
      <w:pPr>
        <w:numPr>
          <w:ilvl w:val="0"/>
          <w:numId w:val="18"/>
        </w:numPr>
        <w:tabs>
          <w:tab w:val="clear" w:pos="432"/>
          <w:tab w:val="left" w:pos="576"/>
        </w:tabs>
        <w:spacing w:before="241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je povinen zve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ňovat dle zákona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563/1991 Sb., 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četnictví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četní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ěrku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říslušném rejst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říku ve smyslu zákona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304/2013 o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řejných rejst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řících, a to po celou dobu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pokud má tuto povinnost uvedenými zákony stanovenou. 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této povinnosti je povinen zajistit i u dalšího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projektu.</w:t>
      </w:r>
    </w:p>
    <w:p>
      <w:pPr>
        <w:numPr>
          <w:ilvl w:val="0"/>
          <w:numId w:val="18"/>
        </w:numPr>
        <w:tabs>
          <w:tab w:val="clear" w:pos="432"/>
          <w:tab w:val="left" w:pos="576"/>
        </w:tabs>
        <w:spacing w:before="235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Pokud je hlavnímu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říjemci stanovena povinnost písemného doru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čování poskytovateli v dané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a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že nevyužije elektronické podání (informa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systém datových schránek nebo 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mailová zpráva se zaru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čeným elektronickým podpisem na adresu</w:t>
      </w:r>
      <w:r>
        <w:rPr>
          <w:rFonts w:ascii="Arial" w:hAnsi="Arial" w:eastAsia="Arial"/>
          <w:strike w:val="false"/>
          <w:color w:val="006FC0"/>
          <w:spacing w:val="0"/>
          <w:w w:val="100"/>
          <w:sz w:val="22"/>
          <w:vertAlign w:val="baseline"/>
          <w:lang w:val="cs-CZ"/>
        </w:rPr>
        <w:t xml:space="preserve"> </w:t>
      </w:r>
      <w:hyperlink r:id="drId17">
        <w:r>
          <w:rPr>
            <w:rFonts w:ascii="Arial" w:hAnsi="Arial" w:eastAsia="Arial"/>
            <w:strike w:val="false"/>
            <w:color w:val="0000FF"/>
            <w:spacing w:val="0"/>
            <w:w w:val="100"/>
            <w:sz w:val="22"/>
            <w:u w:val="single"/>
            <w:vertAlign w:val="baseline"/>
            <w:lang w:val="cs-CZ"/>
          </w:rPr>
          <w:t xml:space="preserve">posta@tacr.cz</w:t>
        </w:r>
      </w:hyperlink>
      <w:r>
        <w:rPr>
          <w:rFonts w:ascii="Cambria" w:hAnsi="Cambria" w:eastAsia="Cambria"/>
          <w:strike w:val="false"/>
          <w:color w:val="006FC0"/>
          <w:spacing w:val="0"/>
          <w:w w:val="100"/>
          <w:sz w:val="22"/>
          <w:vertAlign w:val="baseline"/>
          <w:lang w:val="cs-CZ"/>
        </w:rPr>
        <w:t xml:space="preserve">),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 je povinen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doru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čit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říslušný dokument nejpozd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ěji do konce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ředních hodin podatelny TA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ČR v poslední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den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ůty.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řední hodiny podatelny TA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ČR jsou uvedeny na webových stránkách poskytovatele.</w:t>
      </w:r>
    </w:p>
    <w:p>
      <w:pPr>
        <w:numPr>
          <w:ilvl w:val="0"/>
          <w:numId w:val="18"/>
        </w:numPr>
        <w:tabs>
          <w:tab w:val="clear" w:pos="432"/>
          <w:tab w:val="left" w:pos="576"/>
        </w:tabs>
        <w:spacing w:before="241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je povinen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řijmout opat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ření k odstran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nedostatk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zjišt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ěných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kontrolních procesech bez zbyte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čného odkladu, nejpozd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ěji však ve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stanovené kontrolním orgánem, 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řijatých opat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řeních informovat poskytovatele,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čemž si poskytovatel vyhrazuje právo prov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řit 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uložených opat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ření k náprav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ě.</w:t>
      </w:r>
    </w:p>
    <w:p>
      <w:pPr>
        <w:spacing w:before="807" w:after="0" w:line="249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Článek 5</w:t>
      </w:r>
    </w:p>
    <w:p>
      <w:pPr>
        <w:spacing w:before="6" w:after="0" w:line="249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ůsledky porušení podmínek poskytnutí podpory</w:t>
      </w:r>
    </w:p>
    <w:p>
      <w:pPr>
        <w:tabs>
          <w:tab w:val="left" w:leader="none" w:pos="504"/>
        </w:tabs>
        <w:spacing w:before="202" w:after="0" w:line="297" w:lineRule="exact"/>
        <w:ind w:right="0" w:left="144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1.	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V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 jakéhokoliv porušení povinností hlavním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říjemcem je poskytovatel oprávn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ěn pozastavit</w:t>
      </w:r>
    </w:p>
    <w:p>
      <w:pPr>
        <w:spacing w:before="0" w:after="785" w:line="294" w:lineRule="exact"/>
        <w:ind w:right="0" w:left="576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poskytování podpory a neposkytnout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říslušnou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 podpory ve stanovených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ůtách.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19"/>
        <w:gridCol w:w="5241"/>
      </w:tblGrid>
      <w:tr>
        <w:trPr>
          <w:trHeight w:val="678" w:hRule="exact"/>
        </w:trPr>
        <w:tc>
          <w:tcPr>
            <w:tcW w:w="4519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2"/>
              <w:jc w:val="center"/>
              <w:textAlignment w:val="baseline"/>
            </w:pPr>
            <w:r>
              <w:drawing>
                <wp:inline>
                  <wp:extent cx="2861945" cy="414655"/>
                  <wp:docPr id="27" name="Picture"/>
                  <a:graphic>
                    <a:graphicData uri="http://schemas.openxmlformats.org/drawingml/2006/picture">
                      <pic:pic>
                        <pic:nvPicPr>
                          <pic:cNvPr id="28" name="test1"/>
                          <pic:cNvPicPr preferRelativeResize="false"/>
                        </pic:nvPicPr>
                        <pic:blipFill>
                          <a:blip r:embed="d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3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92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Strana 7/25</w:t>
            </w:r>
          </w:p>
        </w:tc>
      </w:tr>
    </w:tbl>
    <w:p>
      <w:pPr>
        <w:sectPr>
          <w:type w:val="nextPage"/>
          <w:pgSz w:w="11909" w:h="16838" w:orient="portrait"/>
          <w:pgMar w:bottom="462" w:top="1060" w:right="1110" w:left="1039" w:header="720" w:footer="720"/>
          <w:titlePg w:val="false"/>
          <w:textDirection w:val="lrTb"/>
        </w:sectPr>
      </w:pPr>
    </w:p>
    <w:p>
      <w:pPr>
        <w:spacing w:before="1" w:after="443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29" name="Picture"/>
            <a:graphic>
              <a:graphicData uri="http://schemas.openxmlformats.org/drawingml/2006/picture">
                <pic:pic>
                  <pic:nvPicPr>
                    <pic:cNvPr id="30" name="test1"/>
                    <pic:cNvPicPr preferRelativeResize="false"/>
                  </pic:nvPicPr>
                  <pic:blipFill>
                    <a:blip r:embed="d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96" w:lineRule="exact"/>
        <w:ind w:right="0" w:left="576" w:hanging="504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2.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Porušení povinností hlavním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stanovených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čl. 4 odst. 1 se považuje za porušení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čtové kázn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a má za následek podání podn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ětu k zahájení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 o porušení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čtové kázn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tím, že</w:t>
      </w:r>
    </w:p>
    <w:p>
      <w:pPr>
        <w:numPr>
          <w:ilvl w:val="0"/>
          <w:numId w:val="19"/>
        </w:numPr>
        <w:tabs>
          <w:tab w:val="clear" w:pos="360"/>
          <w:tab w:val="left" w:pos="936"/>
        </w:tabs>
        <w:spacing w:before="202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a) se odvádí 100 % takto neoprávn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použité podpory,</w:t>
      </w:r>
    </w:p>
    <w:p>
      <w:pPr>
        <w:numPr>
          <w:ilvl w:val="0"/>
          <w:numId w:val="19"/>
        </w:numPr>
        <w:tabs>
          <w:tab w:val="clear" w:pos="360"/>
          <w:tab w:val="left" w:pos="936"/>
        </w:tabs>
        <w:spacing w:before="2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b) se odvádí 100 % takto nevrácené podpory,</w:t>
      </w:r>
    </w:p>
    <w:p>
      <w:pPr>
        <w:numPr>
          <w:ilvl w:val="0"/>
          <w:numId w:val="19"/>
        </w:numPr>
        <w:tabs>
          <w:tab w:val="clear" w:pos="360"/>
          <w:tab w:val="left" w:pos="936"/>
        </w:tabs>
        <w:spacing w:before="3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c) pokud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ělo vliv na nedosažení cíle projektu se odvádí 100% poskytnuté podpory ur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čené k dosažení toho výsledku, kterého nebylo dosaženo,</w:t>
      </w:r>
    </w:p>
    <w:p>
      <w:pPr>
        <w:numPr>
          <w:ilvl w:val="0"/>
          <w:numId w:val="19"/>
        </w:numPr>
        <w:tabs>
          <w:tab w:val="clear" w:pos="360"/>
          <w:tab w:val="left" w:pos="936"/>
        </w:tabs>
        <w:spacing w:before="1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d) se odvádí 5 %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části podpory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řevedené dalšímu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častníku,</w:t>
      </w:r>
    </w:p>
    <w:p>
      <w:pPr>
        <w:numPr>
          <w:ilvl w:val="0"/>
          <w:numId w:val="19"/>
        </w:numPr>
        <w:tabs>
          <w:tab w:val="clear" w:pos="360"/>
          <w:tab w:val="left" w:pos="936"/>
        </w:tabs>
        <w:spacing w:before="0" w:after="0" w:line="294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e) se odvádí 100 % takto nevrácené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části podpory a její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části vrácené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dalším kalendá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řním roce po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nad rámec povolených procentuálních limit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dle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čl. 3 odst. 10,</w:t>
      </w:r>
    </w:p>
    <w:p>
      <w:pPr>
        <w:numPr>
          <w:ilvl w:val="0"/>
          <w:numId w:val="19"/>
        </w:numPr>
        <w:tabs>
          <w:tab w:val="clear" w:pos="360"/>
          <w:tab w:val="left" w:pos="936"/>
        </w:tabs>
        <w:spacing w:before="7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f) se odvádí 100 % veškeré dosud poskytnuté podpory,</w:t>
      </w:r>
    </w:p>
    <w:p>
      <w:pPr>
        <w:numPr>
          <w:ilvl w:val="0"/>
          <w:numId w:val="19"/>
        </w:numPr>
        <w:tabs>
          <w:tab w:val="clear" w:pos="360"/>
          <w:tab w:val="left" w:pos="936"/>
        </w:tabs>
        <w:spacing w:before="2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g) se odvádí 100 %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částky odpovídající stanovené smluvní pokut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</w:t>
      </w:r>
    </w:p>
    <w:p>
      <w:pPr>
        <w:numPr>
          <w:ilvl w:val="0"/>
          <w:numId w:val="19"/>
        </w:numPr>
        <w:tabs>
          <w:tab w:val="clear" w:pos="360"/>
          <w:tab w:val="left" w:pos="936"/>
        </w:tabs>
        <w:spacing w:before="0" w:after="0" w:line="292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h) se odvádí 5 % veškeré dosud poskytnuté podpory,</w:t>
      </w:r>
    </w:p>
    <w:p>
      <w:pPr>
        <w:numPr>
          <w:ilvl w:val="0"/>
          <w:numId w:val="19"/>
        </w:numPr>
        <w:tabs>
          <w:tab w:val="clear" w:pos="360"/>
          <w:tab w:val="left" w:pos="936"/>
        </w:tabs>
        <w:spacing w:before="2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i) se odvádí 100 % celkové podpory,</w:t>
      </w:r>
    </w:p>
    <w:p>
      <w:pPr>
        <w:numPr>
          <w:ilvl w:val="0"/>
          <w:numId w:val="19"/>
        </w:numPr>
        <w:tabs>
          <w:tab w:val="clear" w:pos="360"/>
          <w:tab w:val="left" w:pos="936"/>
        </w:tabs>
        <w:spacing w:before="2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j) se odvádí 100 % celkové podpory.</w:t>
      </w:r>
    </w:p>
    <w:p>
      <w:pPr>
        <w:tabs>
          <w:tab w:val="left" w:leader="none" w:pos="504"/>
        </w:tabs>
        <w:spacing w:before="337" w:after="0" w:line="296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3.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Porušení povinností hlavním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stanovených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čl. 4 odst. 2 má za následek</w:t>
      </w:r>
    </w:p>
    <w:p>
      <w:pPr>
        <w:numPr>
          <w:ilvl w:val="0"/>
          <w:numId w:val="20"/>
        </w:numPr>
        <w:tabs>
          <w:tab w:val="clear" w:pos="360"/>
          <w:tab w:val="left" w:pos="936"/>
        </w:tabs>
        <w:spacing w:before="199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a) smluvní pokutu ve výši 5.000,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 za každý by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ť zapo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čatý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ěsíc prodlení, maximáln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však 50.000 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č,</w:t>
      </w:r>
    </w:p>
    <w:p>
      <w:pPr>
        <w:numPr>
          <w:ilvl w:val="0"/>
          <w:numId w:val="20"/>
        </w:numPr>
        <w:tabs>
          <w:tab w:val="clear" w:pos="360"/>
          <w:tab w:val="left" w:pos="936"/>
        </w:tabs>
        <w:spacing w:before="4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b) povinnost uhradit smluvní pokutu ve výši 5.000,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 za každé takové jednotlivé porušení</w:t>
      </w:r>
    </w:p>
    <w:p>
      <w:pPr>
        <w:numPr>
          <w:ilvl w:val="0"/>
          <w:numId w:val="20"/>
        </w:numPr>
        <w:tabs>
          <w:tab w:val="clear" w:pos="360"/>
          <w:tab w:val="left" w:pos="936"/>
        </w:tabs>
        <w:spacing w:before="0" w:after="0" w:line="295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c) povinnost uhradit smluvní pokutu ve výši 5.000 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č,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 každé takové jednotlivé porušení,</w:t>
      </w:r>
    </w:p>
    <w:p>
      <w:pPr>
        <w:numPr>
          <w:ilvl w:val="0"/>
          <w:numId w:val="20"/>
        </w:numPr>
        <w:tabs>
          <w:tab w:val="clear" w:pos="360"/>
          <w:tab w:val="left" w:pos="936"/>
        </w:tabs>
        <w:spacing w:before="3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d) povinnost uhradit smluvní pokutu ve výši 1.000 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č,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 každý by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ť zapo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čatý den prodlení, maximáln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však 50.000 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č,</w:t>
      </w:r>
    </w:p>
    <w:p>
      <w:pPr>
        <w:numPr>
          <w:ilvl w:val="0"/>
          <w:numId w:val="20"/>
        </w:numPr>
        <w:tabs>
          <w:tab w:val="clear" w:pos="360"/>
          <w:tab w:val="left" w:pos="936"/>
        </w:tabs>
        <w:spacing w:before="0" w:after="0" w:line="295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e) povinnost uhradit smluvní pokutu ve výši 5.000 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č,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 každé takové jednotlivé porušení,</w:t>
      </w:r>
    </w:p>
    <w:p>
      <w:pPr>
        <w:numPr>
          <w:ilvl w:val="0"/>
          <w:numId w:val="20"/>
        </w:numPr>
        <w:tabs>
          <w:tab w:val="clear" w:pos="360"/>
          <w:tab w:val="left" w:pos="936"/>
        </w:tabs>
        <w:spacing w:before="4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f) povinnost uhradit smluvní pokutu ve výši 10.000 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č,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 každé takové jednotlivé porušení,</w:t>
      </w:r>
    </w:p>
    <w:p>
      <w:pPr>
        <w:numPr>
          <w:ilvl w:val="0"/>
          <w:numId w:val="20"/>
        </w:numPr>
        <w:tabs>
          <w:tab w:val="clear" w:pos="360"/>
          <w:tab w:val="left" w:pos="936"/>
        </w:tabs>
        <w:spacing w:before="3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g) povinnost uhradit smluvní pokutu ve výši 10.000 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č,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 každé takové jednotlivé porušení,</w:t>
      </w:r>
    </w:p>
    <w:p>
      <w:pPr>
        <w:numPr>
          <w:ilvl w:val="0"/>
          <w:numId w:val="20"/>
        </w:numPr>
        <w:tabs>
          <w:tab w:val="clear" w:pos="360"/>
          <w:tab w:val="left" w:pos="936"/>
        </w:tabs>
        <w:spacing w:before="0" w:after="0" w:line="295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h) povinnost uhradit smluvní pokutu ve výši 10.000 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č,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 každé takové jednotlivé porušení,</w:t>
      </w:r>
    </w:p>
    <w:p>
      <w:pPr>
        <w:numPr>
          <w:ilvl w:val="0"/>
          <w:numId w:val="20"/>
        </w:numPr>
        <w:tabs>
          <w:tab w:val="clear" w:pos="360"/>
          <w:tab w:val="left" w:pos="936"/>
        </w:tabs>
        <w:spacing w:before="3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i) povinnost uhradit smluvní pokutu ve výši 5.000 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č,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 každé takové jednotlivé porušení.</w:t>
      </w:r>
    </w:p>
    <w:p>
      <w:pPr>
        <w:numPr>
          <w:ilvl w:val="0"/>
          <w:numId w:val="20"/>
        </w:numPr>
        <w:tabs>
          <w:tab w:val="clear" w:pos="360"/>
          <w:tab w:val="left" w:pos="936"/>
        </w:tabs>
        <w:spacing w:before="0" w:after="0" w:line="295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j) povinnost uhradit smluvní pokutu ve výši 5.000 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č,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 každé takové jednotlivé porušení,</w:t>
      </w:r>
    </w:p>
    <w:p>
      <w:pPr>
        <w:numPr>
          <w:ilvl w:val="0"/>
          <w:numId w:val="20"/>
        </w:numPr>
        <w:tabs>
          <w:tab w:val="clear" w:pos="360"/>
          <w:tab w:val="left" w:pos="936"/>
        </w:tabs>
        <w:spacing w:before="3" w:after="244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podle písm. k) povinnost uhradit smluvní pokutu ve výši 10.000 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č,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 každý zapo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čatý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ěsíc, kdy není povinnost spln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ěna.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31" name="Picture"/>
                  <a:graphic>
                    <a:graphicData uri="http://schemas.openxmlformats.org/drawingml/2006/picture">
                      <pic:pic>
                        <pic:nvPicPr>
                          <pic:cNvPr id="32" name="test1"/>
                          <pic:cNvPicPr preferRelativeResize="false"/>
                        </pic:nvPicPr>
                        <pic:blipFill>
                          <a:blip r:embed="d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92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Strana 8/25</w:t>
            </w:r>
          </w:p>
        </w:tc>
      </w:tr>
    </w:tbl>
    <w:p>
      <w:pPr>
        <w:sectPr>
          <w:type w:val="nextPage"/>
          <w:pgSz w:w="11909" w:h="16838" w:orient="portrait"/>
          <w:pgMar w:bottom="462" w:top="1060" w:right="1113" w:left="1036" w:header="720" w:footer="720"/>
          <w:titlePg w:val="false"/>
          <w:textDirection w:val="lrTb"/>
        </w:sectPr>
      </w:pPr>
    </w:p>
    <w:p>
      <w:pPr>
        <w:spacing w:before="1" w:after="442" w:line="240" w:lineRule="auto"/>
        <w:ind w:right="8505" w:left="17"/>
        <w:jc w:val="left"/>
        <w:textAlignment w:val="baseline"/>
      </w:pPr>
      <w:r>
        <w:drawing>
          <wp:inline>
            <wp:extent cx="786130" cy="786130"/>
            <wp:docPr id="33" name="Picture"/>
            <a:graphic>
              <a:graphicData uri="http://schemas.openxmlformats.org/drawingml/2006/picture">
                <pic:pic>
                  <pic:nvPicPr>
                    <pic:cNvPr id="34" name="test1"/>
                    <pic:cNvPicPr preferRelativeResize="false"/>
                  </pic:nvPicPr>
                  <pic:blipFill>
                    <a:blip r:embed="d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1"/>
        </w:numPr>
        <w:tabs>
          <w:tab w:val="clear" w:pos="504"/>
          <w:tab w:val="left" w:pos="576"/>
        </w:tabs>
        <w:spacing w:before="1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Porušení 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ěkteré z povinností dalším ú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častníkem má za následek uplatn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ění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říslušných ustanovení podle tohoto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článku v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či hlavnímu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říjemci, v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četn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 ustanovení o porušení rozpo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čtové kázn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ě.</w:t>
      </w:r>
    </w:p>
    <w:p>
      <w:pPr>
        <w:numPr>
          <w:ilvl w:val="0"/>
          <w:numId w:val="21"/>
        </w:numPr>
        <w:tabs>
          <w:tab w:val="clear" w:pos="504"/>
          <w:tab w:val="left" w:pos="576"/>
        </w:tabs>
        <w:spacing w:before="236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Odstoupení od Smlouvy nemá vliv na uplatn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ostatních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říslušných ustanovení podle tohoto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článku.</w:t>
      </w:r>
    </w:p>
    <w:p>
      <w:pPr>
        <w:numPr>
          <w:ilvl w:val="0"/>
          <w:numId w:val="21"/>
        </w:numPr>
        <w:tabs>
          <w:tab w:val="clear" w:pos="504"/>
          <w:tab w:val="left" w:pos="576"/>
        </w:tabs>
        <w:spacing w:before="240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bere na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ědomí, že pokud soustavn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porušuje své povinnosti, a to i povinnosti stanovené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říjemci po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zejména podávání zpráv o implementaci, nebo porušení vyhodnotí poskytovatel jako závažné, je poskytovatel oprávn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 vylou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čit návrhy projekt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podané hlavním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(a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ť již se bude hlásit do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sout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ěže v roli uchaze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dalšího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častníka) do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řejných sout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ěží nebo nabídky podané do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řejných zakázek ve výzkumu, vývoji a inovacích po dobu až 3 let ode dne, kdy bylo hlavnímu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říjemci toto porušení prokázáno, nebo kdy ho písemn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uznal. Pokud takto poruší povinnost další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častník, vylou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projekt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se bude uplat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ňovat v budoucnu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tomuto subjektu a odst. 4 se nepoužije.</w:t>
      </w:r>
    </w:p>
    <w:p>
      <w:pPr>
        <w:numPr>
          <w:ilvl w:val="0"/>
          <w:numId w:val="21"/>
        </w:numPr>
        <w:tabs>
          <w:tab w:val="clear" w:pos="504"/>
          <w:tab w:val="left" w:pos="576"/>
        </w:tabs>
        <w:spacing w:before="237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Tímto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článkem není dot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 nárok poskytovatele na náhradu škody, která mu vznikne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ůsledku porušení 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ěkteré z povinností. Stanovené smluvní pokuty nezahrnují náhradu škody a aplikují se nad rámec dalších sankcí vyplývajících z právních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ředpis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nebo z pravidel poskytnutí podpory.</w:t>
      </w:r>
    </w:p>
    <w:p>
      <w:pPr>
        <w:numPr>
          <w:ilvl w:val="0"/>
          <w:numId w:val="21"/>
        </w:numPr>
        <w:tabs>
          <w:tab w:val="clear" w:pos="504"/>
          <w:tab w:val="left" w:pos="576"/>
        </w:tabs>
        <w:spacing w:before="242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Jednotlivé smluvní pokuty stanovené podle tohoto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článku se s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čítají, maximáln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však do výše odpovídající maximální výši podpory pro projekt na celou dobu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stanoveného ve Smlouv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ě.</w:t>
      </w:r>
    </w:p>
    <w:p>
      <w:pPr>
        <w:numPr>
          <w:ilvl w:val="0"/>
          <w:numId w:val="21"/>
        </w:numPr>
        <w:tabs>
          <w:tab w:val="clear" w:pos="504"/>
          <w:tab w:val="left" w:pos="576"/>
        </w:tabs>
        <w:spacing w:before="235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Pokud hlavní p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říjemce p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ředpokládá, že nebude schopen splnit n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ěkterou z výše uvedených povinností, je oprávn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 nejpozd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ěji do lh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ůty jejího spln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ění podat žádost o zm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ěnu projektu v souladu 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3"/>
          <w:vertAlign w:val="baseline"/>
          <w:lang w:val="cs-CZ"/>
        </w:rPr>
        <w:t xml:space="preserve">s 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čl. 21, anebo doru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čit poskytovateli písemné vyjád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ření o nemožnosti jejího spln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ění v d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ůsledku vyšší moci nebo domn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ělého porušení povinností poskytovatelem. Poskytovatel si vyhrazuje právo trvat 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3"/>
          <w:vertAlign w:val="baseline"/>
          <w:lang w:val="cs-CZ"/>
        </w:rPr>
        <w:t xml:space="preserve">na 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dodržení této povinnosti ve stanovené lh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ůt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 anebo stanovit dodate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čnou lh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ůtu pro její spln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ění na základ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 vyhodnocení žádosti nebo vyjád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ření podle p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ředchozí v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ěty. Poskytovatel je oprávn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 v p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 souhlasu se zm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ěnou stanovit hlavnímu p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říjemci povinnost vrátit p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říslušnou 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část podpory (</w:t>
      </w:r>
      <w:hyperlink r:id="drId22">
        <w:r>
          <w:rPr>
            <w:rFonts w:ascii="Cambria" w:hAnsi="Cambria" w:eastAsia="Cambria"/>
            <w:strike w:val="false"/>
            <w:color w:val="0000FF"/>
            <w:spacing w:val="-3"/>
            <w:w w:val="100"/>
            <w:sz w:val="22"/>
            <w:u w:val="single"/>
            <w:vertAlign w:val="baseline"/>
            <w:lang w:val="cs-CZ"/>
          </w:rPr>
          <w:t xml:space="preserve">nap</w:t>
        </w:r>
      </w:hyperlink>
      <w:hyperlink r:id="drId22">
        <w:r>
          <w:rPr>
            <w:rFonts w:ascii="Cambria" w:hAnsi="Cambria" w:eastAsia="Cambria"/>
            <w:strike w:val="false"/>
            <w:color w:val="0000FF"/>
            <w:spacing w:val="-3"/>
            <w:w w:val="100"/>
            <w:sz w:val="22"/>
            <w:u w:val="single"/>
            <w:vertAlign w:val="baseline"/>
            <w:lang w:val="cs-CZ"/>
          </w:rPr>
          <w:t xml:space="preserve">ř. na</w:t>
        </w:r>
      </w:hyperlink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 základ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 žádosti o redukci p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ředpokládaných výsledk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ů).</w:t>
      </w:r>
    </w:p>
    <w:p>
      <w:pPr>
        <w:numPr>
          <w:ilvl w:val="0"/>
          <w:numId w:val="21"/>
        </w:numPr>
        <w:tabs>
          <w:tab w:val="clear" w:pos="504"/>
          <w:tab w:val="left" w:pos="576"/>
        </w:tabs>
        <w:spacing w:before="241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Žádost nebo vyjád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ření podle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ředchozího odstavce podané pozd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ěji staví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ůtu pro 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čítání smluvních pokut podle 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týdn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ěsíc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nebo stanovenou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ůtu k náprav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ě.</w:t>
      </w:r>
    </w:p>
    <w:p>
      <w:pPr>
        <w:numPr>
          <w:ilvl w:val="0"/>
          <w:numId w:val="21"/>
        </w:numPr>
        <w:tabs>
          <w:tab w:val="clear" w:pos="504"/>
          <w:tab w:val="left" w:pos="576"/>
        </w:tabs>
        <w:spacing w:before="236" w:after="4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Smluvní strany si budou po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čínat tak, aby v zájmu zachování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řešení projektu 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ředešly 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řed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časnému ukon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čení Smlouvy výpov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ědí nebo odstoupením, pokud tak bude možné a s ohledem na povahu projektu a jeho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řešení ú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čelné, zejména vyvinou snahu o ukon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čení ú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časti dalšího ú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častníka na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řešení projektu, který porušuje své povinnosti, nebo je pravd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ěpodobn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 poruší, nebo 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řestal spl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ňovat podmínky zp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ůsobilosti podle § 18 odst. 2 ZPVV. Poskytovatel si zárove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ň vyhrazuje právo k jednání s dalšími ú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častníky o pokra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čování v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řešení projektu, pokud své povinnosti porušuje nebo pravd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ěpodobn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 poruší hlavní 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říjemce, nebo 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řestal spl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ňovat podmínky zp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ůsobilosti podle § 18 odst. 2 ZPVV. Tímto odstavcem nejsou dot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čeny povinnosti hlavního 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říjemce nést následky porušení povinností podle tohoto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článku.</w:t>
      </w:r>
    </w:p>
    <w:p>
      <w:pPr>
        <w:spacing w:before="303" w:after="0" w:line="174" w:lineRule="exact"/>
        <w:ind w:right="0" w:left="0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-7"/>
          <w:w w:val="100"/>
          <w:sz w:val="16"/>
          <w:vertAlign w:val="baseline"/>
          <w:lang w:val="cs-CZ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437.15pt;height:43.7pt;z-index:-999;margin-left:52.2pt;margin-top:755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96" w:after="25" w:line="240" w:lineRule="auto"/>
                    <w:ind w:right="4229" w:left="7"/>
                    <w:jc w:val="left"/>
                    <w:textAlignment w:val="baseline"/>
                  </w:pPr>
                  <w:r>
                    <w:drawing>
                      <wp:inline>
                        <wp:extent cx="2861945" cy="414655"/>
                        <wp:docPr id="35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id="36" name="test1"/>
                                <pic:cNvPicPr preferRelativeResize="false"/>
                              </pic:nvPicPr>
                              <pic:blipFill>
                                <a:blip r:embed="d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1945" cy="414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mbria" w:hAnsi="Cambria" w:eastAsia="Cambria"/>
          <w:strike w:val="false"/>
          <w:color w:val="000000"/>
          <w:spacing w:val="-7"/>
          <w:w w:val="100"/>
          <w:sz w:val="16"/>
          <w:vertAlign w:val="baseline"/>
          <w:lang w:val="cs-CZ"/>
        </w:rPr>
        <w:t xml:space="preserve">F-211, Verze 6</w:t>
      </w:r>
    </w:p>
    <w:p>
      <w:pPr>
        <w:spacing w:before="8" w:after="0" w:line="187" w:lineRule="exact"/>
        <w:ind w:right="0" w:left="144" w:firstLine="288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řejný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Strana 9/25</w:t>
      </w:r>
    </w:p>
    <w:p>
      <w:pPr>
        <w:sectPr>
          <w:type w:val="nextPage"/>
          <w:pgSz w:w="11909" w:h="16838" w:orient="portrait"/>
          <w:pgMar w:bottom="462" w:top="1060" w:right="1105" w:left="1044" w:header="720" w:footer="720"/>
          <w:titlePg w:val="false"/>
          <w:textDirection w:val="lrTb"/>
        </w:sectPr>
      </w:pPr>
    </w:p>
    <w:p>
      <w:pPr>
        <w:spacing w:before="1" w:after="443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37" name="Picture"/>
            <a:graphic>
              <a:graphicData uri="http://schemas.openxmlformats.org/drawingml/2006/picture">
                <pic:pic>
                  <pic:nvPicPr>
                    <pic:cNvPr id="38" name="test1"/>
                    <pic:cNvPicPr preferRelativeResize="false"/>
                  </pic:nvPicPr>
                  <pic:blipFill>
                    <a:blip r:embed="d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96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12.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Pokud 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porušil 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ěkterou z výše uvedených povinností, vyzve jej písemn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poskytovatel k náprav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pokud je tak s ohledem na pochybení možné, a stanoví mu k tomu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řenou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ůtu. Poskytovatel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ůže rovn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 písemn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říjemci oznámit zahájení 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ěkterého kontrolního procesu za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čelem prokázání skute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čného stavu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ěci,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čemž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domn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ělého porušení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čtové kázn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zpravidla provede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řejnosprávní kontrolu.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zahájení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řejnosprávní kontroly výzvu k náprav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nahrazuje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říslušné opat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ření k náprav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ě. Tímto odstavcem nejsou dot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čeny povinnosti na úhradu odvod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za porušení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čtové kázn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smluvních pokut a náhrady škody.</w:t>
      </w:r>
    </w:p>
    <w:p>
      <w:pPr>
        <w:spacing w:before="806" w:after="0" w:line="247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Článek 6</w:t>
      </w:r>
    </w:p>
    <w:p>
      <w:pPr>
        <w:spacing w:before="13" w:after="0" w:line="249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Smlouva o ú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časti na 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</w:t>
      </w:r>
    </w:p>
    <w:p>
      <w:pPr>
        <w:tabs>
          <w:tab w:val="decimal" w:leader="none" w:pos="216"/>
          <w:tab w:val="left" w:leader="none" w:pos="504"/>
        </w:tabs>
        <w:spacing w:before="197" w:after="0" w:line="297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1.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Smlouva 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časti 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slouží jako nástroj hlavního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k zajišt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dodržování</w:t>
      </w:r>
    </w:p>
    <w:p>
      <w:pPr>
        <w:spacing w:before="1" w:after="0" w:line="297" w:lineRule="exact"/>
        <w:ind w:right="0" w:left="576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výše uvedených povinností i dalšími ú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častníky.</w:t>
      </w:r>
    </w:p>
    <w:p>
      <w:pPr>
        <w:tabs>
          <w:tab w:val="decimal" w:leader="none" w:pos="216"/>
          <w:tab w:val="left" w:leader="none" w:pos="504"/>
        </w:tabs>
        <w:spacing w:before="241" w:after="0" w:line="297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2.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Smlouva 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časti 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musí být písemná a jejím obsahem je zejména</w:t>
      </w:r>
    </w:p>
    <w:p>
      <w:pPr>
        <w:numPr>
          <w:ilvl w:val="0"/>
          <w:numId w:val="22"/>
        </w:numPr>
        <w:tabs>
          <w:tab w:val="clear" w:pos="360"/>
          <w:tab w:val="left" w:pos="936"/>
        </w:tabs>
        <w:spacing w:before="198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návrh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zp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ůsob rozd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ělení práv k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ům, který respektuje zákaz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římé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podpory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dle 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ámce, tj.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stanovení spoluvlastnického pom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ěru se úm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řihlíží k pom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ěru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jednotlivých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tak, aby nedocházelo k zakázané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římé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podpo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ře,</w:t>
      </w:r>
    </w:p>
    <w:p>
      <w:pPr>
        <w:numPr>
          <w:ilvl w:val="0"/>
          <w:numId w:val="22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úprava,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 a kontrola vnesených a 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ěhem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řízených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vytvo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řených práv, která jsou nezbytná pro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</w:t>
      </w:r>
    </w:p>
    <w:p>
      <w:pPr>
        <w:numPr>
          <w:ilvl w:val="0"/>
          <w:numId w:val="22"/>
        </w:numPr>
        <w:tabs>
          <w:tab w:val="clear" w:pos="360"/>
          <w:tab w:val="left" w:pos="936"/>
        </w:tabs>
        <w:spacing w:before="0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závazek k dodržování povinností podle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článku 4 i dalšími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častníky pop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ř. k provád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veškeré pot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řebné sou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 za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čelem dodržení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ěchto povinností hlavním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říjemcem,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odpov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ědnosti hlavního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za porušení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čtové kázn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dalším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častníkem,</w:t>
      </w:r>
    </w:p>
    <w:p>
      <w:pPr>
        <w:numPr>
          <w:ilvl w:val="0"/>
          <w:numId w:val="22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závazek hlavního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k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řevodu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části podpory ze svého bankovního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čtu na bankovní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čty dalších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stanovení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ůty k tomuto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řevodu a</w:t>
      </w:r>
    </w:p>
    <w:p>
      <w:pPr>
        <w:numPr>
          <w:ilvl w:val="0"/>
          <w:numId w:val="22"/>
        </w:numPr>
        <w:tabs>
          <w:tab w:val="clear" w:pos="360"/>
          <w:tab w:val="left" w:pos="936"/>
        </w:tabs>
        <w:spacing w:before="0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závazek smluvních stran k ml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čenlivosti ohledn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veškerých informací vztahujících se k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jeho návrhu tak, aby nebyly ohroženy výsledky a cíle jeho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řešení,</w:t>
      </w:r>
    </w:p>
    <w:p>
      <w:pPr>
        <w:numPr>
          <w:ilvl w:val="0"/>
          <w:numId w:val="22"/>
        </w:numPr>
        <w:tabs>
          <w:tab w:val="clear" w:pos="360"/>
          <w:tab w:val="left" w:pos="936"/>
        </w:tabs>
        <w:spacing w:before="0" w:after="0" w:line="295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závazek spolupráce na implementa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čním plánu k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ředkládání zpráv 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implementaci.</w:t>
      </w:r>
    </w:p>
    <w:p>
      <w:pPr>
        <w:tabs>
          <w:tab w:val="decimal" w:leader="none" w:pos="216"/>
          <w:tab w:val="left" w:leader="none" w:pos="504"/>
        </w:tabs>
        <w:spacing w:before="337" w:after="0" w:line="297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3.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Smlouva 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časti 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ůže být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ětem hodnocení v rámci 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ěkterého kontrolního</w:t>
      </w:r>
    </w:p>
    <w:p>
      <w:pPr>
        <w:spacing w:before="1" w:after="1655" w:line="297" w:lineRule="exact"/>
        <w:ind w:right="0" w:left="57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procesu. Poskytovatel stanoví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říslušném opat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ření k náprav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aby 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zajistil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ěnu Smlouvy 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časti 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pokud ta bude v rozporu s pravidly poskytnutí podpory anebo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schváleným návrhem projektu.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39" name="Picture"/>
                  <a:graphic>
                    <a:graphicData uri="http://schemas.openxmlformats.org/drawingml/2006/picture">
                      <pic:pic>
                        <pic:nvPicPr>
                          <pic:cNvPr id="40" name="test1"/>
                          <pic:cNvPicPr preferRelativeResize="false"/>
                        </pic:nvPicPr>
                        <pic:blipFill>
                          <a:blip r:embed="d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2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Strana 10/25</w:t>
            </w:r>
          </w:p>
        </w:tc>
      </w:tr>
    </w:tbl>
    <w:p>
      <w:pPr>
        <w:spacing w:before="1" w:after="482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41" name="Picture"/>
            <a:graphic>
              <a:graphicData uri="http://schemas.openxmlformats.org/drawingml/2006/picture">
                <pic:pic>
                  <pic:nvPicPr>
                    <pic:cNvPr id="42" name="test1"/>
                    <pic:cNvPicPr preferRelativeResize="false"/>
                  </pic:nvPicPr>
                  <pic:blipFill>
                    <a:blip r:embed="d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 w:after="0" w:line="259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Článek 7
</w:t>
        <w:br/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Výpov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ď</w:t>
      </w:r>
    </w:p>
    <w:p>
      <w:pPr>
        <w:tabs>
          <w:tab w:val="decimal" w:leader="none" w:pos="216"/>
          <w:tab w:val="left" w:leader="none" w:pos="504"/>
        </w:tabs>
        <w:spacing w:before="200" w:after="0" w:line="297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1.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 je oprávn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 vypov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 Smlouvu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že</w:t>
      </w:r>
    </w:p>
    <w:p>
      <w:pPr>
        <w:numPr>
          <w:ilvl w:val="0"/>
          <w:numId w:val="23"/>
        </w:numPr>
        <w:tabs>
          <w:tab w:val="clear" w:pos="360"/>
          <w:tab w:val="left" w:pos="936"/>
        </w:tabs>
        <w:spacing w:before="198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další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řestal spl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ňovat podmínky zp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ůsobilosti podle § 18 odst. 2 ZPVV, s výjimkou pravomocného odsouzení pro trestný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 dotýkající se spln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podmínek pro poskytnutí podpory,</w:t>
      </w:r>
    </w:p>
    <w:p>
      <w:pPr>
        <w:numPr>
          <w:ilvl w:val="0"/>
          <w:numId w:val="23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pokud další pokra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čování 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pozbyde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čelnosti, zejména z 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ůvodu paralelního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stejného nebo obdobného projektu jiným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s lepšími výsledky, a to i v jiném programu nebo u jiného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poskytovatele, anebo z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ůvodu zastarání 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čekávaných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v 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ůsledku existence jiných lépe využitelných metod a postup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a pokud 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o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ěchto skute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čnostech nev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 a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 nemohl,</w:t>
      </w:r>
    </w:p>
    <w:p>
      <w:pPr>
        <w:numPr>
          <w:ilvl w:val="0"/>
          <w:numId w:val="23"/>
        </w:numPr>
        <w:tabs>
          <w:tab w:val="clear" w:pos="360"/>
          <w:tab w:val="left" w:pos="936"/>
        </w:tabs>
        <w:spacing w:before="0" w:after="0" w:line="295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je z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řejmé, že postup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nevede k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čekávaným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v 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ůsledku skute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čností hlavním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nezavin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ěných,</w:t>
      </w:r>
    </w:p>
    <w:p>
      <w:pPr>
        <w:numPr>
          <w:ilvl w:val="0"/>
          <w:numId w:val="23"/>
        </w:numPr>
        <w:tabs>
          <w:tab w:val="clear" w:pos="360"/>
          <w:tab w:val="left" w:pos="936"/>
        </w:tabs>
        <w:spacing w:before="6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dojde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ůsledku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čtového provizoria nebo krácení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ze státního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k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regulaci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čerpání státního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čtu nebo</w:t>
      </w:r>
    </w:p>
    <w:p>
      <w:pPr>
        <w:numPr>
          <w:ilvl w:val="0"/>
          <w:numId w:val="23"/>
        </w:numPr>
        <w:tabs>
          <w:tab w:val="clear" w:pos="360"/>
          <w:tab w:val="left" w:pos="936"/>
        </w:tabs>
        <w:spacing w:before="0" w:after="0" w:line="295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se 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povinností hlavního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vyplývajících ze Smlouvy stane jinak nemožným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povinnost plnit zanikne, a tato nemožnost nebyla zp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ůsobena porušením jeho povinností,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čemž toto 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povinností není nemožným, lze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li je uskute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čnit za ztížených podmínek nebo až po sjednaném termínu 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ění.</w:t>
      </w:r>
    </w:p>
    <w:p>
      <w:pPr>
        <w:tabs>
          <w:tab w:val="decimal" w:leader="none" w:pos="216"/>
          <w:tab w:val="left" w:leader="none" w:pos="504"/>
        </w:tabs>
        <w:spacing w:before="337" w:after="0" w:line="297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2.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Smluvní strany jsou si povinny vzájemn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řádn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vypo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řádat svá práva a povinnosti, zejména provést</w:t>
      </w:r>
    </w:p>
    <w:p>
      <w:pPr>
        <w:spacing w:before="0" w:after="0" w:line="296" w:lineRule="exact"/>
        <w:ind w:right="0" w:left="57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veškeré nezbytné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 spojené s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časným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(nap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ř., pokud je tak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čelné,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ředložení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 zprávy, provedení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čného hodnocení,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ředkládání zpráv 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implementaci apod.).</w:t>
      </w:r>
    </w:p>
    <w:p>
      <w:pPr>
        <w:tabs>
          <w:tab w:val="decimal" w:leader="none" w:pos="216"/>
          <w:tab w:val="left" w:leader="none" w:pos="504"/>
        </w:tabs>
        <w:spacing w:before="241" w:after="0" w:line="297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3.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Výpov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ď nabývá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 dnem doru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písemné a od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ůvodn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ěné výpov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ědi hlavnímu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říjemci.</w:t>
      </w:r>
    </w:p>
    <w:p>
      <w:pPr>
        <w:spacing w:before="796" w:after="0" w:line="259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Článek 8
</w:t>
        <w:br/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Odstoupení</w:t>
      </w:r>
    </w:p>
    <w:p>
      <w:pPr>
        <w:tabs>
          <w:tab w:val="decimal" w:leader="none" w:pos="216"/>
          <w:tab w:val="left" w:leader="none" w:pos="504"/>
        </w:tabs>
        <w:spacing w:before="199" w:after="0" w:line="297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1.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 od Smlouvy odstoupí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že</w:t>
      </w:r>
    </w:p>
    <w:p>
      <w:pPr>
        <w:numPr>
          <w:ilvl w:val="0"/>
          <w:numId w:val="24"/>
        </w:numPr>
        <w:tabs>
          <w:tab w:val="clear" w:pos="360"/>
          <w:tab w:val="left" w:pos="936"/>
        </w:tabs>
        <w:spacing w:before="198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anebo další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 se dopustil jednání (v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ne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řípadech, kdy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 povinnost jednat), kterým sám porušil pravidla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podpory, nebo v 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ůsledku 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ěhož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dojde k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porušení pravidel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podpory na stran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poskytovatele,</w:t>
      </w:r>
    </w:p>
    <w:p>
      <w:pPr>
        <w:numPr>
          <w:ilvl w:val="0"/>
          <w:numId w:val="24"/>
        </w:numPr>
        <w:tabs>
          <w:tab w:val="clear" w:pos="360"/>
          <w:tab w:val="left" w:pos="936"/>
        </w:tabs>
        <w:spacing w:before="0" w:after="407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uvedl neúplné, nesprávné nebo nepravdivé údaje nebo jiné skute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čnosti ve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sout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ěži nebo ve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zakázce ve výzkumu, vývoji a inovacích,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uzav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ření smlouvy nebo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informa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čních povinností 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ěhem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a po jeho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s úmyslem získat podporu nebo jinou výhodu,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43" name="Picture"/>
                  <a:graphic>
                    <a:graphicData uri="http://schemas.openxmlformats.org/drawingml/2006/picture">
                      <pic:pic>
                        <pic:nvPicPr>
                          <pic:cNvPr id="44" name="test1"/>
                          <pic:cNvPicPr preferRelativeResize="false"/>
                        </pic:nvPicPr>
                        <pic:blipFill>
                          <a:blip r:embed="d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2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Strana 11/25</w:t>
            </w:r>
          </w:p>
        </w:tc>
      </w:tr>
    </w:tbl>
    <w:p>
      <w:pPr>
        <w:spacing w:before="1" w:after="442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45" name="Picture"/>
            <a:graphic>
              <a:graphicData uri="http://schemas.openxmlformats.org/drawingml/2006/picture">
                <pic:pic>
                  <pic:nvPicPr>
                    <pic:cNvPr id="46" name="test1"/>
                    <pic:cNvPicPr preferRelativeResize="false"/>
                  </pic:nvPicPr>
                  <pic:blipFill>
                    <a:blip r:embed="d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5"/>
        </w:numPr>
        <w:tabs>
          <w:tab w:val="clear" w:pos="360"/>
          <w:tab w:val="left" w:pos="936"/>
        </w:tabs>
        <w:spacing w:before="2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porušil 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ěkterou z povinností podle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článku 4,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čemž pokud poskytovatel hlavního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vyzval k náprav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odstoupí od Smlouvy až po marném uplynutí stanovené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ůty k náprav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</w:t>
      </w:r>
    </w:p>
    <w:p>
      <w:pPr>
        <w:numPr>
          <w:ilvl w:val="0"/>
          <w:numId w:val="25"/>
        </w:numPr>
        <w:tabs>
          <w:tab w:val="clear" w:pos="360"/>
          <w:tab w:val="left" w:pos="936"/>
        </w:tabs>
        <w:spacing w:before="0" w:after="0" w:line="295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porušil opakovan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3x 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ěkterou z povinností, u kterých nejsou dány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ůty pro jejich 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ění, ale jejich 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je podmín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ěno jinými skute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čnostmi,</w:t>
      </w:r>
    </w:p>
    <w:p>
      <w:pPr>
        <w:numPr>
          <w:ilvl w:val="0"/>
          <w:numId w:val="25"/>
        </w:numPr>
        <w:tabs>
          <w:tab w:val="clear" w:pos="360"/>
          <w:tab w:val="left" w:pos="936"/>
        </w:tabs>
        <w:spacing w:before="1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anebo další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 byl pravomocn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odsouzen pro trestný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 týkající se spln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podmínek pro poskytnutí podpory,</w:t>
      </w:r>
    </w:p>
    <w:p>
      <w:pPr>
        <w:numPr>
          <w:ilvl w:val="0"/>
          <w:numId w:val="25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další pokra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čování 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pozbude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čelnosti, zejména z 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ůvodu paralelního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stejného nebo obdobného projektu jiným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s lepšími výsledky, a to i v jiném programu nebo u jiného poskytovatele, anebo z 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ůvodu zastarání 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čekávaných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v 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ůsledku existence jiných lépe využitelných metod a postup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a pokud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</w:t>
      </w:r>
    </w:p>
    <w:p>
      <w:pPr>
        <w:numPr>
          <w:ilvl w:val="0"/>
          <w:numId w:val="26"/>
        </w:numPr>
        <w:tabs>
          <w:tab w:val="clear" w:pos="144"/>
          <w:tab w:val="left" w:pos="1080"/>
        </w:tabs>
        <w:spacing w:before="0" w:after="0" w:line="297" w:lineRule="exact"/>
        <w:ind w:right="0" w:left="93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t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ěchto skute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čnostech v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ěd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ěl nebo v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ěd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ět m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ěl (v pochybnostech se použije obdobné ustanovení</w:t>
      </w:r>
    </w:p>
    <w:p>
      <w:pPr>
        <w:numPr>
          <w:ilvl w:val="0"/>
          <w:numId w:val="26"/>
        </w:numPr>
        <w:tabs>
          <w:tab w:val="clear" w:pos="144"/>
          <w:tab w:val="left" w:pos="1080"/>
        </w:tabs>
        <w:spacing w:before="1" w:after="0" w:line="297" w:lineRule="exact"/>
        <w:ind w:right="0" w:left="93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výpov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ědi),</w:t>
      </w:r>
    </w:p>
    <w:p>
      <w:pPr>
        <w:numPr>
          <w:ilvl w:val="0"/>
          <w:numId w:val="27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je z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řejmé, že postup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nevede k 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čekávaným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a napln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cíl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 v 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ůsledku skute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čností hlavním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zavin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ěných (zejména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kdy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hrub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nekoresponduje s návrhem projektu, v pochybnostech se použije obdobné ustanovení o výpov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ědi) nebo</w:t>
      </w:r>
    </w:p>
    <w:p>
      <w:pPr>
        <w:numPr>
          <w:ilvl w:val="0"/>
          <w:numId w:val="27"/>
        </w:numPr>
        <w:tabs>
          <w:tab w:val="clear" w:pos="360"/>
          <w:tab w:val="left" w:pos="936"/>
        </w:tabs>
        <w:spacing w:before="1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byly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provedení 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ěkterého z kontrolních proces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závažné finan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nesrovnalosti nebo podvod.</w:t>
      </w:r>
    </w:p>
    <w:p>
      <w:pPr>
        <w:numPr>
          <w:ilvl w:val="0"/>
          <w:numId w:val="28"/>
        </w:numPr>
        <w:tabs>
          <w:tab w:val="clear" w:pos="432"/>
          <w:tab w:val="left" w:pos="576"/>
        </w:tabs>
        <w:spacing w:before="332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 není oprávn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 odstoupit od Smlouvy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kdy porušení povinností hlavním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bylo zp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ůsobeno výlu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nedodržením povinností poskytovatele.</w:t>
      </w:r>
    </w:p>
    <w:p>
      <w:pPr>
        <w:numPr>
          <w:ilvl w:val="0"/>
          <w:numId w:val="28"/>
        </w:numPr>
        <w:tabs>
          <w:tab w:val="clear" w:pos="432"/>
          <w:tab w:val="left" w:pos="576"/>
        </w:tabs>
        <w:spacing w:before="241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Odstoupení nabývá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 dnem doru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písemného a od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ůvodn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ěného oznámení o odstoupení hlavnímu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říjemci.</w:t>
      </w:r>
    </w:p>
    <w:p>
      <w:pPr>
        <w:numPr>
          <w:ilvl w:val="0"/>
          <w:numId w:val="28"/>
        </w:numPr>
        <w:tabs>
          <w:tab w:val="clear" w:pos="432"/>
          <w:tab w:val="left" w:pos="576"/>
        </w:tabs>
        <w:spacing w:before="237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Odstoupením od Smlouvy nastávají jeho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činky uvedené v § 2004 a 2005 zákona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89/2012 Sb., ob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čanský zákoník.</w:t>
      </w:r>
    </w:p>
    <w:p>
      <w:pPr>
        <w:spacing w:before="830" w:after="0" w:line="252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Článek 9</w:t>
      </w:r>
    </w:p>
    <w:p>
      <w:pPr>
        <w:spacing w:before="3" w:after="0" w:line="254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říjmy z projekt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</w:t>
      </w:r>
    </w:p>
    <w:p>
      <w:pPr>
        <w:numPr>
          <w:ilvl w:val="0"/>
          <w:numId w:val="29"/>
        </w:numPr>
        <w:tabs>
          <w:tab w:val="clear" w:pos="432"/>
          <w:tab w:val="left" w:pos="576"/>
        </w:tabs>
        <w:spacing w:before="195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říjmy z projekt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 jsou jakékoliv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říjmy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říjemce v souvislosti s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řešením projektu s výjimkou ve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řejné zakázky ve výzkumu, vývoji a inovacích, které by za jiných okolností nem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ěl, a s kterými se v pr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ěhu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řešení projektu nebo po jeho ukon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čení primárn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 nepo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čítá. Mezi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říjmy z projekt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 se tudíž nezahrnují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říjmy z deklarovaných výsledk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ů. Jedná se tak o výhodu, které by se m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ěl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říjemce zbavit tak, že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říslušnou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částku odpovídající takovému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říjmu z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projektu odvede poskytovateli.</w:t>
      </w:r>
    </w:p>
    <w:p>
      <w:pPr>
        <w:numPr>
          <w:ilvl w:val="0"/>
          <w:numId w:val="29"/>
        </w:numPr>
        <w:tabs>
          <w:tab w:val="clear" w:pos="432"/>
          <w:tab w:val="left" w:pos="576"/>
        </w:tabs>
        <w:spacing w:before="241" w:after="762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Mezi 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říjmy z projekt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ů lze zahrnout zejména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47" name="Picture"/>
                  <a:graphic>
                    <a:graphicData uri="http://schemas.openxmlformats.org/drawingml/2006/picture">
                      <pic:pic>
                        <pic:nvPicPr>
                          <pic:cNvPr id="48" name="test1"/>
                          <pic:cNvPicPr preferRelativeResize="false"/>
                        </pic:nvPicPr>
                        <pic:blipFill>
                          <a:blip r:embed="d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2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Strana 12/25</w:t>
            </w:r>
          </w:p>
        </w:tc>
      </w:tr>
    </w:tbl>
    <w:p>
      <w:pPr>
        <w:sectPr>
          <w:type w:val="nextPage"/>
          <w:pgSz w:w="11909" w:h="16838" w:orient="portrait"/>
          <w:pgMar w:bottom="462" w:top="1060" w:right="1113" w:left="1036" w:header="720" w:footer="720"/>
          <w:titlePg w:val="false"/>
          <w:textDirection w:val="lrTb"/>
        </w:sectPr>
      </w:pPr>
    </w:p>
    <w:p>
      <w:pPr>
        <w:spacing w:before="1" w:after="442" w:line="240" w:lineRule="auto"/>
        <w:ind w:right="8502" w:left="20"/>
        <w:jc w:val="left"/>
        <w:textAlignment w:val="baseline"/>
      </w:pPr>
      <w:r>
        <w:drawing>
          <wp:inline>
            <wp:extent cx="786130" cy="786130"/>
            <wp:docPr id="49" name="Picture"/>
            <a:graphic>
              <a:graphicData uri="http://schemas.openxmlformats.org/drawingml/2006/picture">
                <pic:pic>
                  <pic:nvPicPr>
                    <pic:cNvPr id="50" name="test1"/>
                    <pic:cNvPicPr preferRelativeResize="false"/>
                  </pic:nvPicPr>
                  <pic:blipFill>
                    <a:blip r:embed="d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0"/>
        </w:numPr>
        <w:tabs>
          <w:tab w:val="clear" w:pos="360"/>
          <w:tab w:val="left" w:pos="936"/>
        </w:tabs>
        <w:spacing w:before="1" w:after="0" w:line="297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úroky z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části finan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čních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z poskytnuté podpory po tu dobu, co je uložena na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říjemce,</w:t>
      </w:r>
    </w:p>
    <w:p>
      <w:pPr>
        <w:numPr>
          <w:ilvl w:val="0"/>
          <w:numId w:val="30"/>
        </w:numPr>
        <w:tabs>
          <w:tab w:val="clear" w:pos="360"/>
          <w:tab w:val="left" w:pos="936"/>
        </w:tabs>
        <w:spacing w:before="1" w:after="0" w:line="297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jakékoliv komer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využití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jiné zpen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ěžení majetku 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řízeného z podpory, který již nelze využít k samotnému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a</w:t>
      </w:r>
    </w:p>
    <w:p>
      <w:pPr>
        <w:numPr>
          <w:ilvl w:val="0"/>
          <w:numId w:val="30"/>
        </w:numPr>
        <w:tabs>
          <w:tab w:val="clear" w:pos="360"/>
          <w:tab w:val="left" w:pos="936"/>
        </w:tabs>
        <w:spacing w:before="0" w:after="0" w:line="295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sankce dodavatel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ům,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ěch neuplatn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ěných,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řizování zboží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služeb za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čelem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pop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ř. jiná náhradní 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(nap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ř. slevy za pozdní dodání).</w:t>
      </w:r>
    </w:p>
    <w:p>
      <w:pPr>
        <w:numPr>
          <w:ilvl w:val="0"/>
          <w:numId w:val="31"/>
        </w:numPr>
        <w:tabs>
          <w:tab w:val="clear" w:pos="504"/>
          <w:tab w:val="left" w:pos="576"/>
        </w:tabs>
        <w:spacing w:before="334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je povinen si zárove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 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čínat jako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řádný hospodá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generování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tj. nezamezovat jejich získávání, pokud by tak ne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činil ani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že by se jednalo 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říjmy, které s projektem nesouvisí. Opa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čný postup bude posuzován jako porušení pravidel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podpory. Pokud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říslušná banka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úroky neposkytuje, musí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prokázat, že je tato skute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čnost sou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části 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nabízeného produktu i ostatním klient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a nejedná se o ad hoc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čelovou dohodu mezi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a bankou.</w:t>
      </w:r>
    </w:p>
    <w:p>
      <w:pPr>
        <w:numPr>
          <w:ilvl w:val="0"/>
          <w:numId w:val="31"/>
        </w:numPr>
        <w:tabs>
          <w:tab w:val="clear" w:pos="504"/>
          <w:tab w:val="left" w:pos="576"/>
        </w:tabs>
        <w:spacing w:before="240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řehled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z projekt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pop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ř. uvedení 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ůvod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jejich neexistence za dobu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uvede 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do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 zprávy a odvede je poskytovateli nejpozd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ěji do 15. února roku následujícího po skon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projektu na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říjmový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 19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3125001/0710. Kalkulace nemusí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řesn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odpovídat realit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pokud by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musel vynaložit takové úsilí, které by bylo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časov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a administrativn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nákladné v pom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ěru ke zjišt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ěnému výsledku.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nicmén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 takových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řípadech podle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ředchozí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ěty zvolí alespo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 takovou jednoduchou metodu výpo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čtu, která se realit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blíží s tím, že hlavním smyslem takové úpravy je povinnost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zbavit se této výhody,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jak je uvedena v odst. 1.</w:t>
      </w:r>
    </w:p>
    <w:p>
      <w:pPr>
        <w:numPr>
          <w:ilvl w:val="0"/>
          <w:numId w:val="31"/>
        </w:numPr>
        <w:tabs>
          <w:tab w:val="clear" w:pos="504"/>
          <w:tab w:val="left" w:pos="576"/>
        </w:tabs>
        <w:spacing w:before="237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 období pro odvod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ěchto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z projekt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se považuje doba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a doba 3 let po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řešení.</w:t>
      </w:r>
    </w:p>
    <w:p>
      <w:pPr>
        <w:numPr>
          <w:ilvl w:val="0"/>
          <w:numId w:val="31"/>
        </w:numPr>
        <w:tabs>
          <w:tab w:val="clear" w:pos="504"/>
          <w:tab w:val="left" w:pos="576"/>
        </w:tabs>
        <w:spacing w:before="237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Pokud dojde k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ům, které byly generovány z majetku 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řízeného z podpory v té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části, ve které mají být využity k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považují se tyto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říjmy za nepovolené s 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ůsledkem porušení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čtové kázn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říjemce.</w:t>
      </w:r>
    </w:p>
    <w:p>
      <w:pPr>
        <w:numPr>
          <w:ilvl w:val="0"/>
          <w:numId w:val="31"/>
        </w:numPr>
        <w:tabs>
          <w:tab w:val="clear" w:pos="504"/>
          <w:tab w:val="left" w:pos="576"/>
        </w:tabs>
        <w:spacing w:before="241" w:after="3244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Povinnost odvád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 se nevztahuje na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říjmy, které nedosáhnou za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říslušný kalendá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řní rok 200,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 v jednom projektu u jednoho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říjemce.</w:t>
      </w:r>
    </w:p>
    <w:p>
      <w:pPr>
        <w:spacing w:before="241" w:after="3244" w:line="297" w:lineRule="exact"/>
        <w:sectPr>
          <w:type w:val="nextPage"/>
          <w:pgSz w:w="11909" w:h="16838" w:orient="portrait"/>
          <w:pgMar w:bottom="462" w:top="1060" w:right="1108" w:left="1041" w:header="720" w:footer="720"/>
          <w:titlePg w:val="false"/>
          <w:textDirection w:val="lrTb"/>
        </w:sectPr>
      </w:pPr>
    </w:p>
    <w:p>
      <w:pPr>
        <w:spacing w:before="107" w:after="0" w:line="174" w:lineRule="exact"/>
        <w:ind w:right="0" w:left="0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-8"/>
          <w:w w:val="100"/>
          <w:sz w:val="16"/>
          <w:vertAlign w:val="baseline"/>
          <w:lang w:val="cs-CZ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225.35pt;height:32.65pt;z-index:-998;margin-left:52.55pt;margin-top:765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2861945" cy="414655"/>
                        <wp:docPr id="51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id="52" name="test1"/>
                                <pic:cNvPicPr preferRelativeResize="false"/>
                              </pic:nvPicPr>
                              <pic:blipFill>
                                <a:blip r:embed="d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1945" cy="414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mbria" w:hAnsi="Cambria" w:eastAsia="Cambria"/>
          <w:strike w:val="false"/>
          <w:color w:val="000000"/>
          <w:spacing w:val="-8"/>
          <w:w w:val="100"/>
          <w:sz w:val="16"/>
          <w:vertAlign w:val="baseline"/>
          <w:lang w:val="cs-CZ"/>
        </w:rPr>
        <w:t xml:space="preserve">F-211, Verze 6</w:t>
      </w:r>
    </w:p>
    <w:p>
      <w:pPr>
        <w:spacing w:before="8" w:after="0" w:line="187" w:lineRule="exact"/>
        <w:ind w:right="0" w:left="72" w:firstLine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řejný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Strana 13/25</w:t>
      </w:r>
    </w:p>
    <w:p>
      <w:pPr>
        <w:sectPr>
          <w:type w:val="continuous"/>
          <w:pgSz w:w="11909" w:h="16838" w:orient="portrait"/>
          <w:pgMar w:bottom="462" w:top="1060" w:right="1122" w:left="9787" w:header="720" w:footer="720"/>
          <w:titlePg w:val="false"/>
          <w:textDirection w:val="lrTb"/>
        </w:sectPr>
      </w:pPr>
    </w:p>
    <w:p>
      <w:pPr>
        <w:spacing w:before="1" w:after="425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53" name="Picture"/>
            <a:graphic>
              <a:graphicData uri="http://schemas.openxmlformats.org/drawingml/2006/picture">
                <pic:pic>
                  <pic:nvPicPr>
                    <pic:cNvPr id="54" name="test1"/>
                    <pic:cNvPicPr preferRelativeResize="false"/>
                  </pic:nvPicPr>
                  <pic:blipFill>
                    <a:blip r:embed="d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" w:after="0" w:line="360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Část 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C 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– Poskytování informací, ml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čenlivost a p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ředkládání zpráv</w:t>
      </w:r>
    </w:p>
    <w:p>
      <w:pPr>
        <w:spacing w:before="299" w:after="0" w:line="251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Článek 10</w:t>
      </w:r>
    </w:p>
    <w:p>
      <w:pPr>
        <w:spacing w:before="8" w:after="0" w:line="254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Poskytování informací a ml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čenlivost</w:t>
      </w:r>
    </w:p>
    <w:p>
      <w:pPr>
        <w:numPr>
          <w:ilvl w:val="0"/>
          <w:numId w:val="32"/>
        </w:numPr>
        <w:tabs>
          <w:tab w:val="clear" w:pos="432"/>
          <w:tab w:val="left" w:pos="576"/>
        </w:tabs>
        <w:spacing w:before="202" w:after="0" w:line="295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 zajistí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ředávání relevantních informací do IS VaVaI v souladu s hlavou VII ZPVV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řízením vlády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397/2009 Sb., o informa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čním systému výzkumu, experimentálního vývoje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inovací. Za tímto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čelem si od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dle pot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řeby takové informace vyžádá, pokud je již neobdržel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jiných skute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čností.</w:t>
      </w:r>
    </w:p>
    <w:p>
      <w:pPr>
        <w:numPr>
          <w:ilvl w:val="0"/>
          <w:numId w:val="32"/>
        </w:numPr>
        <w:tabs>
          <w:tab w:val="clear" w:pos="432"/>
          <w:tab w:val="left" w:pos="576"/>
        </w:tabs>
        <w:spacing w:before="251" w:after="0" w:line="295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Všechny informace vztahující se k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k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projektu jsou považovány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za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ěrné s výjimkou informací poskytovaných do IS VaVaI nebo informací, které je poskytovatel povinen poskytnout jiným orgán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státní správy, soudním orgán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nebo orgán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činným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trestním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řízení. Poskytovatel si zárove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 vyhrazuje právo poskytnout relevantní informace jiným poskytovatel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nebo jiným orgán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státní správy za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čelem efektivního výkonu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souvislosti s poskytováním podpory ve výzkumu, vývoji a inovacích.</w:t>
      </w:r>
    </w:p>
    <w:p>
      <w:pPr>
        <w:numPr>
          <w:ilvl w:val="0"/>
          <w:numId w:val="32"/>
        </w:numPr>
        <w:tabs>
          <w:tab w:val="clear" w:pos="432"/>
          <w:tab w:val="left" w:pos="576"/>
        </w:tabs>
        <w:spacing w:before="243" w:after="0" w:line="295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Smluvní strany zajistí ml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čenlivost o všech d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ův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ěrných informacích, a pokud byly na základ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 Smlouvy postoupeny t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řetí stran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ě, zajistí, aby tyto t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řetí strany zachovávaly ml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čenlivost o t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ěchto informacích, které jim byly poskytnuty jako d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ův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ěrné, a používaly je jen k ú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čel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ům, k nimž jim byly p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ředány.</w:t>
      </w:r>
    </w:p>
    <w:p>
      <w:pPr>
        <w:numPr>
          <w:ilvl w:val="0"/>
          <w:numId w:val="32"/>
        </w:numPr>
        <w:tabs>
          <w:tab w:val="clear" w:pos="432"/>
          <w:tab w:val="left" w:pos="576"/>
        </w:tabs>
        <w:spacing w:before="245" w:after="0" w:line="295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ředchozí odstavec se nevztahuje na informování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řejnosti o tom, že projekt resp. jeho výstupy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výsledky byl nebo je spolufinancován z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poskytovatele.</w:t>
      </w:r>
    </w:p>
    <w:p>
      <w:pPr>
        <w:numPr>
          <w:ilvl w:val="0"/>
          <w:numId w:val="32"/>
        </w:numPr>
        <w:tabs>
          <w:tab w:val="clear" w:pos="432"/>
          <w:tab w:val="left" w:pos="576"/>
        </w:tabs>
        <w:spacing w:before="243" w:after="0" w:line="295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 má právo na bezplatné, nevýlu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 a neodvolatelné právo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ředkládat, rozmnožovat a rozši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řovat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ědecké, technické a jiné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články z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časopis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konferencí a informace z ostatních dokument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týkajících se projektu, uve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ěných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nebo 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jeho souhlasem.</w:t>
      </w:r>
    </w:p>
    <w:p>
      <w:pPr>
        <w:numPr>
          <w:ilvl w:val="0"/>
          <w:numId w:val="32"/>
        </w:numPr>
        <w:tabs>
          <w:tab w:val="clear" w:pos="432"/>
          <w:tab w:val="left" w:pos="576"/>
        </w:tabs>
        <w:spacing w:before="247" w:after="0" w:line="295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Pokud je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ětem zákonem stanovené nebo uznané povinnosti ml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čenlivosti, smluvní strany poskytují informace o provád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ěném výzkumu, vývoji a inovacích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jejich výsledcích s vylou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čením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ěch informací, o nichž to stanoví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říslušný zákon.</w:t>
      </w:r>
    </w:p>
    <w:p>
      <w:pPr>
        <w:numPr>
          <w:ilvl w:val="0"/>
          <w:numId w:val="32"/>
        </w:numPr>
        <w:tabs>
          <w:tab w:val="clear" w:pos="432"/>
          <w:tab w:val="left" w:pos="576"/>
        </w:tabs>
        <w:spacing w:before="239" w:after="0" w:line="295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Smluvní strany jsou povinnosti zachovávat ml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čenlivost zprošt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ěny,</w:t>
      </w:r>
    </w:p>
    <w:p>
      <w:pPr>
        <w:numPr>
          <w:ilvl w:val="0"/>
          <w:numId w:val="33"/>
        </w:numPr>
        <w:tabs>
          <w:tab w:val="clear" w:pos="360"/>
          <w:tab w:val="left" w:pos="936"/>
        </w:tabs>
        <w:spacing w:before="204" w:after="0" w:line="295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pokud se obsah informací, které jim byly poskytnuty jako 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ěrné, stane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řístupným,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to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jiných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činností provád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ěných mimo rámec Smlouvy nebo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opat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ření, která nesouvisí 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řešením projektu, nebo</w:t>
      </w:r>
    </w:p>
    <w:p>
      <w:pPr>
        <w:numPr>
          <w:ilvl w:val="0"/>
          <w:numId w:val="33"/>
        </w:numPr>
        <w:tabs>
          <w:tab w:val="clear" w:pos="360"/>
          <w:tab w:val="left" w:pos="936"/>
        </w:tabs>
        <w:spacing w:before="5" w:after="1526" w:line="295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pokud byl požadavek zachovávat ml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čenlivost odvolán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ěmi, v jejichž prosp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ěch byla tato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povinnost stanovena.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55" name="Picture"/>
                  <a:graphic>
                    <a:graphicData uri="http://schemas.openxmlformats.org/drawingml/2006/picture">
                      <pic:pic>
                        <pic:nvPicPr>
                          <pic:cNvPr id="56" name="test1"/>
                          <pic:cNvPicPr preferRelativeResize="false"/>
                        </pic:nvPicPr>
                        <pic:blipFill>
                          <a:blip r:embed="d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2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Strana 14/25</w:t>
            </w:r>
          </w:p>
        </w:tc>
      </w:tr>
    </w:tbl>
    <w:p>
      <w:pPr>
        <w:sectPr>
          <w:type w:val="nextPage"/>
          <w:pgSz w:w="11909" w:h="16838" w:orient="portrait"/>
          <w:pgMar w:bottom="462" w:top="1060" w:right="1113" w:left="1036" w:header="720" w:footer="720"/>
          <w:titlePg w:val="false"/>
          <w:textDirection w:val="lrTb"/>
        </w:sectPr>
      </w:pPr>
    </w:p>
    <w:p>
      <w:pPr>
        <w:spacing w:before="1" w:after="482" w:line="240" w:lineRule="auto"/>
        <w:ind w:right="8500" w:left="22"/>
        <w:jc w:val="left"/>
        <w:textAlignment w:val="baseline"/>
      </w:pPr>
      <w:r>
        <w:drawing>
          <wp:inline>
            <wp:extent cx="786130" cy="786130"/>
            <wp:docPr id="57" name="Picture"/>
            <a:graphic>
              <a:graphicData uri="http://schemas.openxmlformats.org/drawingml/2006/picture">
                <pic:pic>
                  <pic:nvPicPr>
                    <pic:cNvPr id="58" name="test1"/>
                    <pic:cNvPicPr preferRelativeResize="false"/>
                  </pic:nvPicPr>
                  <pic:blipFill>
                    <a:blip r:embed="drId34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 w:after="0" w:line="257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3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Článek 11</w:t>
      </w:r>
    </w:p>
    <w:p>
      <w:pPr>
        <w:spacing w:before="3" w:after="0" w:line="257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ředkládání zpráv</w:t>
      </w:r>
    </w:p>
    <w:p>
      <w:pPr>
        <w:tabs>
          <w:tab w:val="decimal" w:leader="none" w:pos="216"/>
          <w:tab w:val="left" w:leader="none" w:pos="504"/>
        </w:tabs>
        <w:spacing w:before="202" w:after="0" w:line="296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1.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ředkládá v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a po jeho skon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v uvedených termínech</w:t>
      </w:r>
    </w:p>
    <w:p>
      <w:pPr>
        <w:spacing w:before="1" w:after="0" w:line="296" w:lineRule="exact"/>
        <w:ind w:right="0" w:left="504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tyto zprávy:</w:t>
      </w:r>
    </w:p>
    <w:p>
      <w:pPr>
        <w:numPr>
          <w:ilvl w:val="0"/>
          <w:numId w:val="34"/>
        </w:numPr>
        <w:tabs>
          <w:tab w:val="clear" w:pos="432"/>
          <w:tab w:val="left" w:pos="936"/>
        </w:tabs>
        <w:spacing w:before="197" w:after="0" w:line="296" w:lineRule="exact"/>
        <w:ind w:right="0" w:left="936" w:hanging="432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ěžnou zprávu o postupu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za každý rok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řešení, a to do 30. 1. následujícího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roku,</w:t>
      </w:r>
    </w:p>
    <w:p>
      <w:pPr>
        <w:numPr>
          <w:ilvl w:val="0"/>
          <w:numId w:val="34"/>
        </w:numPr>
        <w:tabs>
          <w:tab w:val="clear" w:pos="432"/>
          <w:tab w:val="left" w:pos="936"/>
        </w:tabs>
        <w:spacing w:before="4" w:after="0" w:line="296" w:lineRule="exact"/>
        <w:ind w:right="0" w:left="93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mi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mo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řádnou zprávu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písemné žádosti poskytovatele, zejména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jeho podez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ření porušování výše uvedených povinností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říjemcem, a to do termínu stanoveného v požadavku poskytovatele na její podání,</w:t>
      </w:r>
    </w:p>
    <w:p>
      <w:pPr>
        <w:numPr>
          <w:ilvl w:val="0"/>
          <w:numId w:val="34"/>
        </w:numPr>
        <w:tabs>
          <w:tab w:val="clear" w:pos="432"/>
          <w:tab w:val="left" w:pos="936"/>
        </w:tabs>
        <w:spacing w:before="3" w:after="0" w:line="296" w:lineRule="exact"/>
        <w:ind w:right="0" w:left="93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čnou zprávu 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spolu s implementa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čním plánem, a to do 30 kalendá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řních 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ode dne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</w:t>
      </w:r>
    </w:p>
    <w:p>
      <w:pPr>
        <w:numPr>
          <w:ilvl w:val="0"/>
          <w:numId w:val="34"/>
        </w:numPr>
        <w:tabs>
          <w:tab w:val="clear" w:pos="432"/>
          <w:tab w:val="left" w:pos="936"/>
        </w:tabs>
        <w:spacing w:before="0" w:after="0" w:line="295" w:lineRule="exact"/>
        <w:ind w:right="0" w:left="93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zprávu o implementaci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a to do 31.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července následujícího roku po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sledovaného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říletého období implementace.</w:t>
      </w:r>
    </w:p>
    <w:p>
      <w:pPr>
        <w:tabs>
          <w:tab w:val="decimal" w:leader="none" w:pos="216"/>
          <w:tab w:val="left" w:leader="none" w:pos="504"/>
        </w:tabs>
        <w:spacing w:before="44" w:after="0" w:line="296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2.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čná zpráva nahrazuje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ěžnou zprávu za poslední rok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poslední etapu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projektu.</w:t>
      </w:r>
    </w:p>
    <w:p>
      <w:pPr>
        <w:tabs>
          <w:tab w:val="decimal" w:leader="none" w:pos="216"/>
          <w:tab w:val="left" w:leader="none" w:pos="504"/>
        </w:tabs>
        <w:spacing w:before="238" w:after="0" w:line="296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3.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Pokud ve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zakázce ve výzkumu, vývoji a inovacích vychází termín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etapy ve lh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</w:t>
      </w:r>
    </w:p>
    <w:p>
      <w:pPr>
        <w:spacing w:before="3" w:after="0" w:line="296" w:lineRule="exact"/>
        <w:ind w:right="0" w:left="504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kratší než 3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ěsíce po za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čátku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anebo 3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ěsíce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 termínem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projektu, povinnost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ředložit tuto zprávu je spln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ěna až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ředložením následující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ěžné nebo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 zprávy. U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zakázky ve výzkumu, vývoji a inovacích s dobou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kratší 13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ěsíc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(v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ě) 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ředkládá pouze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čnou zprávu. Tímto odstavcem není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čena povinnost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ředložit v termínu dle odstavce 1 finan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 zprávy.</w:t>
      </w:r>
    </w:p>
    <w:p>
      <w:pPr>
        <w:spacing w:before="243" w:after="0" w:line="296" w:lineRule="exact"/>
        <w:ind w:right="0" w:left="504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4.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Zpráva se považuje za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ředloženou, pokud byla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řádn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podána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řednictvím Informa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čního systému poskytovatele a bylo doru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čeno potvrzení elektronického podání zprávy vygenerované z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In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forma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čního systému a obsahuje veškeré povinné náležitosti a jsou k 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řiloženy další nezbytné dokumenty, zejména je k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ěžné (pokud býti má) nebo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 zpráv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řiložen implementa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plán.</w:t>
      </w:r>
    </w:p>
    <w:p>
      <w:pPr>
        <w:tabs>
          <w:tab w:val="decimal" w:leader="none" w:pos="216"/>
          <w:tab w:val="left" w:leader="none" w:pos="504"/>
        </w:tabs>
        <w:spacing w:before="242" w:after="0" w:line="296" w:lineRule="exact"/>
        <w:ind w:right="0" w:left="72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5.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Metodický postup vypracování 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ředkládání zpráv a dalších podklad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jsou stanoveny</w:t>
      </w:r>
    </w:p>
    <w:p>
      <w:pPr>
        <w:spacing w:before="0" w:after="0" w:line="296" w:lineRule="exact"/>
        <w:ind w:right="0" w:left="504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říslušném vnit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řním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ředpisu poskytovatele.</w:t>
      </w:r>
    </w:p>
    <w:p>
      <w:pPr>
        <w:spacing w:before="722" w:after="0" w:line="363" w:lineRule="exact"/>
        <w:ind w:right="0" w:left="72" w:firstLine="0"/>
        <w:jc w:val="center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30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30"/>
          <w:vertAlign w:val="baseline"/>
          <w:lang w:val="cs-CZ"/>
        </w:rPr>
        <w:t xml:space="preserve">Část D – Vlastnictví majetku, práva k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30"/>
          <w:vertAlign w:val="baseline"/>
          <w:lang w:val="cs-CZ"/>
        </w:rPr>
        <w:t xml:space="preserve">ům a využití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30"/>
          <w:vertAlign w:val="baseline"/>
          <w:lang w:val="cs-CZ"/>
        </w:rPr>
        <w:t xml:space="preserve">ů</w:t>
      </w:r>
    </w:p>
    <w:p>
      <w:pPr>
        <w:spacing w:before="291" w:after="0" w:line="257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Článek 12</w:t>
      </w:r>
    </w:p>
    <w:p>
      <w:pPr>
        <w:spacing w:before="6" w:after="0" w:line="257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Vlastnictví majetku</w:t>
      </w:r>
    </w:p>
    <w:p>
      <w:pPr>
        <w:tabs>
          <w:tab w:val="decimal" w:leader="none" w:pos="216"/>
          <w:tab w:val="left" w:leader="none" w:pos="504"/>
        </w:tabs>
        <w:spacing w:before="199" w:after="0" w:line="296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1.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Vlastníky majetku pot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řebného k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jsou ve smyslu § 15 ZPVV 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a další</w:t>
      </w:r>
    </w:p>
    <w:p>
      <w:pPr>
        <w:spacing w:before="1" w:after="729" w:line="296" w:lineRule="exact"/>
        <w:ind w:right="0" w:left="504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častníci, kte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 si uvedený majetek 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řídili nebo 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vytvo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řili.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19"/>
        <w:gridCol w:w="5241"/>
      </w:tblGrid>
      <w:tr>
        <w:trPr>
          <w:trHeight w:val="678" w:hRule="exact"/>
        </w:trPr>
        <w:tc>
          <w:tcPr>
            <w:tcW w:w="4519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2"/>
              <w:jc w:val="center"/>
              <w:textAlignment w:val="baseline"/>
            </w:pPr>
            <w:r>
              <w:drawing>
                <wp:inline>
                  <wp:extent cx="2861945" cy="414655"/>
                  <wp:docPr id="59" name="Picture"/>
                  <a:graphic>
                    <a:graphicData uri="http://schemas.openxmlformats.org/drawingml/2006/picture">
                      <pic:pic>
                        <pic:nvPicPr>
                          <pic:cNvPr id="60" name="test1"/>
                          <pic:cNvPicPr preferRelativeResize="false"/>
                        </pic:nvPicPr>
                        <pic:blipFill>
                          <a:blip r:embed="d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3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2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Strana 15/25</w:t>
            </w:r>
          </w:p>
        </w:tc>
      </w:tr>
    </w:tbl>
    <w:p>
      <w:pPr>
        <w:sectPr>
          <w:type w:val="nextPage"/>
          <w:pgSz w:w="11909" w:h="16838" w:orient="portrait"/>
          <w:pgMar w:bottom="462" w:top="1060" w:right="1110" w:left="1039" w:header="720" w:footer="720"/>
          <w:titlePg w:val="false"/>
          <w:textDirection w:val="lrTb"/>
        </w:sectPr>
      </w:pPr>
    </w:p>
    <w:p>
      <w:pPr>
        <w:spacing w:before="1" w:after="447" w:line="240" w:lineRule="auto"/>
        <w:ind w:right="8502" w:left="20"/>
        <w:jc w:val="left"/>
        <w:textAlignment w:val="baseline"/>
      </w:pPr>
      <w:r>
        <w:drawing>
          <wp:inline>
            <wp:extent cx="786130" cy="786130"/>
            <wp:docPr id="61" name="Picture"/>
            <a:graphic>
              <a:graphicData uri="http://schemas.openxmlformats.org/drawingml/2006/picture">
                <pic:pic>
                  <pic:nvPicPr>
                    <pic:cNvPr id="62" name="test1"/>
                    <pic:cNvPicPr preferRelativeResize="false"/>
                  </pic:nvPicPr>
                  <pic:blipFill>
                    <a:blip r:embed="drId36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5"/>
        </w:numPr>
        <w:tabs>
          <w:tab w:val="clear" w:pos="504"/>
          <w:tab w:val="left" w:pos="576"/>
        </w:tabs>
        <w:spacing w:before="0" w:after="0" w:line="295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Je-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li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organiza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složka státu nebo organiza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jednotka ministerstva, je vlastníkem takového majetku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Česká republika.</w:t>
      </w:r>
    </w:p>
    <w:p>
      <w:pPr>
        <w:numPr>
          <w:ilvl w:val="0"/>
          <w:numId w:val="35"/>
        </w:numPr>
        <w:tabs>
          <w:tab w:val="clear" w:pos="504"/>
          <w:tab w:val="left" w:pos="576"/>
        </w:tabs>
        <w:spacing w:before="241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Je-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li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organiza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složka územního samosprávného celku, je vlastníkem takového majetku územní samosprávný celek.</w:t>
      </w:r>
    </w:p>
    <w:p>
      <w:pPr>
        <w:spacing w:before="807" w:after="0" w:line="244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Článek 13</w:t>
      </w:r>
    </w:p>
    <w:p>
      <w:pPr>
        <w:spacing w:before="16" w:after="0" w:line="248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Implementa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plán výsledk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 a Smlouva o využití výsledk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</w:t>
      </w:r>
    </w:p>
    <w:p>
      <w:pPr>
        <w:numPr>
          <w:ilvl w:val="0"/>
          <w:numId w:val="36"/>
        </w:numPr>
        <w:tabs>
          <w:tab w:val="clear" w:pos="504"/>
          <w:tab w:val="left" w:pos="576"/>
        </w:tabs>
        <w:spacing w:before="194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Implementa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plán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 s výjimkou 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zakázky ve výzkumu, vývoji a inovacích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ředkládá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spole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se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čnou zprávou jako její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řílohu, pop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ř. i spole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s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ěžnou zprávou jako její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řílohu, pokud bylo výsledku dosaženo 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ěhem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projektu. Implementa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plán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 je podáván za jednotlivé výsledky nebo pro ur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čité skupiny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které spolu logicky souvisí a jejichž implementace bude probíhat spole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ě.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Pokud tuto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podmínku spl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ňují všechny výsledky projektu, je možné podat jeden plán za všechny výsledky projektu. Do implementa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čního plánu musí být zahrnuty i ty výsledky, kterými se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nehodlá dále komer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ani výzkumn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zabývat. Plán musí zahrnovat zejména všechny nároky na práva k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projektu a návrhy na využití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projektu, a další povinné náležitosti uvedené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aplikac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i Informa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čního systému poskytovatele pro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ředkládání zpráv.</w:t>
      </w:r>
    </w:p>
    <w:p>
      <w:pPr>
        <w:numPr>
          <w:ilvl w:val="0"/>
          <w:numId w:val="36"/>
        </w:numPr>
        <w:tabs>
          <w:tab w:val="clear" w:pos="504"/>
          <w:tab w:val="left" w:pos="576"/>
        </w:tabs>
        <w:spacing w:before="237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 si vyhrazuje právo sledovat 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implementa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čního plánu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po celou dobu jeho platnosti, min. však po dobu 3 let od dosažení výsledku, bylo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li výsledku dosaženo v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nejpozd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ěji však do 3 let po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a to zejména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ředkládaných zpráv o implementaci.</w:t>
      </w:r>
    </w:p>
    <w:p>
      <w:pPr>
        <w:numPr>
          <w:ilvl w:val="0"/>
          <w:numId w:val="36"/>
        </w:numPr>
        <w:tabs>
          <w:tab w:val="clear" w:pos="504"/>
          <w:tab w:val="left" w:pos="576"/>
        </w:tabs>
        <w:spacing w:before="239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Zprávy o implementaci a Finální zprávu o implementaci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ředkládá k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zahrnutým do daného Implementa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čního plánu. Výsledky zahrnuté ve Zpráv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o implementaci by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ěly navazovat na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ředcházející implementa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plán.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 podáním Zprávy o implementaci však bude umožn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ěno upravit skupiny vykazovaných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(vždy však pouze v rámci implementa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čních plán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podaných ve stejném roce). Podobné nutné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ěny bude možné provést i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 podáním Finální zprávy o implementaci.</w:t>
      </w:r>
    </w:p>
    <w:p>
      <w:pPr>
        <w:numPr>
          <w:ilvl w:val="0"/>
          <w:numId w:val="36"/>
        </w:numPr>
        <w:tabs>
          <w:tab w:val="clear" w:pos="504"/>
          <w:tab w:val="left" w:pos="576"/>
        </w:tabs>
        <w:spacing w:before="238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Smlouva o využití výsledk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 m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ůže být uzav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řena bu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ď mezi ú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častníky, pokud není další uživatel, nebo, pokud existuje další uživatel, je sou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částí této smlouvy rovn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ěž uživatel,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řípadn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 pokud jsou již jiným zp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ůsobem vy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řešena práva k výsledk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ům, je možné uzav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řít smlouvu pouze mezi vlastníkem výsledku a jeho uživatelem. Pokud existuje jeden vlastník výsledku, který bude výsledek užívat sám, nahrazuje Smlouvu o využití výsledk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čestným prohlášením o využití výsledk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ů.</w:t>
      </w:r>
    </w:p>
    <w:p>
      <w:pPr>
        <w:numPr>
          <w:ilvl w:val="0"/>
          <w:numId w:val="36"/>
        </w:numPr>
        <w:tabs>
          <w:tab w:val="clear" w:pos="504"/>
          <w:tab w:val="left" w:pos="576"/>
        </w:tabs>
        <w:spacing w:before="241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Smlouva o využití výsledk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ů obsahuje zejména</w:t>
      </w:r>
    </w:p>
    <w:p>
      <w:pPr>
        <w:numPr>
          <w:ilvl w:val="0"/>
          <w:numId w:val="37"/>
        </w:numPr>
        <w:tabs>
          <w:tab w:val="clear" w:pos="360"/>
          <w:tab w:val="left" w:pos="936"/>
        </w:tabs>
        <w:spacing w:before="197" w:after="0" w:line="297" w:lineRule="exact"/>
        <w:ind w:right="0" w:left="57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název a identifika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údaje projektu,</w:t>
      </w:r>
    </w:p>
    <w:p>
      <w:pPr>
        <w:numPr>
          <w:ilvl w:val="0"/>
          <w:numId w:val="37"/>
        </w:numPr>
        <w:tabs>
          <w:tab w:val="clear" w:pos="360"/>
          <w:tab w:val="left" w:pos="936"/>
        </w:tabs>
        <w:spacing w:before="1" w:after="0" w:line="296" w:lineRule="exact"/>
        <w:ind w:right="0" w:left="57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vymezení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 jejich srovnání s cíli projektu,</w:t>
      </w:r>
    </w:p>
    <w:p>
      <w:pPr>
        <w:spacing w:before="255" w:after="0" w:line="174" w:lineRule="exact"/>
        <w:ind w:right="0" w:left="0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-7"/>
          <w:w w:val="100"/>
          <w:sz w:val="16"/>
          <w:vertAlign w:val="baseline"/>
          <w:lang w:val="cs-CZ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437.3pt;height:41.3pt;z-index:-997;margin-left:52.05pt;margin-top:757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48" w:after="25" w:line="240" w:lineRule="auto"/>
                    <w:ind w:right="4229" w:left="10"/>
                    <w:jc w:val="left"/>
                    <w:textAlignment w:val="baseline"/>
                  </w:pPr>
                  <w:r>
                    <w:drawing>
                      <wp:inline>
                        <wp:extent cx="2861945" cy="414655"/>
                        <wp:docPr id="63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id="64" name="test1"/>
                                <pic:cNvPicPr preferRelativeResize="false"/>
                              </pic:nvPicPr>
                              <pic:blipFill>
                                <a:blip r:embed="d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1945" cy="414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mbria" w:hAnsi="Cambria" w:eastAsia="Cambria"/>
          <w:strike w:val="false"/>
          <w:color w:val="000000"/>
          <w:spacing w:val="-7"/>
          <w:w w:val="100"/>
          <w:sz w:val="16"/>
          <w:vertAlign w:val="baseline"/>
          <w:lang w:val="cs-CZ"/>
        </w:rPr>
        <w:t xml:space="preserve">F-211, Verze 6</w:t>
      </w:r>
    </w:p>
    <w:p>
      <w:pPr>
        <w:spacing w:before="8" w:after="0" w:line="187" w:lineRule="exact"/>
        <w:ind w:right="0" w:left="72" w:firstLine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řejný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Strana 16/25</w:t>
      </w:r>
    </w:p>
    <w:p>
      <w:pPr>
        <w:sectPr>
          <w:type w:val="nextPage"/>
          <w:pgSz w:w="11909" w:h="16838" w:orient="portrait"/>
          <w:pgMar w:bottom="462" w:top="1060" w:right="1108" w:left="1041" w:header="720" w:footer="720"/>
          <w:titlePg w:val="false"/>
          <w:textDirection w:val="lrTb"/>
        </w:sectPr>
      </w:pPr>
    </w:p>
    <w:p>
      <w:pPr>
        <w:spacing w:before="1" w:after="443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65" name="Picture"/>
            <a:graphic>
              <a:graphicData uri="http://schemas.openxmlformats.org/drawingml/2006/picture">
                <pic:pic>
                  <pic:nvPicPr>
                    <pic:cNvPr id="66" name="test1"/>
                    <pic:cNvPicPr preferRelativeResize="false"/>
                  </pic:nvPicPr>
                  <pic:blipFill>
                    <a:blip r:embed="drId38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8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úprava vlastnických a užívacích práv k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podle § 16 ZPVV,</w:t>
      </w:r>
    </w:p>
    <w:p>
      <w:pPr>
        <w:numPr>
          <w:ilvl w:val="0"/>
          <w:numId w:val="38"/>
        </w:numPr>
        <w:tabs>
          <w:tab w:val="clear" w:pos="360"/>
          <w:tab w:val="left" w:pos="936"/>
        </w:tabs>
        <w:spacing w:before="4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ůsob využití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 doba, ve které budou výsledky využity, nejdéle však do 5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let od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</w:t>
      </w:r>
    </w:p>
    <w:p>
      <w:pPr>
        <w:numPr>
          <w:ilvl w:val="0"/>
          <w:numId w:val="38"/>
        </w:numPr>
        <w:tabs>
          <w:tab w:val="clear" w:pos="360"/>
          <w:tab w:val="left" w:pos="936"/>
        </w:tabs>
        <w:spacing w:before="1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rozsah stupn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 d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ův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ěrnosti údaj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 a zp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ůsob nakládání s nimi podle zvláštních právních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ředpis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ů,</w:t>
      </w:r>
    </w:p>
    <w:p>
      <w:pPr>
        <w:numPr>
          <w:ilvl w:val="0"/>
          <w:numId w:val="38"/>
        </w:numPr>
        <w:tabs>
          <w:tab w:val="clear" w:pos="360"/>
          <w:tab w:val="left" w:pos="936"/>
        </w:tabs>
        <w:spacing w:before="0" w:after="0" w:line="293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sankce za porušení smlouvy a</w:t>
      </w:r>
    </w:p>
    <w:p>
      <w:pPr>
        <w:numPr>
          <w:ilvl w:val="0"/>
          <w:numId w:val="38"/>
        </w:numPr>
        <w:tabs>
          <w:tab w:val="clear" w:pos="360"/>
          <w:tab w:val="left" w:pos="936"/>
        </w:tabs>
        <w:spacing w:before="6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datum nabytí a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 smlouvy.</w:t>
      </w:r>
    </w:p>
    <w:p>
      <w:pPr>
        <w:numPr>
          <w:ilvl w:val="0"/>
          <w:numId w:val="39"/>
        </w:numPr>
        <w:tabs>
          <w:tab w:val="clear" w:pos="432"/>
          <w:tab w:val="left" w:pos="576"/>
        </w:tabs>
        <w:spacing w:before="333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Smlouva o využití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musí být uzav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řena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souladu 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podmínkami Smlouvy.</w:t>
      </w:r>
    </w:p>
    <w:p>
      <w:pPr>
        <w:numPr>
          <w:ilvl w:val="0"/>
          <w:numId w:val="39"/>
        </w:numPr>
        <w:tabs>
          <w:tab w:val="clear" w:pos="432"/>
          <w:tab w:val="left" w:pos="576"/>
        </w:tabs>
        <w:spacing w:before="243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 si vyhrazuje právo kontroly obsahu Smlouvy o využití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 kontrolu její úplnosti.</w:t>
      </w:r>
    </w:p>
    <w:p>
      <w:pPr>
        <w:spacing w:before="807" w:after="0" w:line="248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Článek 14</w:t>
      </w:r>
    </w:p>
    <w:p>
      <w:pPr>
        <w:spacing w:before="12" w:after="0" w:line="249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Práva k výsledk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projektu a jejich ochrana</w:t>
      </w:r>
    </w:p>
    <w:p>
      <w:pPr>
        <w:numPr>
          <w:ilvl w:val="0"/>
          <w:numId w:val="40"/>
        </w:numPr>
        <w:tabs>
          <w:tab w:val="clear" w:pos="432"/>
          <w:tab w:val="left" w:pos="576"/>
        </w:tabs>
        <w:spacing w:before="198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Všechna práva k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projektu, který není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řejnou zakázkou ve výzkumu, vývoji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inovacích, pat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 hlavnímu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říjemci a dalším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ům. Každému z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ěchto subjekt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pat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říslušná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 výsledku podle Smlouvy 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časti 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za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ředpokladu, že toto rozd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ělení respektuje zákaz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římé státní podpory dle Rámce (srov. nap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ř. kapitola 2.2 Rámce).</w:t>
      </w:r>
    </w:p>
    <w:p>
      <w:pPr>
        <w:numPr>
          <w:ilvl w:val="0"/>
          <w:numId w:val="40"/>
        </w:numPr>
        <w:tabs>
          <w:tab w:val="clear" w:pos="432"/>
          <w:tab w:val="left" w:pos="576"/>
        </w:tabs>
        <w:spacing w:before="242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Jde-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li o výsledek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zakázky ve výzkumu, vývoji a inovacích, který nelze chránit podle zákon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upravujících ochranu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autorské, vynálezecké nebo obdobné tv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činnosti, je vlastníkem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poskytovatel a jejich zve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a využití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je možné pouze s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ředchozím písemným souhlasem poskytovatele.</w:t>
      </w:r>
    </w:p>
    <w:p>
      <w:pPr>
        <w:numPr>
          <w:ilvl w:val="0"/>
          <w:numId w:val="40"/>
        </w:numPr>
        <w:tabs>
          <w:tab w:val="clear" w:pos="432"/>
          <w:tab w:val="left" w:pos="576"/>
        </w:tabs>
        <w:spacing w:before="246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Jde-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li o výsledek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zakázky ve výzkumu, vývoji a inovacích, který lze chránit podle zákon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upravujících ochranu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autorské, vynálezecké nebo obdobné tv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činnosti, potom 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říjemce, pokud poskytovatel nestanoví jinak, musí uplatnit právo k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ům, zajistit jejich právní ochranu a po jejím ud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ělení vlastnické právo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řevést na poskytovatele. 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má nárok na úhradu prokazatelných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s tím spojených, pokud nebyly sou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částí uznaných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projektu. Ke zve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 podáním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řihlášky k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ůmyslové právní ochran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je nutný písemný souhlas poskytovatele.</w:t>
      </w:r>
    </w:p>
    <w:p>
      <w:pPr>
        <w:numPr>
          <w:ilvl w:val="0"/>
          <w:numId w:val="40"/>
        </w:numPr>
        <w:tabs>
          <w:tab w:val="clear" w:pos="432"/>
          <w:tab w:val="left" w:pos="576"/>
        </w:tabs>
        <w:spacing w:before="240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H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lavní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říjemce ru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čí za právní nezávadnost projektu, tj. ru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čí za to, že výsledky projektu nezasahují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do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práv k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ředm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ět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ům duševního vlastnictví nebo jiných práv t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řetích osob, a to pro jakékoliv využití výsledk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 projektu v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České republice i v zahrani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čí. Záruky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ůsobí i ve vztahu k dalším ú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častník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ům.</w:t>
      </w:r>
    </w:p>
    <w:p>
      <w:pPr>
        <w:numPr>
          <w:ilvl w:val="0"/>
          <w:numId w:val="40"/>
        </w:numPr>
        <w:tabs>
          <w:tab w:val="clear" w:pos="432"/>
          <w:tab w:val="left" w:pos="576"/>
        </w:tabs>
        <w:spacing w:before="242" w:after="306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ůže zve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řejnit informace o výsledcích projektu, ke kterým má majetková práva, pokud jejich zve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ěním není dot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čena jejich ochrana, pokud o svém zám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ěru zve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v dostate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ředstihu informoval další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častníky, a zárove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 dodržel povinná pravidla publicity stanovená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čl. 4 odst. 2 písm. c).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67" name="Picture"/>
                  <a:graphic>
                    <a:graphicData uri="http://schemas.openxmlformats.org/drawingml/2006/picture">
                      <pic:pic>
                        <pic:nvPicPr>
                          <pic:cNvPr id="68" name="test1"/>
                          <pic:cNvPicPr preferRelativeResize="false"/>
                        </pic:nvPicPr>
                        <pic:blipFill>
                          <a:blip r:embed="d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2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Strana 17/25</w:t>
            </w:r>
          </w:p>
        </w:tc>
      </w:tr>
    </w:tbl>
    <w:p>
      <w:pPr>
        <w:spacing w:before="1" w:after="1037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69" name="Picture"/>
            <a:graphic>
              <a:graphicData uri="http://schemas.openxmlformats.org/drawingml/2006/picture">
                <pic:pic>
                  <pic:nvPicPr>
                    <pic:cNvPr id="70" name="test1"/>
                    <pic:cNvPicPr preferRelativeResize="false"/>
                  </pic:nvPicPr>
                  <pic:blipFill>
                    <a:blip r:embed="drId40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59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Článek 15</w:t>
      </w:r>
    </w:p>
    <w:p>
      <w:pPr>
        <w:spacing w:before="0" w:after="0" w:line="259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Využití a poskytování výsledk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</w:t>
      </w:r>
    </w:p>
    <w:p>
      <w:pPr>
        <w:numPr>
          <w:ilvl w:val="0"/>
          <w:numId w:val="41"/>
        </w:numPr>
        <w:tabs>
          <w:tab w:val="clear" w:pos="432"/>
          <w:tab w:val="left" w:pos="576"/>
        </w:tabs>
        <w:spacing w:before="203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Podrobnosti využití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 budou stanoveny v implementa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čním plánu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 a ve smlouv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o využití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ů.</w:t>
      </w:r>
    </w:p>
    <w:p>
      <w:pPr>
        <w:numPr>
          <w:ilvl w:val="0"/>
          <w:numId w:val="41"/>
        </w:numPr>
        <w:tabs>
          <w:tab w:val="clear" w:pos="432"/>
          <w:tab w:val="left" w:pos="576"/>
        </w:tabs>
        <w:spacing w:before="241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poskytování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 je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povinen dodržet ustanovení § 16 ZPVV.</w:t>
      </w:r>
    </w:p>
    <w:p>
      <w:pPr>
        <w:numPr>
          <w:ilvl w:val="0"/>
          <w:numId w:val="41"/>
        </w:numPr>
        <w:tabs>
          <w:tab w:val="clear" w:pos="432"/>
          <w:tab w:val="left" w:pos="576"/>
        </w:tabs>
        <w:spacing w:before="237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je oprávn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 poskytnout výsledky, které nejsou výsledkem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zakázky ve výzkumu, vývoji a inovacích,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řetím osobám tak, aby nedošlo k porušení pravidel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podpory a k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římé podpo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ře.</w:t>
      </w:r>
    </w:p>
    <w:p>
      <w:pPr>
        <w:spacing w:before="724" w:after="0" w:line="361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Část E – Náklady, hodnocení a kontroly</w:t>
      </w:r>
    </w:p>
    <w:p>
      <w:pPr>
        <w:spacing w:before="288" w:after="0" w:line="259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Článek 16</w:t>
      </w:r>
    </w:p>
    <w:p>
      <w:pPr>
        <w:spacing w:before="5" w:after="0" w:line="259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Uznané náklady projektu</w:t>
      </w:r>
    </w:p>
    <w:p>
      <w:pPr>
        <w:tabs>
          <w:tab w:val="decimal" w:leader="none" w:pos="216"/>
          <w:tab w:val="left" w:leader="none" w:pos="504"/>
        </w:tabs>
        <w:spacing w:before="197" w:after="0" w:line="297" w:lineRule="exact"/>
        <w:ind w:right="0" w:left="0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1.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Všechny finan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ředky poskytnuté poskytovatelem jako podpora 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výzkumu</w:t>
      </w:r>
    </w:p>
    <w:p>
      <w:pPr>
        <w:spacing w:before="1" w:after="0" w:line="297" w:lineRule="exact"/>
        <w:ind w:right="0" w:left="576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a vývoje mají charakter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čelov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ur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čených finan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čních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ů.</w:t>
      </w:r>
    </w:p>
    <w:p>
      <w:pPr>
        <w:tabs>
          <w:tab w:val="decimal" w:leader="none" w:pos="216"/>
          <w:tab w:val="left" w:leader="none" w:pos="504"/>
        </w:tabs>
        <w:spacing w:before="240" w:after="0" w:line="297" w:lineRule="exact"/>
        <w:ind w:right="0" w:left="0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2.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Uznané náklady musí být</w:t>
      </w:r>
    </w:p>
    <w:p>
      <w:pPr>
        <w:numPr>
          <w:ilvl w:val="0"/>
          <w:numId w:val="42"/>
        </w:numPr>
        <w:tabs>
          <w:tab w:val="clear" w:pos="360"/>
          <w:tab w:val="left" w:pos="936"/>
        </w:tabs>
        <w:spacing w:before="203" w:after="0" w:line="297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vynaloženy v souladu s cíli programu a musí bezprost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souviset 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řešením projektu,</w:t>
      </w:r>
    </w:p>
    <w:p>
      <w:pPr>
        <w:numPr>
          <w:ilvl w:val="0"/>
          <w:numId w:val="42"/>
        </w:numPr>
        <w:tabs>
          <w:tab w:val="clear" w:pos="360"/>
          <w:tab w:val="left" w:pos="936"/>
        </w:tabs>
        <w:spacing w:before="0" w:after="0" w:line="292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ůsobilými náklady,</w:t>
      </w:r>
    </w:p>
    <w:p>
      <w:pPr>
        <w:numPr>
          <w:ilvl w:val="0"/>
          <w:numId w:val="42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prokazateln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zaplaceny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(prosincové náklady musí být uhrazeny do dne podání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ěžné zprávy, nejpozd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ěji však v lednu následujícího roku),</w:t>
      </w:r>
    </w:p>
    <w:p>
      <w:pPr>
        <w:numPr>
          <w:ilvl w:val="0"/>
          <w:numId w:val="42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doloženy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ůkaznými doklady (z doklad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musí být z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řejmé, že byly spln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ěny všechny podmínky uznatelnosti dle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čl. 16 a 17),</w:t>
      </w:r>
    </w:p>
    <w:p>
      <w:pPr>
        <w:numPr>
          <w:ilvl w:val="0"/>
          <w:numId w:val="42"/>
        </w:numPr>
        <w:tabs>
          <w:tab w:val="clear" w:pos="360"/>
          <w:tab w:val="left" w:pos="936"/>
        </w:tabs>
        <w:spacing w:before="1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řené (musí odpovídat cenám v míst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čase obvyklým) a</w:t>
      </w:r>
    </w:p>
    <w:p>
      <w:pPr>
        <w:numPr>
          <w:ilvl w:val="0"/>
          <w:numId w:val="42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vynaloženy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souladu s principy hosp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odárnosti (minimalizace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ů/výdaj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respektování cíl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projektu),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čelnosti (p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římá vazba na projekt a nezbytnost pro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projektu) a efektivnosti (maximalizace pom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ěru mezi výstupy a vstupy projektu),</w:t>
      </w:r>
    </w:p>
    <w:p>
      <w:pPr>
        <w:spacing w:before="241" w:after="0" w:line="297" w:lineRule="exact"/>
        <w:ind w:right="0" w:left="57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čemž spln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ěchto podmínek se prokazuje v rámci hodnotících a kontrolních proces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</w:t>
      </w:r>
      <w:hyperlink r:id="drId41">
        <w:r>
          <w:rPr>
            <w:rFonts w:ascii="Cambria" w:hAnsi="Cambria" w:eastAsia="Cambria"/>
            <w:strike w:val="false"/>
            <w:color w:val="0000FF"/>
            <w:spacing w:val="0"/>
            <w:w w:val="100"/>
            <w:sz w:val="22"/>
            <w:u w:val="single"/>
            <w:vertAlign w:val="baseline"/>
            <w:lang w:val="cs-CZ"/>
          </w:rPr>
          <w:t xml:space="preserve">pop</w:t>
        </w:r>
      </w:hyperlink>
      <w:hyperlink r:id="drId41">
        <w:r>
          <w:rPr>
            <w:rFonts w:ascii="Cambria" w:hAnsi="Cambria" w:eastAsia="Cambria"/>
            <w:strike w:val="false"/>
            <w:color w:val="0000FF"/>
            <w:spacing w:val="0"/>
            <w:w w:val="100"/>
            <w:sz w:val="22"/>
            <w:u w:val="single"/>
            <w:vertAlign w:val="baseline"/>
            <w:lang w:val="cs-CZ"/>
          </w:rPr>
          <w:t xml:space="preserve">ř. na</w:t>
        </w:r>
      </w:hyperlink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 žádost poskytovatele.</w:t>
      </w:r>
    </w:p>
    <w:p>
      <w:pPr>
        <w:tabs>
          <w:tab w:val="decimal" w:leader="none" w:pos="216"/>
          <w:tab w:val="left" w:leader="none" w:pos="504"/>
        </w:tabs>
        <w:spacing w:before="239" w:after="0" w:line="297" w:lineRule="exact"/>
        <w:ind w:right="0" w:left="0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3.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a uznaný náklad se nepovažuje poskytnuté 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mezi hlavním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 a dalšími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</w:t>
      </w:r>
    </w:p>
    <w:p>
      <w:pPr>
        <w:spacing w:before="0" w:after="326" w:line="296" w:lineRule="exact"/>
        <w:ind w:right="0" w:left="57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dalšími ú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častníky navzájem. Za uznaný náklad se nepovažují rovn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ěž náklady se zdanitelným 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ln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ěním mezi dnem, ve kterém nastanou ú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činky fúze, rozd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ělení nebo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řevodu jm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ění na spole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čníka, a mezi dnem, ve kterém dojde ke schválení takové zm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ěny, ledaže p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říjemce požádal v</w:t>
      </w: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čas o souhlas s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71" name="Picture"/>
                  <a:graphic>
                    <a:graphicData uri="http://schemas.openxmlformats.org/drawingml/2006/picture">
                      <pic:pic>
                        <pic:nvPicPr>
                          <pic:cNvPr id="72" name="test1"/>
                          <pic:cNvPicPr preferRelativeResize="false"/>
                        </pic:nvPicPr>
                        <pic:blipFill>
                          <a:blip r:embed="d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2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Strana 18/25</w:t>
            </w:r>
          </w:p>
        </w:tc>
      </w:tr>
    </w:tbl>
    <w:p>
      <w:pPr>
        <w:spacing w:before="1" w:after="443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73" name="Picture"/>
            <a:graphic>
              <a:graphicData uri="http://schemas.openxmlformats.org/drawingml/2006/picture">
                <pic:pic>
                  <pic:nvPicPr>
                    <pic:cNvPr id="74" name="test1"/>
                    <pic:cNvPicPr preferRelativeResize="false"/>
                  </pic:nvPicPr>
                  <pic:blipFill>
                    <a:blip r:embed="drId43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" w:after="0" w:line="296" w:lineRule="exact"/>
        <w:ind w:right="0" w:left="504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řechodem práv a povinností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podle § 14a zákona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218/2000 Sb., o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čtových pravidlech a o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ěkterých souvisejících zákon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(rozpo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čtová pravidla) a pozdní schválení bylo zap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ěno výhradn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z 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ůvod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na stran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poskytovatele.</w:t>
      </w:r>
    </w:p>
    <w:p>
      <w:pPr>
        <w:numPr>
          <w:ilvl w:val="0"/>
          <w:numId w:val="43"/>
        </w:numPr>
        <w:tabs>
          <w:tab w:val="clear" w:pos="360"/>
          <w:tab w:val="left" w:pos="504"/>
        </w:tabs>
        <w:spacing w:before="240" w:after="0" w:line="296" w:lineRule="exact"/>
        <w:ind w:right="0" w:left="504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Pokud dojde k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nabytí ú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činnosti Smlouvy ke dni pozd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ějšímu, než je den uvedený jako za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čátek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řešení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projektu v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Závazných parametrech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řešení projektu, bude na náklady na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řešení projektu vzniklé mezi t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ěmito dny pohlíženo, jako by se jednalo o náklady vzniklé po nabytí ú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činnosti Smlouvy.</w:t>
      </w:r>
    </w:p>
    <w:p>
      <w:pPr>
        <w:numPr>
          <w:ilvl w:val="0"/>
          <w:numId w:val="43"/>
        </w:numPr>
        <w:tabs>
          <w:tab w:val="clear" w:pos="360"/>
          <w:tab w:val="left" w:pos="504"/>
        </w:tabs>
        <w:spacing w:before="243" w:after="0" w:line="296" w:lineRule="exact"/>
        <w:ind w:right="0" w:left="504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Na každý náklad se pohlíží tak, jako by byl financován z poskytnuté podpory a neve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řejného zdroje v pom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ěru podle intenzity poskytnuté podpory daného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častníka na celou dobu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projektu.</w:t>
      </w:r>
    </w:p>
    <w:p>
      <w:pPr>
        <w:numPr>
          <w:ilvl w:val="0"/>
          <w:numId w:val="43"/>
        </w:numPr>
        <w:tabs>
          <w:tab w:val="clear" w:pos="360"/>
          <w:tab w:val="left" w:pos="504"/>
        </w:tabs>
        <w:spacing w:before="241" w:after="0" w:line="296" w:lineRule="exact"/>
        <w:ind w:right="0" w:left="504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že ze Závazných parametr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vyplývá závazek dosažení dvou a více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v rámci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pro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čely Smlouvy se považuje výše poskytnuté podpory pot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řebná k dosažení každého jednotlivého výsledku podpora vypo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čtená podle vzorce, kde hodnota výsledku je rovna hodnot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bod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tohoto výsledku vynásobeného podílem celkové podpory ku celkovým bod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všech deklarovaných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ů. Pokud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v návrhu projektu,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ve zprávách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řekládaných poskytovateli rozd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ěluje náklady k jednotlivým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ům, stanoví poskytovatel hodnotu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ěchto údaj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ů.</w:t>
      </w:r>
    </w:p>
    <w:p>
      <w:pPr>
        <w:numPr>
          <w:ilvl w:val="0"/>
          <w:numId w:val="43"/>
        </w:numPr>
        <w:tabs>
          <w:tab w:val="clear" w:pos="360"/>
          <w:tab w:val="left" w:pos="504"/>
        </w:tabs>
        <w:spacing w:before="245" w:after="0" w:line="296" w:lineRule="exact"/>
        <w:ind w:right="0" w:left="504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 všech nákladech projektu je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povinen vést odd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ělenou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četní evidenci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souladu se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zákonem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563/1991 Sb., 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četnictví, v platném zn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ění, a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da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ňové evidence vede odd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ělenou evidenci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 výdaj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projektu.</w:t>
      </w:r>
    </w:p>
    <w:p>
      <w:pPr>
        <w:numPr>
          <w:ilvl w:val="0"/>
          <w:numId w:val="43"/>
        </w:numPr>
        <w:tabs>
          <w:tab w:val="clear" w:pos="360"/>
          <w:tab w:val="left" w:pos="504"/>
        </w:tabs>
        <w:spacing w:before="240" w:after="0" w:line="296" w:lineRule="exact"/>
        <w:ind w:right="0" w:left="504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že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je plátcem dan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z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řidané hodnoty a má nárok na odpo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 dan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dle zákona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235/2004 Sb., o dani z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řidané hodnoty, v platném zn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ění, nelze tuto da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 z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řidané hodnoty považovat za uznaný náklad.</w:t>
      </w:r>
    </w:p>
    <w:p>
      <w:pPr>
        <w:numPr>
          <w:ilvl w:val="0"/>
          <w:numId w:val="43"/>
        </w:numPr>
        <w:tabs>
          <w:tab w:val="clear" w:pos="360"/>
          <w:tab w:val="left" w:pos="504"/>
        </w:tabs>
        <w:spacing w:before="242" w:after="0" w:line="296" w:lineRule="exact"/>
        <w:ind w:right="0" w:left="504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Veškeré náklady musí prokazateln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souviset s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ětem projektu, musí prokazateln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řisp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 k napln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cíle projektu a jeho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dále musí být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řazeny ke konkrétní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 v rámci projektu a také ke konkrétním kategoriím výzkumu a vývoje, tj. na aplikovaný výzkum nebo na experimentální vývoj, a na vyžádání poskytovatele doloženy.</w:t>
      </w:r>
    </w:p>
    <w:p>
      <w:pPr>
        <w:numPr>
          <w:ilvl w:val="0"/>
          <w:numId w:val="43"/>
        </w:numPr>
        <w:tabs>
          <w:tab w:val="clear" w:pos="360"/>
          <w:tab w:val="left" w:pos="504"/>
        </w:tabs>
        <w:spacing w:before="243" w:after="0" w:line="296" w:lineRule="exact"/>
        <w:ind w:right="0" w:left="504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Sníží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li se výše uznaných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sníží se úm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i maximální výše podpory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zachování stanovené intenzity podpory.</w:t>
      </w:r>
    </w:p>
    <w:p>
      <w:pPr>
        <w:numPr>
          <w:ilvl w:val="0"/>
          <w:numId w:val="43"/>
        </w:numPr>
        <w:tabs>
          <w:tab w:val="clear" w:pos="360"/>
          <w:tab w:val="left" w:pos="504"/>
        </w:tabs>
        <w:spacing w:before="243" w:after="1433" w:line="296" w:lineRule="exact"/>
        <w:ind w:right="0" w:left="504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že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řizuje pro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hmotný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nehmotný majetek nebo služby a zárove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 nelze aplikovat výjimku podle § 8 odst. 4 ZPVV (speci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fikace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návrhu projektu), je povinen postupovat podle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říslušných ustanovení ZZVZ, vždy bez ohledu na intenzitu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výši poskytnuté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podpory.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75" name="Picture"/>
                  <a:graphic>
                    <a:graphicData uri="http://schemas.openxmlformats.org/drawingml/2006/picture">
                      <pic:pic>
                        <pic:nvPicPr>
                          <pic:cNvPr id="76" name="test1"/>
                          <pic:cNvPicPr preferRelativeResize="false"/>
                        </pic:nvPicPr>
                        <pic:blipFill>
                          <a:blip r:embed="d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2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Strana 19/25</w:t>
            </w:r>
          </w:p>
        </w:tc>
      </w:tr>
    </w:tbl>
    <w:p>
      <w:pPr>
        <w:spacing w:before="1" w:after="482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77" name="Picture"/>
            <a:graphic>
              <a:graphicData uri="http://schemas.openxmlformats.org/drawingml/2006/picture">
                <pic:pic>
                  <pic:nvPicPr>
                    <pic:cNvPr id="78" name="test1"/>
                    <pic:cNvPicPr preferRelativeResize="false"/>
                  </pic:nvPicPr>
                  <pic:blipFill>
                    <a:blip r:embed="drId45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" w:after="0" w:line="244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Článek 17</w:t>
      </w:r>
    </w:p>
    <w:p>
      <w:pPr>
        <w:spacing w:before="16" w:after="0" w:line="248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Jednotlivé kategorie zp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ůsobilých náklad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 podmínky jejich uznatelnosti</w:t>
      </w:r>
    </w:p>
    <w:p>
      <w:pPr>
        <w:spacing w:before="198" w:after="0" w:line="297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1.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Veškeré jednotlivé typové náklady neuvedené v tomto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článku se považují za nezp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ůsobilé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nemohou být tudíž ani uznané.</w:t>
      </w:r>
    </w:p>
    <w:p>
      <w:pPr>
        <w:tabs>
          <w:tab w:val="decimal" w:leader="none" w:pos="216"/>
          <w:tab w:val="left" w:leader="none" w:pos="504"/>
        </w:tabs>
        <w:spacing w:before="241" w:after="0" w:line="297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2.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ůsobilé náklady se vykazují v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ěchto položkách:</w:t>
      </w:r>
    </w:p>
    <w:p>
      <w:pPr>
        <w:numPr>
          <w:ilvl w:val="0"/>
          <w:numId w:val="44"/>
        </w:numPr>
        <w:tabs>
          <w:tab w:val="clear" w:pos="360"/>
          <w:tab w:val="left" w:pos="936"/>
        </w:tabs>
        <w:spacing w:before="197" w:after="0" w:line="297" w:lineRule="exact"/>
        <w:ind w:right="0" w:left="576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osobní náklady,</w:t>
      </w:r>
    </w:p>
    <w:p>
      <w:pPr>
        <w:numPr>
          <w:ilvl w:val="0"/>
          <w:numId w:val="44"/>
        </w:numPr>
        <w:tabs>
          <w:tab w:val="clear" w:pos="360"/>
          <w:tab w:val="left" w:pos="936"/>
        </w:tabs>
        <w:spacing w:before="56" w:after="0" w:line="242" w:lineRule="exact"/>
        <w:ind w:right="0" w:left="576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3"/>
          <w:vertAlign w:val="baseline"/>
          <w:lang w:val="cs-CZ"/>
        </w:rPr>
        <w:t xml:space="preserve">investice,</w:t>
      </w:r>
    </w:p>
    <w:p>
      <w:pPr>
        <w:numPr>
          <w:ilvl w:val="0"/>
          <w:numId w:val="44"/>
        </w:numPr>
        <w:tabs>
          <w:tab w:val="clear" w:pos="360"/>
          <w:tab w:val="left" w:pos="936"/>
        </w:tabs>
        <w:spacing w:before="0" w:after="0" w:line="293" w:lineRule="exact"/>
        <w:ind w:right="0" w:left="576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náklady na subdodávky,</w:t>
      </w:r>
    </w:p>
    <w:p>
      <w:pPr>
        <w:numPr>
          <w:ilvl w:val="0"/>
          <w:numId w:val="44"/>
        </w:numPr>
        <w:tabs>
          <w:tab w:val="clear" w:pos="360"/>
          <w:tab w:val="left" w:pos="936"/>
        </w:tabs>
        <w:spacing w:before="0" w:after="0" w:line="297" w:lineRule="exact"/>
        <w:ind w:right="0" w:left="576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ostatní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římé náklady a</w:t>
      </w:r>
    </w:p>
    <w:p>
      <w:pPr>
        <w:numPr>
          <w:ilvl w:val="0"/>
          <w:numId w:val="44"/>
        </w:numPr>
        <w:tabs>
          <w:tab w:val="clear" w:pos="360"/>
          <w:tab w:val="left" w:pos="936"/>
        </w:tabs>
        <w:spacing w:before="1" w:after="0" w:line="297" w:lineRule="exact"/>
        <w:ind w:right="0" w:left="576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římé náklady.</w:t>
      </w:r>
    </w:p>
    <w:p>
      <w:pPr>
        <w:tabs>
          <w:tab w:val="decimal" w:leader="none" w:pos="216"/>
          <w:tab w:val="left" w:leader="none" w:pos="504"/>
        </w:tabs>
        <w:spacing w:before="338" w:after="0" w:line="297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3.	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Osobní náklady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zahrnují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mzdo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vé náklady, zvýšené o další náklady, které za zam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ěstnance hradí</w:t>
      </w:r>
    </w:p>
    <w:p>
      <w:pPr>
        <w:spacing w:before="5" w:after="0" w:line="296" w:lineRule="exact"/>
        <w:ind w:right="0" w:left="57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zam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ěstnavatel, tj. povinné pojišt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ění, 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část náklad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 na sociální pojišt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ění a 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část náklad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 na všeobecné zdravotní pojišt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ění. Dále sem pat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ří náklady na povinnosti zam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ěstnavatele vyplývající z platných vnit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řních p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ředpis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 (FKSP, p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řísp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ěvek na penzijní, životní pojišt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ění, sociální fond apod.)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3"/>
          <w:vertAlign w:val="baseline"/>
          <w:lang w:val="cs-CZ"/>
        </w:rPr>
        <w:t xml:space="preserve">. 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Odm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ěny dle § 134 a 134a zákona 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č. 262/2006 Sb., zákoníku práce nebo obdobných p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ředpis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 mohou být vypláceny jen pracovník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ům, kte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ří jsou zam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ěstnanci podle zákona 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č. 262/2006 Sb., zákoník práce a podílí se na 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řešení p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ředm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ětného projektu (tj. prokazateln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 pracují na projektu 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částí svého úvazku). Náklady na tyto odm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ěny jsou uznatelné jen pokud jsou 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řádn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 zd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ůvodn</w:t>
      </w:r>
      <w:r>
        <w:rPr>
          <w:rFonts w:ascii="Cambria" w:hAnsi="Cambria" w:eastAsia="Cambria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ěné, a to do výše </w:t>
      </w:r>
      <w:r>
        <w:rPr>
          <w:rFonts w:ascii="Cambria" w:hAnsi="Cambria" w:eastAsia="Cambria"/>
          <w:b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maximáln</w:t>
      </w:r>
      <w:r>
        <w:rPr>
          <w:rFonts w:ascii="Cambria" w:hAnsi="Cambria" w:eastAsia="Cambria"/>
          <w:b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 dvou m</w:t>
      </w:r>
      <w:r>
        <w:rPr>
          <w:rFonts w:ascii="Cambria" w:hAnsi="Cambria" w:eastAsia="Cambria"/>
          <w:b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ěsí</w:t>
      </w:r>
      <w:r>
        <w:rPr>
          <w:rFonts w:ascii="Cambria" w:hAnsi="Cambria" w:eastAsia="Cambria"/>
          <w:b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čních plat</w:t>
      </w:r>
      <w:r>
        <w:rPr>
          <w:rFonts w:ascii="Cambria" w:hAnsi="Cambria" w:eastAsia="Cambria"/>
          <w:b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 za práci na projektu dle platného mzdového/platového vým</w:t>
      </w:r>
      <w:r>
        <w:rPr>
          <w:rFonts w:ascii="Cambria" w:hAnsi="Cambria" w:eastAsia="Cambria"/>
          <w:b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ěru nebo smlouvy o mzd</w:t>
      </w:r>
      <w:r>
        <w:rPr>
          <w:rFonts w:ascii="Cambria" w:hAnsi="Cambria" w:eastAsia="Cambria"/>
          <w:b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 p</w:t>
      </w:r>
      <w:r>
        <w:rPr>
          <w:rFonts w:ascii="Cambria" w:hAnsi="Cambria" w:eastAsia="Cambria"/>
          <w:b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ři zohledn</w:t>
      </w:r>
      <w:r>
        <w:rPr>
          <w:rFonts w:ascii="Cambria" w:hAnsi="Cambria" w:eastAsia="Cambria"/>
          <w:b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ění výše úvazku na projektu a po</w:t>
      </w:r>
      <w:r>
        <w:rPr>
          <w:rFonts w:ascii="Cambria" w:hAnsi="Cambria" w:eastAsia="Cambria"/>
          <w:b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čtu m</w:t>
      </w:r>
      <w:r>
        <w:rPr>
          <w:rFonts w:ascii="Cambria" w:hAnsi="Cambria" w:eastAsia="Cambria"/>
          <w:b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ěsíc</w:t>
      </w:r>
      <w:r>
        <w:rPr>
          <w:rFonts w:ascii="Cambria" w:hAnsi="Cambria" w:eastAsia="Cambria"/>
          <w:b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ů odpracovaných na projektu v daném kalendá</w:t>
      </w:r>
      <w:r>
        <w:rPr>
          <w:rFonts w:ascii="Cambria" w:hAnsi="Cambria" w:eastAsia="Cambria"/>
          <w:b w:val="true"/>
          <w:strike w:val="false"/>
          <w:color w:val="000000"/>
          <w:spacing w:val="-3"/>
          <w:w w:val="100"/>
          <w:sz w:val="22"/>
          <w:vertAlign w:val="baseline"/>
          <w:lang w:val="cs-CZ"/>
        </w:rPr>
        <w:t xml:space="preserve">řním roce</w:t>
      </w:r>
      <w:r>
        <w:rPr>
          <w:rFonts w:ascii="Cambria" w:hAnsi="Cambria" w:eastAsia="Cambria"/>
          <w:b w:val="true"/>
          <w:strike w:val="false"/>
          <w:color w:val="000000"/>
          <w:spacing w:val="-3"/>
          <w:w w:val="100"/>
          <w:sz w:val="24"/>
          <w:vertAlign w:val="baseline"/>
          <w:lang w:val="cs-CZ"/>
        </w:rPr>
        <w:t xml:space="preserve">.</w:t>
      </w:r>
    </w:p>
    <w:p>
      <w:pPr>
        <w:spacing w:before="237" w:after="0" w:line="297" w:lineRule="exact"/>
        <w:ind w:right="0" w:left="93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Mzdy nebo platy, odm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ěny z dohod o pracovní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dohod o provedení práce musí odpovídat schválenému mzdovému, platovému vým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ěru, dohod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o pracovní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činnosti/provedení práce 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internímu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ředpisu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říjemce.</w:t>
      </w:r>
    </w:p>
    <w:p>
      <w:pPr>
        <w:spacing w:before="241" w:after="0" w:line="297" w:lineRule="exact"/>
        <w:ind w:right="0" w:left="93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náhrad jsou zp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ůsobilými náklady veškeré náhrady dle zákoníku práce (a to u pracovníka s pevn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stanoveným pracovním úvazkem v projektu).</w:t>
      </w:r>
    </w:p>
    <w:p>
      <w:pPr>
        <w:spacing w:before="237" w:after="0" w:line="297" w:lineRule="exact"/>
        <w:ind w:right="0" w:left="93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Osob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samostatn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výd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činné jakožto samostatnému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říjemci náleží odm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ěna za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návrhu projektu, pokud odpovídá hodinové sazb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zam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ěstnanc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obdobnou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kvalifikací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zkušeností (je v míst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čase obvyklá).</w:t>
      </w:r>
    </w:p>
    <w:p>
      <w:pPr>
        <w:spacing w:before="238" w:after="863" w:line="297" w:lineRule="exact"/>
        <w:ind w:right="0" w:left="93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Mezi osobní náklady dále spadají stipendia uvedená v § 91 odst. 2 písm. c) zákona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111/1998 Sb., o vysokých školách a o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a dopln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dalších zákon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(zákon o vysokých školách), resp. jeho pom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ěrnou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část, pokud je z rozhodnutí o ud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ělení stipendia z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řejmé, že je ud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ěleno na výzkumnou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 v rámci projektu.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79" name="Picture"/>
                  <a:graphic>
                    <a:graphicData uri="http://schemas.openxmlformats.org/drawingml/2006/picture">
                      <pic:pic>
                        <pic:nvPicPr>
                          <pic:cNvPr id="80" name="test1"/>
                          <pic:cNvPicPr preferRelativeResize="false"/>
                        </pic:nvPicPr>
                        <pic:blipFill>
                          <a:blip r:embed="d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2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Strana 20/25</w:t>
            </w:r>
          </w:p>
        </w:tc>
      </w:tr>
    </w:tbl>
    <w:p>
      <w:pPr>
        <w:spacing w:before="1" w:after="442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81" name="Picture"/>
            <a:graphic>
              <a:graphicData uri="http://schemas.openxmlformats.org/drawingml/2006/picture">
                <pic:pic>
                  <pic:nvPicPr>
                    <pic:cNvPr id="82" name="test1"/>
                    <pic:cNvPicPr preferRelativeResize="false"/>
                  </pic:nvPicPr>
                  <pic:blipFill>
                    <a:blip r:embed="drId47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5"/>
        </w:numPr>
        <w:tabs>
          <w:tab w:val="clear" w:pos="432"/>
          <w:tab w:val="left" w:pos="576"/>
        </w:tabs>
        <w:spacing w:before="0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Investice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zahrnují výdaje na 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 dlouhodobého hmotného a nehmotného majetku, který lze odepisovat podle zákona o dani z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říjmu. Za zp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ůsobilé náklady na 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 dlouhodobého hmotného a nehmotného majetku pot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řebného pro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je považována pouze ta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 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řizovací ceny investice, která je rovna výši odpis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odpovídající délce trvání projektu, a dob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využívání majetku pro pot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řeby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vypo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čtené pomocí zavedených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četních postup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ů.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odepisování lze použít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četní nebo da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ňové odpisy.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že budou využity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četní odpisy, délka odepisování nesmí být kratší než doba stanovená u da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ňových odpis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 výše ro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čních odpis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nesmí být vyšší než výše odpis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stanovená dle zákona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586/1992 Sb., o daních z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ů.</w:t>
      </w:r>
    </w:p>
    <w:p>
      <w:pPr>
        <w:numPr>
          <w:ilvl w:val="0"/>
          <w:numId w:val="45"/>
        </w:numPr>
        <w:tabs>
          <w:tab w:val="clear" w:pos="432"/>
          <w:tab w:val="left" w:pos="576"/>
        </w:tabs>
        <w:spacing w:before="239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Náklady na subdodávky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ředstavují náklady na služby výzkumné povahy. Dodavatelem subdodávek nesmí být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člen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řešitelského týmu nebo osoba spojená (ve smyslu § 23 odst. 7 zákona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586/1992 Sb., 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daních z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s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říjemcem. Náklady na subdodávky jsou omezeny 20 % z celkových uznaných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všech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 za celou dobu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;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to neplatí ve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zakázce ve výzkumu, vývoji a inovacích, kde tyto náklady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ůže poskytovatel v souladu se ZZVZ omezit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 zadávacích podmínkách.</w:t>
      </w:r>
    </w:p>
    <w:p>
      <w:pPr>
        <w:numPr>
          <w:ilvl w:val="0"/>
          <w:numId w:val="45"/>
        </w:numPr>
        <w:tabs>
          <w:tab w:val="clear" w:pos="432"/>
          <w:tab w:val="left" w:pos="576"/>
        </w:tabs>
        <w:spacing w:before="240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b w:val="true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Ostatní p</w:t>
      </w:r>
      <w:r>
        <w:rPr>
          <w:rFonts w:ascii="Cambria" w:hAnsi="Cambria" w:eastAsia="Cambria"/>
          <w:b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římé náklady 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zahrnují</w:t>
      </w:r>
    </w:p>
    <w:p>
      <w:pPr>
        <w:numPr>
          <w:ilvl w:val="0"/>
          <w:numId w:val="46"/>
        </w:numPr>
        <w:tabs>
          <w:tab w:val="clear" w:pos="360"/>
          <w:tab w:val="left" w:pos="936"/>
        </w:tabs>
        <w:spacing w:before="194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náklady na ochranu práv duševního vlastnictví, která jsou deklarovaným výsledkem projektu (zejména související poplatky, rešerše, náklady na patentového zástupce) a náklady na ochranu již vznesených práv k duševnímu vlastnictví pot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řebného k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</w:t>
      </w:r>
    </w:p>
    <w:p>
      <w:pPr>
        <w:numPr>
          <w:ilvl w:val="0"/>
          <w:numId w:val="46"/>
        </w:numPr>
        <w:tabs>
          <w:tab w:val="clear" w:pos="360"/>
          <w:tab w:val="left" w:pos="936"/>
        </w:tabs>
        <w:spacing w:before="1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další provozní náklady vzniklé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římé souvislosti 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řešením projektu, kterými jsou materiál, služby a drobný hmotný a nehmotný majetek,</w:t>
      </w:r>
    </w:p>
    <w:p>
      <w:pPr>
        <w:numPr>
          <w:ilvl w:val="0"/>
          <w:numId w:val="46"/>
        </w:numPr>
        <w:tabs>
          <w:tab w:val="clear" w:pos="360"/>
          <w:tab w:val="left" w:pos="936"/>
        </w:tabs>
        <w:spacing w:before="1" w:after="0" w:line="297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náklady na opravy a údržbu hmotného a nehmotného majetku využívaného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a to ve výši odpovídající délce období a podílu užití majetku pro projekt,</w:t>
      </w:r>
    </w:p>
    <w:p>
      <w:pPr>
        <w:numPr>
          <w:ilvl w:val="0"/>
          <w:numId w:val="46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část ro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čních odpis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ů dlouhodobého hmotného a nehmotného majetku ve výši odpovídající délce období a podílu skute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čného užití tohoto majetku pro 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řešení 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projektu, 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který 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nebyl 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po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řízen 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z 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ve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řejných prost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ředk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ů a není zahrnut do kategorie investice tohoto projektu,pokud nejsou odpisy hmotného majetku sou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částí nep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římých náklad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ů. Podíl odpis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ů na projekt je možné po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čítat jak z ú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četních odpis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ů, tak z odpis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ů dle zákona o daních z p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říjm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ů, p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čemž ú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četní odpisy nesmí být vyšší, než odpisy dle zákona o daních z p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říjm</w:t>
      </w:r>
      <w:r>
        <w:rPr>
          <w:rFonts w:ascii="Cambria" w:hAnsi="Cambria" w:eastAsia="Cambria"/>
          <w:strike w:val="false"/>
          <w:color w:val="000000"/>
          <w:spacing w:val="3"/>
          <w:w w:val="100"/>
          <w:sz w:val="22"/>
          <w:vertAlign w:val="baseline"/>
          <w:lang w:val="cs-CZ"/>
        </w:rPr>
        <w:t xml:space="preserve">ů,</w:t>
      </w:r>
    </w:p>
    <w:p>
      <w:pPr>
        <w:numPr>
          <w:ilvl w:val="0"/>
          <w:numId w:val="46"/>
        </w:numPr>
        <w:tabs>
          <w:tab w:val="clear" w:pos="360"/>
          <w:tab w:val="left" w:pos="936"/>
        </w:tabs>
        <w:spacing w:before="0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cestovní náklady vzniklé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římé souvislosti 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řešením projektu, pokud se služební cesty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 zam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ěstnanec s úvazkem na projektu (náklady na pracovní pobyty, konferen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poplatky, a cestovní náhrady podle zákona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262/2006 Sb., zákoník práce),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čemž musí být prokazatelný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řínos cesty pro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anebo pracovní cesta je již deklarována ve schváleném návrhu projektu. Náhrady za využití soukromého vozidla jsou uznatelné pouze do výše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na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řený zp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ůsob hromadné dopravy v uvedené dob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ě.</w:t>
      </w:r>
    </w:p>
    <w:p>
      <w:pPr>
        <w:spacing w:before="334" w:after="263" w:line="297" w:lineRule="exact"/>
        <w:ind w:right="0" w:left="57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Náklady doložené pouze interními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četními doklady (vnitrofakturami) nejsou uznanými náklady projektu. Náklady na materiál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čtované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interního dokladu (výdejky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ze skladu) lze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považovat za uznané náklady pouze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doložení interní sm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ěrnice na oce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ňování zásob a faktur za nákup daného materiálu z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ředchozího období.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83" name="Picture"/>
                  <a:graphic>
                    <a:graphicData uri="http://schemas.openxmlformats.org/drawingml/2006/picture">
                      <pic:pic>
                        <pic:nvPicPr>
                          <pic:cNvPr id="84" name="test1"/>
                          <pic:cNvPicPr preferRelativeResize="false"/>
                        </pic:nvPicPr>
                        <pic:blipFill>
                          <a:blip r:embed="d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2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Strana 21/25</w:t>
            </w:r>
          </w:p>
        </w:tc>
      </w:tr>
    </w:tbl>
    <w:p>
      <w:pPr>
        <w:sectPr>
          <w:type w:val="nextPage"/>
          <w:pgSz w:w="11909" w:h="16838" w:orient="portrait"/>
          <w:pgMar w:bottom="462" w:top="1060" w:right="1113" w:left="1036" w:header="720" w:footer="720"/>
          <w:titlePg w:val="false"/>
          <w:textDirection w:val="lrTb"/>
        </w:sectPr>
      </w:pPr>
    </w:p>
    <w:p>
      <w:pPr>
        <w:spacing w:before="1" w:after="443" w:line="240" w:lineRule="auto"/>
        <w:ind w:right="8502" w:left="20"/>
        <w:jc w:val="left"/>
        <w:textAlignment w:val="baseline"/>
      </w:pPr>
      <w:r>
        <w:drawing>
          <wp:inline>
            <wp:extent cx="786130" cy="786130"/>
            <wp:docPr id="85" name="Picture"/>
            <a:graphic>
              <a:graphicData uri="http://schemas.openxmlformats.org/drawingml/2006/picture">
                <pic:pic>
                  <pic:nvPicPr>
                    <pic:cNvPr id="86" name="test1"/>
                    <pic:cNvPicPr preferRelativeResize="false"/>
                  </pic:nvPicPr>
                  <pic:blipFill>
                    <a:blip r:embed="drId49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decimal" w:leader="none" w:pos="216"/>
          <w:tab w:val="left" w:leader="none" w:pos="504"/>
        </w:tabs>
        <w:spacing w:before="0" w:after="0" w:line="296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7.	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Nep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římé náklady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jsou náklady vzniklé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římé souvislosti 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řešením projektu, resp. pouze jejich</w:t>
      </w:r>
    </w:p>
    <w:p>
      <w:pPr>
        <w:spacing w:before="10" w:after="0" w:line="296" w:lineRule="exact"/>
        <w:ind w:right="0" w:left="57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 ur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čená podle 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ěkteré z následujících metod, nap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ř. administrativní náklady, nájemné, náklady na pomocný personál a infrastrukturu, energii a služby, pokud již nejsou uvedené v jiných kategoriích.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římé náklady lze vykazovat</w:t>
      </w:r>
    </w:p>
    <w:p>
      <w:pPr>
        <w:numPr>
          <w:ilvl w:val="0"/>
          <w:numId w:val="47"/>
        </w:numPr>
        <w:tabs>
          <w:tab w:val="clear" w:pos="360"/>
          <w:tab w:val="left" w:pos="936"/>
        </w:tabs>
        <w:spacing w:before="195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metodou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„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full cost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“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, kdy organ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izace má již existující systém rozd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ělování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římých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na jednotlivá 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řediska, útvary, projekty apod., a to ve form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vnit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řního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ředpisu, na jehož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řazuje jednotlivé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římé náklady danému projektu, takto vykázané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římé náklady musí být podloženy kalkulací, výstupy z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četnictví, pat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čnými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četními doklady a výše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římých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není limitována, nebo</w:t>
      </w:r>
    </w:p>
    <w:p>
      <w:pPr>
        <w:numPr>
          <w:ilvl w:val="0"/>
          <w:numId w:val="47"/>
        </w:numPr>
        <w:tabs>
          <w:tab w:val="clear" w:pos="360"/>
          <w:tab w:val="left" w:pos="936"/>
        </w:tabs>
        <w:spacing w:before="8" w:after="0" w:line="296" w:lineRule="exact"/>
        <w:ind w:right="0" w:left="936" w:hanging="36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metodou vykazování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římých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pevné sazby, tzv. metodou „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flat rate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“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, do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výše 25 % ze sou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čtu skute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vykázaných osobních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 ostatních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římých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říslušném roce, mimo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na investice, kdy takto vykázané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římé náklady se nemusí dokládat pat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čnými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četními doklady, dokládá se však celková výše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římých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organizace a jejich rozd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ělení na 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řediska/projekty/úseky apod.</w:t>
      </w:r>
    </w:p>
    <w:p>
      <w:pPr>
        <w:spacing w:before="586" w:after="0" w:line="250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Článek 18</w:t>
      </w:r>
    </w:p>
    <w:p>
      <w:pPr>
        <w:spacing w:before="5" w:after="0" w:line="254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řesun a zm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ěna uznaných náklad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 a podpory</w:t>
      </w:r>
    </w:p>
    <w:p>
      <w:pPr>
        <w:numPr>
          <w:ilvl w:val="0"/>
          <w:numId w:val="48"/>
        </w:numPr>
        <w:tabs>
          <w:tab w:val="clear" w:pos="504"/>
          <w:tab w:val="left" w:pos="576"/>
        </w:tabs>
        <w:spacing w:before="198" w:after="0" w:line="296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Uznané náklady a s tím související výše podpory poskytnuté 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na celou dobu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mohou být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ěny v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maximáln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o 50 % výše uznaných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nebo výše podpory z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řejných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uvedených ve Smlouv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jak o nich poskytovatel rozhodl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vyhodnocení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řejné sout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ěže ve výzkumu, vývoji a inovacích.</w:t>
      </w:r>
    </w:p>
    <w:p>
      <w:pPr>
        <w:numPr>
          <w:ilvl w:val="0"/>
          <w:numId w:val="48"/>
        </w:numPr>
        <w:tabs>
          <w:tab w:val="clear" w:pos="504"/>
          <w:tab w:val="left" w:pos="576"/>
        </w:tabs>
        <w:spacing w:before="238" w:after="0" w:line="296" w:lineRule="exact"/>
        <w:ind w:right="0" w:left="576" w:hanging="504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SME-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07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ěnová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 projekt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stanoví postup smluvních stran v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žádosti hlavního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o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ěnu ohledn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řesunu nebo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ěny uznaných náklad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 a výše podpory.</w:t>
      </w:r>
    </w:p>
    <w:p>
      <w:pPr>
        <w:spacing w:before="798" w:after="0" w:line="259" w:lineRule="exact"/>
        <w:ind w:right="0" w:left="72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Článek 19
</w:t>
        <w:br/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Kontroly</w:t>
      </w:r>
    </w:p>
    <w:p>
      <w:pPr>
        <w:tabs>
          <w:tab w:val="decimal" w:leader="none" w:pos="216"/>
          <w:tab w:val="left" w:leader="none" w:pos="504"/>
        </w:tabs>
        <w:spacing w:before="198" w:after="0" w:line="296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1.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 v rámci kontroly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ve smyslu § 13 ZPVV provádí tyto druhy kontrol:</w:t>
      </w:r>
    </w:p>
    <w:p>
      <w:pPr>
        <w:numPr>
          <w:ilvl w:val="0"/>
          <w:numId w:val="49"/>
        </w:numPr>
        <w:tabs>
          <w:tab w:val="clear" w:pos="360"/>
          <w:tab w:val="left" w:pos="936"/>
        </w:tabs>
        <w:spacing w:before="203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řejnosprávní kontrolu na míst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</w:t>
      </w:r>
    </w:p>
    <w:p>
      <w:pPr>
        <w:numPr>
          <w:ilvl w:val="0"/>
          <w:numId w:val="49"/>
        </w:numPr>
        <w:tabs>
          <w:tab w:val="clear" w:pos="360"/>
          <w:tab w:val="left" w:pos="936"/>
        </w:tabs>
        <w:spacing w:before="2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-1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1"/>
          <w:w w:val="100"/>
          <w:sz w:val="23"/>
          <w:vertAlign w:val="baseline"/>
          <w:lang w:val="cs-CZ"/>
        </w:rPr>
        <w:t xml:space="preserve">kontrolu pl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n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ění cíl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ů projektu,</w:t>
      </w:r>
    </w:p>
    <w:p>
      <w:pPr>
        <w:numPr>
          <w:ilvl w:val="0"/>
          <w:numId w:val="49"/>
        </w:numPr>
        <w:tabs>
          <w:tab w:val="clear" w:pos="360"/>
          <w:tab w:val="left" w:pos="936"/>
        </w:tabs>
        <w:spacing w:before="0" w:after="0" w:line="293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ěžnou kontrolu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formou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ředkládání zpráv,</w:t>
      </w:r>
    </w:p>
    <w:p>
      <w:pPr>
        <w:numPr>
          <w:ilvl w:val="0"/>
          <w:numId w:val="49"/>
        </w:numPr>
        <w:tabs>
          <w:tab w:val="clear" w:pos="360"/>
          <w:tab w:val="left" w:pos="936"/>
        </w:tabs>
        <w:spacing w:before="1" w:after="0" w:line="296" w:lineRule="exact"/>
        <w:ind w:right="0" w:left="936" w:hanging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čnou kontrolu formou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čného oponentního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řízení.</w:t>
      </w:r>
    </w:p>
    <w:p>
      <w:pPr>
        <w:tabs>
          <w:tab w:val="decimal" w:leader="none" w:pos="216"/>
          <w:tab w:val="left" w:leader="none" w:pos="504"/>
        </w:tabs>
        <w:spacing w:before="338" w:after="0" w:line="296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ab/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2.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 je oprávn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 provád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 kdykoliv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řejnosprávní kontrolu v souladu se zákonem</w:t>
      </w:r>
    </w:p>
    <w:p>
      <w:pPr>
        <w:spacing w:before="0" w:after="95" w:line="296" w:lineRule="exact"/>
        <w:ind w:right="0" w:left="576" w:firstLine="0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320/2001 Sb., o finan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kontrole, postupem podle zákona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č. 255/2012 Sb., o kontrole (kontrolní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řád), a v minimálním rozsahu stanoveném § 13 ZPVV. Poskytovatel postupuje podle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ěchto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ředpis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a podle sm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ěrnice SME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3"/>
          <w:vertAlign w:val="baseline"/>
          <w:lang w:val="cs-CZ"/>
        </w:rPr>
        <w:t xml:space="preserve">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22 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řejnosprávní finan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 kontrola.</w:t>
      </w:r>
    </w:p>
    <w:p>
      <w:pPr>
        <w:spacing w:before="188" w:after="0" w:line="174" w:lineRule="exact"/>
        <w:ind w:right="0" w:left="0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-7"/>
          <w:w w:val="100"/>
          <w:sz w:val="16"/>
          <w:vertAlign w:val="baseline"/>
          <w:lang w:val="cs-CZ"/>
        </w:rPr>
      </w:pP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437.3pt;height:37.95pt;z-index:-996;margin-left:52.05pt;margin-top:761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81" w:after="25" w:line="240" w:lineRule="auto"/>
                    <w:ind w:right="4229" w:left="10"/>
                    <w:jc w:val="left"/>
                    <w:textAlignment w:val="baseline"/>
                  </w:pPr>
                  <w:r>
                    <w:drawing>
                      <wp:inline>
                        <wp:extent cx="2861945" cy="414655"/>
                        <wp:docPr id="87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id="88" name="test1"/>
                                <pic:cNvPicPr preferRelativeResize="false"/>
                              </pic:nvPicPr>
                              <pic:blipFill>
                                <a:blip r:embed="d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1945" cy="414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mbria" w:hAnsi="Cambria" w:eastAsia="Cambria"/>
          <w:strike w:val="false"/>
          <w:color w:val="000000"/>
          <w:spacing w:val="-7"/>
          <w:w w:val="100"/>
          <w:sz w:val="16"/>
          <w:vertAlign w:val="baseline"/>
          <w:lang w:val="cs-CZ"/>
        </w:rPr>
        <w:t xml:space="preserve">F-211, Verze 6</w:t>
      </w:r>
    </w:p>
    <w:p>
      <w:pPr>
        <w:spacing w:before="8" w:after="0" w:line="187" w:lineRule="exact"/>
        <w:ind w:right="0" w:left="72" w:firstLine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řejný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Strana 22/25</w:t>
      </w:r>
    </w:p>
    <w:p>
      <w:pPr>
        <w:sectPr>
          <w:type w:val="nextPage"/>
          <w:pgSz w:w="11909" w:h="16838" w:orient="portrait"/>
          <w:pgMar w:bottom="462" w:top="1060" w:right="1108" w:left="1041" w:header="720" w:footer="720"/>
          <w:titlePg w:val="false"/>
          <w:textDirection w:val="lrTb"/>
        </w:sectPr>
      </w:pPr>
    </w:p>
    <w:p>
      <w:pPr>
        <w:spacing w:before="1" w:after="442" w:line="240" w:lineRule="auto"/>
        <w:ind w:right="8500" w:left="22"/>
        <w:jc w:val="left"/>
        <w:textAlignment w:val="baseline"/>
      </w:pPr>
      <w:r>
        <w:drawing>
          <wp:inline>
            <wp:extent cx="786130" cy="786130"/>
            <wp:docPr id="89" name="Picture"/>
            <a:graphic>
              <a:graphicData uri="http://schemas.openxmlformats.org/drawingml/2006/picture">
                <pic:pic>
                  <pic:nvPicPr>
                    <pic:cNvPr id="90" name="test1"/>
                    <pic:cNvPicPr preferRelativeResize="false"/>
                  </pic:nvPicPr>
                  <pic:blipFill>
                    <a:blip r:embed="drId51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0"/>
        </w:numPr>
        <w:tabs>
          <w:tab w:val="clear" w:pos="432"/>
          <w:tab w:val="left" w:pos="576"/>
        </w:tabs>
        <w:spacing w:before="0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 provádí kontrolu pln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 cíl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 pravideln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formou kontroly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ěžné a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 zprávy nebo formou monitorovací kontroly nejmén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jednou 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ěhem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dvou a víceletých projekt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ů. Monitorovací kontrola je zahájena Oznámením o konání monitorovací kontroly, ve kterém je stanovena i forma jeho provedení. Monitorovací kontrola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ůže být provedena na míst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(tedy v prostorách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říjemce, ve kterých jsou provád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ěny výzkumné a vývojové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činnosti), nebo v sídle poskytovatele.</w:t>
      </w:r>
    </w:p>
    <w:p>
      <w:pPr>
        <w:numPr>
          <w:ilvl w:val="0"/>
          <w:numId w:val="50"/>
        </w:numPr>
        <w:tabs>
          <w:tab w:val="clear" w:pos="432"/>
          <w:tab w:val="left" w:pos="576"/>
        </w:tabs>
        <w:spacing w:before="240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ěžnou kontrolu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formou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ředkládání zpráv upravuje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čl. 11.</w:t>
      </w:r>
    </w:p>
    <w:p>
      <w:pPr>
        <w:numPr>
          <w:ilvl w:val="0"/>
          <w:numId w:val="50"/>
        </w:numPr>
        <w:tabs>
          <w:tab w:val="clear" w:pos="432"/>
          <w:tab w:val="left" w:pos="576"/>
        </w:tabs>
        <w:spacing w:before="240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Poskytovatel provádí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čnou kontrolu projektu za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čelem zhodnocení dosažení cíl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projektu, dosažených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a jejich vztahu k cíl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ům projektu, formou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čného oponentního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 po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projektu.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 oponentní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 je zahájeno Oznámením o konání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čného oponentního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řízení, ve kterém je stanovena i forma jeho provedení.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 oponentní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řízení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ůže být provedeno na míst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(tedy v prostorách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říjemce, ve kterých jsou provád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ěny výzkumné a vývojové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činnosti), nebo v sídle poskytovatele za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časti zástupc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nebo hromadn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pro více projekt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ů.</w:t>
      </w:r>
    </w:p>
    <w:p>
      <w:pPr>
        <w:numPr>
          <w:ilvl w:val="0"/>
          <w:numId w:val="50"/>
        </w:numPr>
        <w:tabs>
          <w:tab w:val="clear" w:pos="432"/>
          <w:tab w:val="left" w:pos="576"/>
        </w:tabs>
        <w:spacing w:before="240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Podrobnosti o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ěhu kontrolních proces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jsou upraveny vnit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řními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ředpisy poskytovatele.</w:t>
      </w:r>
    </w:p>
    <w:p>
      <w:pPr>
        <w:numPr>
          <w:ilvl w:val="0"/>
          <w:numId w:val="50"/>
        </w:numPr>
        <w:tabs>
          <w:tab w:val="clear" w:pos="432"/>
          <w:tab w:val="left" w:pos="576"/>
        </w:tabs>
        <w:spacing w:before="234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je povinen umožnit poskytovateli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jím pov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řeným osobám provád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ět komplexní kontrolu podle tohoto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článku a zp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řístupnit svou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četní evidenci související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nep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římo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projektem podle ustanovení §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8 odst. 1 ZPVV, a to kdykoli v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nebo do deseti let od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činnosti této Smlouvy, a poskytnout mu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ní pot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řebnou sou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činnost. Tímto ujednáním nejsou dot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čena ani omezena práva kontrolních a finan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čních orgán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státní správy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České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republiky.</w:t>
      </w:r>
    </w:p>
    <w:p>
      <w:pPr>
        <w:numPr>
          <w:ilvl w:val="0"/>
          <w:numId w:val="50"/>
        </w:numPr>
        <w:tabs>
          <w:tab w:val="clear" w:pos="432"/>
          <w:tab w:val="left" w:pos="576"/>
        </w:tabs>
        <w:spacing w:before="241" w:after="0" w:line="297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Pokud si tak poskytovatel vyžádá,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ředloží hlavní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ři kontrole výše uvedené doklady i z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dalšího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častníka, které si od 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ěj v dostate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čném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ředstihu obstará.</w:t>
      </w:r>
    </w:p>
    <w:p>
      <w:pPr>
        <w:spacing w:before="725" w:after="0" w:line="355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</w:pP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ČÁST F – ZÁV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ĚRE</w:t>
      </w:r>
      <w:r>
        <w:rPr>
          <w:rFonts w:ascii="Cambria" w:hAnsi="Cambria" w:eastAsia="Cambria"/>
          <w:b w:val="true"/>
          <w:strike w:val="false"/>
          <w:color w:val="000000"/>
          <w:spacing w:val="0"/>
          <w:w w:val="100"/>
          <w:sz w:val="28"/>
          <w:vertAlign w:val="baseline"/>
          <w:lang w:val="cs-CZ"/>
        </w:rPr>
        <w:t xml:space="preserve">ČNÁ USTANOVENÍ</w:t>
      </w:r>
    </w:p>
    <w:p>
      <w:pPr>
        <w:spacing w:before="308" w:after="0" w:line="249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Článek 20</w:t>
      </w:r>
    </w:p>
    <w:p>
      <w:pPr>
        <w:spacing w:before="6" w:after="0" w:line="249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Spory smluvních stran</w:t>
      </w:r>
    </w:p>
    <w:p>
      <w:pPr>
        <w:tabs>
          <w:tab w:val="left" w:leader="none" w:pos="504"/>
        </w:tabs>
        <w:spacing w:before="202" w:after="0" w:line="297" w:lineRule="exact"/>
        <w:ind w:right="0" w:left="144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8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8"/>
          <w:w w:val="100"/>
          <w:sz w:val="22"/>
          <w:vertAlign w:val="baseline"/>
          <w:lang w:val="cs-CZ"/>
        </w:rPr>
        <w:t xml:space="preserve">1.	</w:t>
      </w:r>
      <w:r>
        <w:rPr>
          <w:rFonts w:ascii="Cambria" w:hAnsi="Cambria" w:eastAsia="Cambria"/>
          <w:strike w:val="false"/>
          <w:color w:val="000000"/>
          <w:spacing w:val="8"/>
          <w:w w:val="100"/>
          <w:sz w:val="22"/>
          <w:vertAlign w:val="baseline"/>
          <w:lang w:val="cs-CZ"/>
        </w:rPr>
        <w:t xml:space="preserve">Spory smluvních stran, vznikající z této Smlouvy a v </w:t>
      </w:r>
      <w:r>
        <w:rPr>
          <w:rFonts w:ascii="Cambria" w:hAnsi="Cambria" w:eastAsia="Cambria"/>
          <w:strike w:val="false"/>
          <w:color w:val="000000"/>
          <w:spacing w:val="8"/>
          <w:w w:val="100"/>
          <w:sz w:val="22"/>
          <w:vertAlign w:val="baseline"/>
          <w:lang w:val="cs-CZ"/>
        </w:rPr>
        <w:t xml:space="preserve">souvislosti s </w:t>
      </w:r>
      <w:r>
        <w:rPr>
          <w:rFonts w:ascii="Cambria" w:hAnsi="Cambria" w:eastAsia="Cambria"/>
          <w:strike w:val="false"/>
          <w:color w:val="000000"/>
          <w:spacing w:val="8"/>
          <w:w w:val="100"/>
          <w:sz w:val="22"/>
          <w:vertAlign w:val="baseline"/>
          <w:lang w:val="cs-CZ"/>
        </w:rPr>
        <w:t xml:space="preserve">ní, budou rozhodovány</w:t>
      </w:r>
    </w:p>
    <w:p>
      <w:pPr>
        <w:spacing w:before="0" w:after="1838" w:line="297" w:lineRule="exact"/>
        <w:ind w:right="0" w:left="576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říslušným orgánem, resp. soudem.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19"/>
        <w:gridCol w:w="5241"/>
      </w:tblGrid>
      <w:tr>
        <w:trPr>
          <w:trHeight w:val="678" w:hRule="exact"/>
        </w:trPr>
        <w:tc>
          <w:tcPr>
            <w:tcW w:w="4519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2"/>
              <w:jc w:val="center"/>
              <w:textAlignment w:val="baseline"/>
            </w:pPr>
            <w:r>
              <w:drawing>
                <wp:inline>
                  <wp:extent cx="2861945" cy="414655"/>
                  <wp:docPr id="91" name="Picture"/>
                  <a:graphic>
                    <a:graphicData uri="http://schemas.openxmlformats.org/drawingml/2006/picture">
                      <pic:pic>
                        <pic:nvPicPr>
                          <pic:cNvPr id="92" name="test1"/>
                          <pic:cNvPicPr preferRelativeResize="false"/>
                        </pic:nvPicPr>
                        <pic:blipFill>
                          <a:blip r:embed="d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3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2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Strana 23/25</w:t>
            </w:r>
          </w:p>
        </w:tc>
      </w:tr>
    </w:tbl>
    <w:p>
      <w:pPr>
        <w:sectPr>
          <w:type w:val="nextPage"/>
          <w:pgSz w:w="11909" w:h="16838" w:orient="portrait"/>
          <w:pgMar w:bottom="462" w:top="1060" w:right="1110" w:left="1039" w:header="720" w:footer="720"/>
          <w:titlePg w:val="false"/>
          <w:textDirection w:val="lrTb"/>
        </w:sectPr>
      </w:pPr>
    </w:p>
    <w:p>
      <w:pPr>
        <w:spacing w:before="1" w:after="482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93" name="Picture"/>
            <a:graphic>
              <a:graphicData uri="http://schemas.openxmlformats.org/drawingml/2006/picture">
                <pic:pic>
                  <pic:nvPicPr>
                    <pic:cNvPr id="94" name="test1"/>
                    <pic:cNvPicPr preferRelativeResize="false"/>
                  </pic:nvPicPr>
                  <pic:blipFill>
                    <a:blip r:embed="drId53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" w:after="0" w:line="257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Článek 21</w:t>
      </w:r>
    </w:p>
    <w:p>
      <w:pPr>
        <w:spacing w:before="3" w:after="0" w:line="257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Zm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ěny smlouvy</w:t>
      </w:r>
    </w:p>
    <w:p>
      <w:pPr>
        <w:numPr>
          <w:ilvl w:val="0"/>
          <w:numId w:val="51"/>
        </w:numPr>
        <w:tabs>
          <w:tab w:val="clear" w:pos="432"/>
          <w:tab w:val="left" w:pos="576"/>
        </w:tabs>
        <w:spacing w:before="203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Smlouva,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jejích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říloh,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ůže být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žádosti hlavního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dopl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ňována, upravována a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ěna pouze písemnými, po sob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číslovanými dodatky ke Smlouv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ě, podepsanými smluvními stranami, jedná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-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li se o skute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čnosti, které jsou uvedeny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římo ve Smlouv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ě.</w:t>
      </w:r>
    </w:p>
    <w:p>
      <w:pPr>
        <w:numPr>
          <w:ilvl w:val="0"/>
          <w:numId w:val="51"/>
        </w:numPr>
        <w:tabs>
          <w:tab w:val="clear" w:pos="432"/>
          <w:tab w:val="left" w:pos="576"/>
        </w:tabs>
        <w:spacing w:before="241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Závazné parametry mohou být 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ěny na základ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žádosti hlavního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a oznámení o souhlasu poskytovatele. Oznámení o souhlasu poskytovatele má za následek vygenerování nové verze závazných parametr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v informa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čním systému.</w:t>
      </w:r>
    </w:p>
    <w:p>
      <w:pPr>
        <w:numPr>
          <w:ilvl w:val="0"/>
          <w:numId w:val="51"/>
        </w:numPr>
        <w:tabs>
          <w:tab w:val="clear" w:pos="432"/>
          <w:tab w:val="left" w:pos="576"/>
        </w:tabs>
        <w:spacing w:before="240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Žádost o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ěnu se podává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řednictvím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ěnového formulá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 v Informa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čním systému poskytovatele a zasláním potvrzení podání prost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řednictvím datové schránky. Pokud dochází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k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jakýmkoliv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ěnám v návrhu projektu, které nejsou zárove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ň Závaznými parametry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říjemce o nich informuje poskytovatele až v následující pr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ěžné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záv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ěre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čné zpráv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a nepodává o nich oznámení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či žádost o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ěnu. Sou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částí informace o takové zm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je i doba, kdy nastala, a od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ůvodn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ění.</w:t>
      </w:r>
    </w:p>
    <w:p>
      <w:pPr>
        <w:numPr>
          <w:ilvl w:val="0"/>
          <w:numId w:val="51"/>
        </w:numPr>
        <w:tabs>
          <w:tab w:val="clear" w:pos="432"/>
          <w:tab w:val="left" w:pos="576"/>
        </w:tabs>
        <w:spacing w:before="245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ředchozí odstavec dopadá i na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řípady, kdy dojde ke vzniku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ů, které nejsou uvedeny jako deklarované v Závazných parametrech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nicmén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vznikají b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ěhem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za ú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čelem dosažení 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ěchto deklarovaných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ů.</w:t>
      </w:r>
    </w:p>
    <w:p>
      <w:pPr>
        <w:numPr>
          <w:ilvl w:val="0"/>
          <w:numId w:val="51"/>
        </w:numPr>
        <w:tabs>
          <w:tab w:val="clear" w:pos="432"/>
          <w:tab w:val="left" w:pos="576"/>
        </w:tabs>
        <w:spacing w:before="241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Podrobný proces schvalování žádosti upravuje vnit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dpis poskytovatele.</w:t>
      </w:r>
    </w:p>
    <w:p>
      <w:pPr>
        <w:spacing w:before="797" w:after="0" w:line="257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-1"/>
          <w:w w:val="100"/>
          <w:sz w:val="22"/>
          <w:vertAlign w:val="baseline"/>
          <w:lang w:val="cs-CZ"/>
        </w:rPr>
        <w:t xml:space="preserve">Článek 22</w:t>
      </w:r>
    </w:p>
    <w:p>
      <w:pPr>
        <w:spacing w:before="0" w:after="0" w:line="257" w:lineRule="exact"/>
        <w:ind w:right="0" w:left="0" w:firstLine="0"/>
        <w:jc w:val="center"/>
        <w:textAlignment w:val="baseline"/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Ukon</w:t>
      </w:r>
      <w:r>
        <w:rPr>
          <w:rFonts w:ascii="Cambria" w:hAnsi="Cambria" w:eastAsia="Cambria"/>
          <w:b w:val="true"/>
          <w:i w:val="true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platnosti Smlouvy</w:t>
      </w:r>
    </w:p>
    <w:p>
      <w:pPr>
        <w:numPr>
          <w:ilvl w:val="0"/>
          <w:numId w:val="52"/>
        </w:numPr>
        <w:tabs>
          <w:tab w:val="clear" w:pos="432"/>
          <w:tab w:val="left" w:pos="576"/>
        </w:tabs>
        <w:spacing w:before="205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Platnost Smlouvy je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čena po 3 letech ode dne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pokud se smluvní strany nedohodnou na jejím prodloužení.</w:t>
      </w:r>
    </w:p>
    <w:p>
      <w:pPr>
        <w:numPr>
          <w:ilvl w:val="0"/>
          <w:numId w:val="52"/>
        </w:numPr>
        <w:tabs>
          <w:tab w:val="clear" w:pos="432"/>
          <w:tab w:val="left" w:pos="576"/>
        </w:tabs>
        <w:spacing w:before="236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Platnost Smlouvy je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čena rovn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ěž výpov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ědí nebo odstoupením.</w:t>
      </w:r>
    </w:p>
    <w:p>
      <w:pPr>
        <w:numPr>
          <w:ilvl w:val="0"/>
          <w:numId w:val="52"/>
        </w:numPr>
        <w:tabs>
          <w:tab w:val="clear" w:pos="432"/>
          <w:tab w:val="left" w:pos="576"/>
        </w:tabs>
        <w:spacing w:before="244" w:after="0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Do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ba platnosti Smlouvy zahrnuje dobu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 a následující období pot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řebné pro vyhodnocení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v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četn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 vypo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řádání poskytnuté podpory podle rozpo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čtových pravidel, které není delší než 180 kalendá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řních dn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ode dne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rojektu. Doba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platnosti Smlouvy však nezahrnuje dobu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řešení projektu, která p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ředchází podpisu obou smluvních stran.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Článek 16 odst. 4 není zn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ěním tohoto odstavce dot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čen.</w:t>
      </w:r>
    </w:p>
    <w:p>
      <w:pPr>
        <w:numPr>
          <w:ilvl w:val="0"/>
          <w:numId w:val="52"/>
        </w:numPr>
        <w:tabs>
          <w:tab w:val="clear" w:pos="432"/>
          <w:tab w:val="left" w:pos="576"/>
        </w:tabs>
        <w:spacing w:before="243" w:after="887" w:line="296" w:lineRule="exact"/>
        <w:ind w:right="0" w:left="576" w:hanging="432"/>
        <w:jc w:val="both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Povinnost dle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čl. 4 odst. 2 písm. e) platí po dobu 3 let od dosažení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i po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trvání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smlouvy.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238"/>
      </w:tblGrid>
      <w:tr>
        <w:trPr>
          <w:trHeight w:val="678" w:hRule="exact"/>
        </w:trPr>
        <w:tc>
          <w:tcPr>
            <w:tcW w:w="4522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10" w:line="240" w:lineRule="auto"/>
              <w:ind w:right="0" w:left="15"/>
              <w:jc w:val="center"/>
              <w:textAlignment w:val="baseline"/>
            </w:pPr>
            <w:r>
              <w:drawing>
                <wp:inline>
                  <wp:extent cx="2861945" cy="414655"/>
                  <wp:docPr id="95" name="Picture"/>
                  <a:graphic>
                    <a:graphicData uri="http://schemas.openxmlformats.org/drawingml/2006/picture">
                      <pic:pic>
                        <pic:nvPicPr>
                          <pic:cNvPr id="96" name="test1"/>
                          <pic:cNvPicPr preferRelativeResize="false"/>
                        </pic:nvPicPr>
                        <pic:blipFill>
                          <a:blip r:embed="d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107" w:after="0" w:line="174" w:lineRule="exact"/>
              <w:ind w:right="20" w:left="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0"/>
                <w:w w:val="100"/>
                <w:sz w:val="16"/>
                <w:vertAlign w:val="baseline"/>
                <w:lang w:val="cs-CZ"/>
              </w:rPr>
              <w:t xml:space="preserve">F-211, Verze 6</w:t>
            </w:r>
          </w:p>
          <w:p>
            <w:pPr>
              <w:spacing w:before="8" w:after="4" w:line="187" w:lineRule="exact"/>
              <w:ind w:right="0" w:left="4320" w:firstLine="0"/>
              <w:jc w:val="right"/>
              <w:textAlignment w:val="baseline"/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</w:pP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Ve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řejný </w:t>
            </w:r>
            <w:r>
              <w:rPr>
                <w:rFonts w:ascii="Cambria" w:hAnsi="Cambria" w:eastAsia="Cambria"/>
                <w:strike w:val="false"/>
                <w:color w:val="000000"/>
                <w:spacing w:val="-1"/>
                <w:w w:val="100"/>
                <w:sz w:val="16"/>
                <w:vertAlign w:val="baseline"/>
                <w:lang w:val="cs-CZ"/>
              </w:rPr>
              <w:t xml:space="preserve">Strana 24/25</w:t>
            </w:r>
          </w:p>
        </w:tc>
      </w:tr>
    </w:tbl>
    <w:p>
      <w:pPr>
        <w:spacing w:before="1" w:after="461" w:line="240" w:lineRule="auto"/>
        <w:ind w:right="8497" w:left="25"/>
        <w:jc w:val="left"/>
        <w:textAlignment w:val="baseline"/>
      </w:pPr>
      <w:r>
        <w:drawing>
          <wp:inline>
            <wp:extent cx="786130" cy="786130"/>
            <wp:docPr id="97" name="Picture"/>
            <a:graphic>
              <a:graphicData uri="http://schemas.openxmlformats.org/drawingml/2006/picture">
                <pic:pic>
                  <pic:nvPicPr>
                    <pic:cNvPr id="98" name="test1"/>
                    <pic:cNvPicPr preferRelativeResize="false"/>
                  </pic:nvPicPr>
                  <pic:blipFill>
                    <a:blip r:embed="drId55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right" w:leader="none" w:pos="9720"/>
        </w:tabs>
        <w:spacing w:before="0" w:after="0" w:line="283" w:lineRule="exact"/>
        <w:ind w:right="0" w:left="72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5.	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Povinnost dle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čl. 4 odst. 2 písm. g) platí po dobu 10 let od dosažení výsledk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ů i po ukon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22"/>
          <w:vertAlign w:val="baseline"/>
          <w:lang w:val="cs-CZ"/>
        </w:rPr>
        <w:t xml:space="preserve">čení trvání</w:t>
      </w:r>
    </w:p>
    <w:p>
      <w:pPr>
        <w:spacing w:before="59" w:after="11956" w:line="234" w:lineRule="exact"/>
        <w:ind w:right="0" w:left="504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-2"/>
          <w:w w:val="100"/>
          <w:sz w:val="22"/>
          <w:vertAlign w:val="baseline"/>
          <w:lang w:val="cs-CZ"/>
        </w:rPr>
        <w:t xml:space="preserve">smlouvy.</w:t>
      </w:r>
    </w:p>
    <w:p>
      <w:pPr>
        <w:spacing w:before="59" w:after="11956" w:line="234" w:lineRule="exact"/>
        <w:sectPr>
          <w:type w:val="nextPage"/>
          <w:pgSz w:w="11909" w:h="16838" w:orient="portrait"/>
          <w:pgMar w:bottom="462" w:top="1060" w:right="1113" w:left="1036" w:header="720" w:footer="720"/>
          <w:titlePg w:val="false"/>
          <w:textDirection w:val="lrTb"/>
        </w:sectPr>
      </w:pPr>
    </w:p>
    <w:p>
      <w:pPr>
        <w:spacing w:before="107" w:after="0" w:line="174" w:lineRule="exact"/>
        <w:ind w:right="0" w:left="0" w:firstLine="0"/>
        <w:jc w:val="left"/>
        <w:textAlignment w:val="baseline"/>
        <w:rPr>
          <w:rFonts w:ascii="Cambria" w:hAnsi="Cambria" w:eastAsia="Cambria"/>
          <w:strike w:val="false"/>
          <w:color w:val="000000"/>
          <w:spacing w:val="-8"/>
          <w:w w:val="100"/>
          <w:sz w:val="16"/>
          <w:vertAlign w:val="baseline"/>
          <w:lang w:val="cs-CZ"/>
        </w:rPr>
      </w:pP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225.35pt;height:32.65pt;z-index:-995;margin-left:52.55pt;margin-top:765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2861945" cy="414655"/>
                        <wp:docPr id="99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id="100" name="test1"/>
                                <pic:cNvPicPr preferRelativeResize="false"/>
                              </pic:nvPicPr>
                              <pic:blipFill>
                                <a:blip r:embed="d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1945" cy="414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mbria" w:hAnsi="Cambria" w:eastAsia="Cambria"/>
          <w:strike w:val="false"/>
          <w:color w:val="000000"/>
          <w:spacing w:val="-8"/>
          <w:w w:val="100"/>
          <w:sz w:val="16"/>
          <w:vertAlign w:val="baseline"/>
          <w:lang w:val="cs-CZ"/>
        </w:rPr>
        <w:t xml:space="preserve">F-211, Verze 6</w:t>
      </w:r>
    </w:p>
    <w:p>
      <w:pPr>
        <w:spacing w:before="8" w:after="0" w:line="187" w:lineRule="exact"/>
        <w:ind w:right="0" w:left="72" w:firstLine="360"/>
        <w:jc w:val="left"/>
        <w:textAlignment w:val="baseline"/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</w:pP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Ve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řejný </w:t>
      </w:r>
      <w:r>
        <w:rPr>
          <w:rFonts w:ascii="Cambria" w:hAnsi="Cambria" w:eastAsia="Cambria"/>
          <w:strike w:val="false"/>
          <w:color w:val="000000"/>
          <w:spacing w:val="0"/>
          <w:w w:val="100"/>
          <w:sz w:val="16"/>
          <w:vertAlign w:val="baseline"/>
          <w:lang w:val="cs-CZ"/>
        </w:rPr>
        <w:t xml:space="preserve">Strana 25/25</w:t>
      </w:r>
    </w:p>
    <w:sectPr>
      <w:type w:val="continuous"/>
      <w:pgSz w:w="11909" w:h="16838" w:orient="portrait"/>
      <w:pgMar w:bottom="462" w:top="1060" w:right="1122" w:left="9787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mbria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Courier New">
    <w:pitch w:val="default"/>
    <w:family w:val="auto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start w:val="1"/>
      <w:numFmt w:val="decimal"/>
      <w:lvlText w:val="%1."/>
      <w:lvlJc w:val="left"/>
      <w:pPr>
        <w:tabs>
          <w:tab w:val="left" w:pos="504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left" w:pos="432"/>
        </w:tabs>
        <w:ind w:left="720"/>
      </w:pPr>
      <w:rPr>
        <w:rFonts w:ascii="Cambria" w:hAnsi="Cambria" w:eastAsia="Cambria"/>
        <w:b w:val="true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3">
    <w:lvl w:ilvl="0">
      <w:start w:val="4"/>
      <w:numFmt w:val="lowerLetter"/>
      <w:lvlText w:val="%1)"/>
      <w:lvlJc w:val="left"/>
      <w:pPr>
        <w:tabs>
          <w:tab w:val="left" w:pos="432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val="left" w:pos="216"/>
        </w:tabs>
        <w:ind w:left="720"/>
      </w:pPr>
      <w:rPr>
        <w:rFonts w:ascii="Courier New" w:hAnsi="Courier New" w:eastAsia="Courier New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5">
    <w:lvl w:ilvl="0">
      <w:start w:val="7"/>
      <w:numFmt w:val="lowerLetter"/>
      <w:lvlText w:val="%1)"/>
      <w:lvlJc w:val="left"/>
      <w:pPr>
        <w:tabs>
          <w:tab w:val="left" w:pos="432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6">
    <w:lvl w:ilvl="0">
      <w:start w:val="1"/>
      <w:numFmt w:val="bullet"/>
      <w:lvlText w:val="o"/>
      <w:lvlJc w:val="left"/>
      <w:pPr>
        <w:tabs>
          <w:tab w:val="left" w:pos="288"/>
        </w:tabs>
        <w:ind w:left="720"/>
      </w:pPr>
      <w:rPr>
        <w:rFonts w:ascii="Courier New" w:hAnsi="Courier New" w:eastAsia="Courier New"/>
        <w:strike w:val="false"/>
        <w:color w:val="000000"/>
        <w:spacing w:val="-2"/>
        <w:w w:val="100"/>
        <w:sz w:val="22"/>
        <w:vertAlign w:val="baseline"/>
        <w:lang w:val="cs-CZ"/>
      </w:rPr>
    </w:lvl>
  </w:abstractNum>
  <w:abstractNum w:abstractNumId="7">
    <w:lvl w:ilvl="0">
      <w:start w:val="13"/>
      <w:numFmt w:val="lowerLetter"/>
      <w:lvlText w:val="%1)"/>
      <w:lvlJc w:val="left"/>
      <w:pPr>
        <w:tabs>
          <w:tab w:val="left" w:pos="432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8">
    <w:lvl w:ilvl="0">
      <w:start w:val="17"/>
      <w:numFmt w:val="lowerLetter"/>
      <w:lvlText w:val="%1)"/>
      <w:lvlJc w:val="left"/>
      <w:pPr>
        <w:tabs>
          <w:tab w:val="left" w:pos="432"/>
        </w:tabs>
        <w:ind w:left="720"/>
      </w:pPr>
      <w:rPr>
        <w:rFonts w:ascii="Cambria" w:hAnsi="Cambria" w:eastAsia="Cambria"/>
        <w:b w:val="true"/>
        <w:strike w:val="false"/>
        <w:color w:val="000000"/>
        <w:spacing w:val="-2"/>
        <w:w w:val="100"/>
        <w:sz w:val="22"/>
        <w:vertAlign w:val="baseline"/>
        <w:lang w:val="cs-CZ"/>
      </w:rPr>
    </w:lvl>
  </w:abstractNum>
  <w:abstractNum w:abstractNumId="9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10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-2"/>
        <w:w w:val="100"/>
        <w:sz w:val="22"/>
        <w:vertAlign w:val="baseline"/>
        <w:lang w:val="cs-CZ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12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13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14">
    <w:lvl w:ilvl="0">
      <w:start w:val="3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16">
    <w:lvl w:ilvl="0">
      <w:start w:val="7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17">
    <w:lvl w:ilvl="0">
      <w:start w:val="3"/>
      <w:numFmt w:val="decimal"/>
      <w:lvlText w:val="%1."/>
      <w:lvlJc w:val="left"/>
      <w:pPr>
        <w:tabs>
          <w:tab w:val="left" w:pos="432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19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20">
    <w:lvl w:ilvl="0">
      <w:start w:val="4"/>
      <w:numFmt w:val="decimal"/>
      <w:lvlText w:val="%1."/>
      <w:lvlJc w:val="left"/>
      <w:pPr>
        <w:tabs>
          <w:tab w:val="left" w:pos="504"/>
        </w:tabs>
        <w:ind w:left="720"/>
      </w:pPr>
      <w:rPr>
        <w:rFonts w:ascii="Cambria" w:hAnsi="Cambria" w:eastAsia="Cambria"/>
        <w:strike w:val="false"/>
        <w:color w:val="000000"/>
        <w:spacing w:val="-2"/>
        <w:w w:val="100"/>
        <w:sz w:val="22"/>
        <w:vertAlign w:val="baseline"/>
        <w:lang w:val="cs-CZ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22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23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24">
    <w:lvl w:ilvl="0">
      <w:start w:val="3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25">
    <w:lvl w:ilvl="0">
      <w:start w:val="1"/>
      <w:numFmt w:val="bullet"/>
      <w:lvlText w:val="o"/>
      <w:lvlJc w:val="left"/>
      <w:pPr>
        <w:tabs>
          <w:tab w:val="left" w:pos="144"/>
        </w:tabs>
        <w:ind w:left="720"/>
      </w:pPr>
      <w:rPr>
        <w:rFonts w:ascii="Courier New" w:hAnsi="Courier New" w:eastAsia="Courier New"/>
        <w:strike w:val="false"/>
        <w:color w:val="000000"/>
        <w:spacing w:val="-2"/>
        <w:w w:val="100"/>
        <w:sz w:val="22"/>
        <w:vertAlign w:val="baseline"/>
        <w:lang w:val="cs-CZ"/>
      </w:rPr>
    </w:lvl>
  </w:abstractNum>
  <w:abstractNum w:abstractNumId="26">
    <w:lvl w:ilvl="0">
      <w:start w:val="7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27">
    <w:lvl w:ilvl="0">
      <w:start w:val="2"/>
      <w:numFmt w:val="decimal"/>
      <w:lvlText w:val="%1."/>
      <w:lvlJc w:val="left"/>
      <w:pPr>
        <w:tabs>
          <w:tab w:val="left" w:pos="432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Cambria" w:hAnsi="Cambria" w:eastAsia="Cambria"/>
        <w:strike w:val="false"/>
        <w:color w:val="000000"/>
        <w:spacing w:val="-2"/>
        <w:w w:val="100"/>
        <w:sz w:val="22"/>
        <w:vertAlign w:val="baseline"/>
        <w:lang w:val="cs-CZ"/>
      </w:rPr>
    </w:lvl>
  </w:abstractNum>
  <w:abstractNum w:abstractNumId="29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30">
    <w:lvl w:ilvl="0">
      <w:start w:val="3"/>
      <w:numFmt w:val="decimal"/>
      <w:lvlText w:val="%1."/>
      <w:lvlJc w:val="left"/>
      <w:pPr>
        <w:tabs>
          <w:tab w:val="left" w:pos="504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31"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32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33">
    <w:lvl w:ilvl="0">
      <w:start w:val="1"/>
      <w:numFmt w:val="lowerLetter"/>
      <w:lvlText w:val="%1)"/>
      <w:lvlJc w:val="left"/>
      <w:pPr>
        <w:tabs>
          <w:tab w:val="left" w:pos="432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34">
    <w:lvl w:ilvl="0">
      <w:start w:val="2"/>
      <w:numFmt w:val="decimal"/>
      <w:lvlText w:val="%1."/>
      <w:lvlJc w:val="left"/>
      <w:pPr>
        <w:tabs>
          <w:tab w:val="left" w:pos="504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3"/>
        <w:vertAlign w:val="baseline"/>
        <w:lang w:val="cs-CZ"/>
      </w:rPr>
    </w:lvl>
  </w:abstractNum>
  <w:abstractNum w:abstractNumId="35">
    <w:lvl w:ilvl="0">
      <w:start w:val="1"/>
      <w:numFmt w:val="decimal"/>
      <w:lvlText w:val="%1."/>
      <w:lvlJc w:val="left"/>
      <w:pPr>
        <w:tabs>
          <w:tab w:val="left" w:pos="504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36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37">
    <w:lvl w:ilvl="0">
      <w:start w:val="3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38">
    <w:lvl w:ilvl="0">
      <w:start w:val="6"/>
      <w:numFmt w:val="decimal"/>
      <w:lvlText w:val="%1."/>
      <w:lvlJc w:val="left"/>
      <w:pPr>
        <w:tabs>
          <w:tab w:val="left" w:pos="432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39"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40"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41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42">
    <w:lvl w:ilvl="0">
      <w:start w:val="4"/>
      <w:numFmt w:val="decimal"/>
      <w:lvlText w:val="%1.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-1"/>
        <w:w w:val="100"/>
        <w:sz w:val="22"/>
        <w:vertAlign w:val="baseline"/>
        <w:lang w:val="cs-CZ"/>
      </w:rPr>
    </w:lvl>
  </w:abstractNum>
  <w:abstractNum w:abstractNumId="43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44">
    <w:lvl w:ilvl="0">
      <w:start w:val="4"/>
      <w:numFmt w:val="decimal"/>
      <w:lvlText w:val="%1."/>
      <w:lvlJc w:val="left"/>
      <w:pPr>
        <w:tabs>
          <w:tab w:val="left" w:pos="432"/>
        </w:tabs>
        <w:ind w:left="720"/>
      </w:pPr>
      <w:rPr>
        <w:rFonts w:ascii="Cambria" w:hAnsi="Cambria" w:eastAsia="Cambria"/>
        <w:b w:val="true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45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46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3"/>
        <w:vertAlign w:val="baseline"/>
        <w:lang w:val="cs-CZ"/>
      </w:rPr>
    </w:lvl>
  </w:abstractNum>
  <w:abstractNum w:abstractNumId="47">
    <w:lvl w:ilvl="0">
      <w:start w:val="1"/>
      <w:numFmt w:val="decimal"/>
      <w:lvlText w:val="%1."/>
      <w:lvlJc w:val="left"/>
      <w:pPr>
        <w:tabs>
          <w:tab w:val="left" w:pos="504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48"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49">
    <w:lvl w:ilvl="0">
      <w:start w:val="3"/>
      <w:numFmt w:val="decimal"/>
      <w:lvlText w:val="%1."/>
      <w:lvlJc w:val="left"/>
      <w:pPr>
        <w:tabs>
          <w:tab w:val="left" w:pos="432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50"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abstractNum w:abstractNumId="51"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Cambria" w:hAnsi="Cambria" w:eastAsia="Cambria"/>
        <w:strike w:val="false"/>
        <w:color w:val="000000"/>
        <w:spacing w:val="0"/>
        <w:w w:val="100"/>
        <w:sz w:val="22"/>
        <w:vertAlign w:val="baseline"/>
        <w:lang w:val="cs-CZ"/>
      </w:rPr>
    </w:lvl>
  </w:abstract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2" /><Relationship Type="http://schemas.openxmlformats.org/officeDocument/2006/relationships/numbering" Target="/word/numbering.xml" Id="drId4" /><Relationship Type="http://schemas.openxmlformats.org/officeDocument/2006/relationships/image" Target="/word/media/image2.png" Id="drId5" /><Relationship Type="http://schemas.openxmlformats.org/officeDocument/2006/relationships/image" Target="/word/media/image3.png" Id="drId6" /><Relationship Type="http://schemas.openxmlformats.org/officeDocument/2006/relationships/image" Target="/word/media/image4.png" Id="drId7" /><Relationship Type="http://schemas.openxmlformats.org/officeDocument/2006/relationships/image" Target="/word/media/image5.png" Id="drId8" /><Relationship Type="http://schemas.openxmlformats.org/officeDocument/2006/relationships/image" Target="/word/media/image6.png" Id="drId9" /><Relationship Type="http://schemas.openxmlformats.org/officeDocument/2006/relationships/image" Target="/word/media/image7.png" Id="drId10" /><Relationship Type="http://schemas.openxmlformats.org/officeDocument/2006/relationships/image" Target="/word/media/image8.png" Id="drId11" /><Relationship Type="http://schemas.openxmlformats.org/officeDocument/2006/relationships/image" Target="/word/media/image9.png" Id="drId12" /><Relationship Type="http://schemas.openxmlformats.org/officeDocument/2006/relationships/image" Target="/word/media/image10.png" Id="drId13" /><Relationship Type="http://schemas.openxmlformats.org/officeDocument/2006/relationships/image" Target="/word/media/image11.png" Id="drId14" /><Relationship Type="http://schemas.openxmlformats.org/officeDocument/2006/relationships/image" Target="/word/media/image12.png" Id="drId15" /><Relationship Type="http://schemas.openxmlformats.org/officeDocument/2006/relationships/image" Target="/word/media/image13.png" Id="drId16" /><Relationship Type="http://schemas.openxmlformats.org/officeDocument/2006/relationships/hyperlink" Target="mailto:posta@tacr.cz" TargetMode="External" Id="drId17" /><Relationship Type="http://schemas.openxmlformats.org/officeDocument/2006/relationships/image" Target="/word/media/image14.png" Id="drId18" /><Relationship Type="http://schemas.openxmlformats.org/officeDocument/2006/relationships/image" Target="/word/media/image15.png" Id="drId19" /><Relationship Type="http://schemas.openxmlformats.org/officeDocument/2006/relationships/image" Target="/word/media/image16.png" Id="drId20" /><Relationship Type="http://schemas.openxmlformats.org/officeDocument/2006/relationships/image" Target="/word/media/image17.png" Id="drId21" /><Relationship Type="http://schemas.openxmlformats.org/officeDocument/2006/relationships/hyperlink" Target="http://nap&#345;.na" TargetMode="External" Id="drId22" /><Relationship Type="http://schemas.openxmlformats.org/officeDocument/2006/relationships/image" Target="/word/media/image18.png" Id="drId23" /><Relationship Type="http://schemas.openxmlformats.org/officeDocument/2006/relationships/image" Target="/word/media/image19.png" Id="drId24" /><Relationship Type="http://schemas.openxmlformats.org/officeDocument/2006/relationships/image" Target="/word/media/image20.png" Id="drId25" /><Relationship Type="http://schemas.openxmlformats.org/officeDocument/2006/relationships/image" Target="/word/media/image21.png" Id="drId26" /><Relationship Type="http://schemas.openxmlformats.org/officeDocument/2006/relationships/image" Target="/word/media/image22.png" Id="drId27" /><Relationship Type="http://schemas.openxmlformats.org/officeDocument/2006/relationships/image" Target="/word/media/image23.png" Id="drId28" /><Relationship Type="http://schemas.openxmlformats.org/officeDocument/2006/relationships/image" Target="/word/media/image24.png" Id="drId29" /><Relationship Type="http://schemas.openxmlformats.org/officeDocument/2006/relationships/image" Target="/word/media/image25.png" Id="drId30" /><Relationship Type="http://schemas.openxmlformats.org/officeDocument/2006/relationships/image" Target="/word/media/image26.png" Id="drId31" /><Relationship Type="http://schemas.openxmlformats.org/officeDocument/2006/relationships/image" Target="/word/media/image27.png" Id="drId32" /><Relationship Type="http://schemas.openxmlformats.org/officeDocument/2006/relationships/image" Target="/word/media/image28.png" Id="drId33" /><Relationship Type="http://schemas.openxmlformats.org/officeDocument/2006/relationships/image" Target="/word/media/image29.png" Id="drId34" /><Relationship Type="http://schemas.openxmlformats.org/officeDocument/2006/relationships/image" Target="/word/media/image30.png" Id="drId35" /><Relationship Type="http://schemas.openxmlformats.org/officeDocument/2006/relationships/image" Target="/word/media/image31.png" Id="drId36" /><Relationship Type="http://schemas.openxmlformats.org/officeDocument/2006/relationships/image" Target="/word/media/image32.png" Id="drId37" /><Relationship Type="http://schemas.openxmlformats.org/officeDocument/2006/relationships/image" Target="/word/media/image33.png" Id="drId38" /><Relationship Type="http://schemas.openxmlformats.org/officeDocument/2006/relationships/image" Target="/word/media/image34.png" Id="drId39" /><Relationship Type="http://schemas.openxmlformats.org/officeDocument/2006/relationships/image" Target="/word/media/image35.png" Id="drId40" /><Relationship Type="http://schemas.openxmlformats.org/officeDocument/2006/relationships/hyperlink" Target="http://pop&#345;.na" TargetMode="External" Id="drId41" /><Relationship Type="http://schemas.openxmlformats.org/officeDocument/2006/relationships/image" Target="/word/media/image36.png" Id="drId42" /><Relationship Type="http://schemas.openxmlformats.org/officeDocument/2006/relationships/image" Target="/word/media/image37.png" Id="drId43" /><Relationship Type="http://schemas.openxmlformats.org/officeDocument/2006/relationships/image" Target="/word/media/image38.png" Id="drId44" /><Relationship Type="http://schemas.openxmlformats.org/officeDocument/2006/relationships/image" Target="/word/media/image39.png" Id="drId45" /><Relationship Type="http://schemas.openxmlformats.org/officeDocument/2006/relationships/image" Target="/word/media/image40.png" Id="drId46" /><Relationship Type="http://schemas.openxmlformats.org/officeDocument/2006/relationships/image" Target="/word/media/image41.png" Id="drId47" /><Relationship Type="http://schemas.openxmlformats.org/officeDocument/2006/relationships/image" Target="/word/media/image42.png" Id="drId48" /><Relationship Type="http://schemas.openxmlformats.org/officeDocument/2006/relationships/image" Target="/word/media/image43.png" Id="drId49" /><Relationship Type="http://schemas.openxmlformats.org/officeDocument/2006/relationships/image" Target="/word/media/image44.png" Id="drId50" /><Relationship Type="http://schemas.openxmlformats.org/officeDocument/2006/relationships/image" Target="/word/media/image45.png" Id="drId51" /><Relationship Type="http://schemas.openxmlformats.org/officeDocument/2006/relationships/image" Target="/word/media/image46.png" Id="drId52" /><Relationship Type="http://schemas.openxmlformats.org/officeDocument/2006/relationships/image" Target="/word/media/image47.png" Id="drId53" /><Relationship Type="http://schemas.openxmlformats.org/officeDocument/2006/relationships/image" Target="/word/media/image48.png" Id="drId54" /><Relationship Type="http://schemas.openxmlformats.org/officeDocument/2006/relationships/image" Target="/word/media/image49.png" Id="drId55" /><Relationship Type="http://schemas.openxmlformats.org/officeDocument/2006/relationships/image" Target="/word/media/image50.png" Id="drId56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3" /></Relationships>
</file>