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8E" w:rsidRDefault="0069327D">
      <w:pPr>
        <w:pStyle w:val="Zkladntext1"/>
        <w:shd w:val="clear" w:color="auto" w:fill="auto"/>
        <w:spacing w:after="760"/>
        <w:jc w:val="left"/>
      </w:pPr>
      <w:r>
        <w:rPr>
          <w:color w:val="561E36"/>
        </w:rPr>
        <w:t xml:space="preserve">Smlouva o dílo:: </w:t>
      </w:r>
      <w:r>
        <w:t>VÚRV - Informační systém pro evidenci a zpracování výsledků vědy a výzkumu</w:t>
      </w:r>
    </w:p>
    <w:p w:rsidR="00312C8E" w:rsidRDefault="0069327D">
      <w:pPr>
        <w:pStyle w:val="Jin0"/>
        <w:pBdr>
          <w:bottom w:val="single" w:sz="4" w:space="0" w:color="auto"/>
        </w:pBdr>
        <w:shd w:val="clear" w:color="auto" w:fill="auto"/>
        <w:spacing w:after="0"/>
        <w:ind w:right="1620"/>
        <w:jc w:val="left"/>
        <w:rPr>
          <w:sz w:val="36"/>
          <w:szCs w:val="36"/>
        </w:rPr>
      </w:pPr>
      <w:r>
        <w:rPr>
          <w:b/>
          <w:bCs/>
          <w:color w:val="561E36"/>
          <w:sz w:val="28"/>
          <w:szCs w:val="28"/>
        </w:rPr>
        <w:t xml:space="preserve">Smlouva o dílo: </w:t>
      </w:r>
      <w:r>
        <w:rPr>
          <w:sz w:val="36"/>
          <w:szCs w:val="36"/>
        </w:rPr>
        <w:t>Informační systému pro evidenci a zpracování výsledků vědy a výzkumu</w:t>
      </w:r>
    </w:p>
    <w:p w:rsidR="00312C8E" w:rsidRDefault="0069327D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30175" distB="0" distL="114300" distR="2997835" simplePos="0" relativeHeight="125829378" behindDoc="0" locked="0" layoutInCell="1" allowOverlap="1">
                <wp:simplePos x="0" y="0"/>
                <wp:positionH relativeFrom="page">
                  <wp:posOffset>1189355</wp:posOffset>
                </wp:positionH>
                <wp:positionV relativeFrom="paragraph">
                  <wp:posOffset>139065</wp:posOffset>
                </wp:positionV>
                <wp:extent cx="2282825" cy="299021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825" cy="2990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2C8E" w:rsidRDefault="0069327D">
                            <w:pPr>
                              <w:pStyle w:val="Zkladntext1"/>
                              <w:shd w:val="clear" w:color="auto" w:fill="auto"/>
                              <w:spacing w:after="540"/>
                              <w:jc w:val="left"/>
                            </w:pPr>
                            <w:r>
                              <w:t>číslo smlouvy Zhotovitele: SD-001/21</w:t>
                            </w:r>
                          </w:p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30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Smluvní strany:</w:t>
                            </w:r>
                          </w:p>
                          <w:p w:rsidR="00312C8E" w:rsidRDefault="0069327D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100"/>
                            </w:pPr>
                            <w:bookmarkStart w:id="0" w:name="bookmark0"/>
                            <w:r>
                              <w:t>DERS s. r. o.</w:t>
                            </w:r>
                            <w:bookmarkEnd w:id="0"/>
                          </w:p>
                          <w:p w:rsidR="00312C8E" w:rsidRDefault="0069327D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 xml:space="preserve">sídlo: </w:t>
                            </w:r>
                            <w:r>
                              <w:t>Polákova 737/1, 500 02 Hradec Králové</w:t>
                            </w:r>
                          </w:p>
                          <w:p w:rsidR="00312C8E" w:rsidRDefault="0069327D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IČ25924362</w:t>
                            </w:r>
                          </w:p>
                          <w:p w:rsidR="00312C8E" w:rsidRDefault="0069327D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DIČ: CZ25924362</w:t>
                            </w:r>
                          </w:p>
                          <w:p w:rsidR="00312C8E" w:rsidRDefault="0069327D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zapsaný: Krajský soud v Hradci Králové, oddíl C, vložka 14855</w:t>
                            </w:r>
                          </w:p>
                          <w:p w:rsidR="00312C8E" w:rsidRDefault="0069327D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ID datové schránky: acayn8g</w:t>
                            </w:r>
                          </w:p>
                          <w:p w:rsidR="00312C8E" w:rsidRDefault="0069327D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Číslo účtu: 2102055167/2700</w:t>
                            </w:r>
                          </w:p>
                          <w:p w:rsidR="00312C8E" w:rsidRDefault="0069327D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zástupce: Ing. Jan Mach, jednatel</w:t>
                            </w:r>
                          </w:p>
                          <w:p w:rsidR="00312C8E" w:rsidRDefault="0069327D">
                            <w:pPr>
                              <w:pStyle w:val="Zkladntext20"/>
                              <w:shd w:val="clear" w:color="auto" w:fill="auto"/>
                              <w:spacing w:after="100" w:line="262" w:lineRule="auto"/>
                              <w:ind w:left="120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  <w:t xml:space="preserve">(dále jen </w:t>
                            </w:r>
                            <w:r>
                              <w:rPr>
                                <w:b/>
                                <w:bCs/>
                              </w:rPr>
                              <w:t>„Zhotovitel")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3.650000000000006pt;margin-top:10.949999999999999pt;width:179.75pt;height:235.44999999999999pt;z-index:-125829375;mso-wrap-distance-left:9.pt;mso-wrap-distance-top:10.25pt;mso-wrap-distance-right:236.0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smlouvy Zhotovitele: SD-001/21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Smluvní strany:</w:t>
                      </w:r>
                    </w:p>
                    <w:p>
                      <w:pPr>
                        <w:pStyle w:val="Style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DERS s. r. o.</w:t>
                      </w:r>
                      <w:bookmarkEnd w:id="0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 Polákova 737/1, 500 02 Hradec Králové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IČ25924362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CZ25924362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zapsaný: Krajský soud v Hradci Králové, oddíl C, vložka 14855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ID datové schránky: acayn8g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 2102055167/2700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zástupce: Ing. Jan Mach, jednatel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62" w:lineRule="auto"/>
                        <w:ind w:left="120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(dále jen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„Zhotovitel")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910" distB="2905125" distL="4354195" distR="601980" simplePos="0" relativeHeight="125829380" behindDoc="0" locked="0" layoutInCell="1" allowOverlap="1">
                <wp:simplePos x="0" y="0"/>
                <wp:positionH relativeFrom="page">
                  <wp:posOffset>5429250</wp:posOffset>
                </wp:positionH>
                <wp:positionV relativeFrom="paragraph">
                  <wp:posOffset>50800</wp:posOffset>
                </wp:positionV>
                <wp:extent cx="438785" cy="16446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2C8E" w:rsidRDefault="0069327D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proofErr w:type="spellStart"/>
                            <w:r>
                              <w:rPr>
                                <w:color w:val="384AA6"/>
                              </w:rPr>
                              <w:t>yz</w:t>
                            </w:r>
                            <w:proofErr w:type="spellEnd"/>
                            <w:r>
                              <w:rPr>
                                <w:color w:val="384AA6"/>
                              </w:rPr>
                              <w:t>/ -7 /o z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27.5pt;margin-top:4.pt;width:34.549999999999997pt;height:12.949999999999999pt;z-index:-125829373;mso-wrap-distance-left:342.85000000000002pt;mso-wrap-distance-top:3.2999999999999998pt;mso-wrap-distance-right:47.399999999999999pt;mso-wrap-distance-bottom:228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384AA6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yz/ -7 /o 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0" distB="2819400" distL="2912110" distR="410210" simplePos="0" relativeHeight="125829382" behindDoc="0" locked="0" layoutInCell="1" allowOverlap="1">
                <wp:simplePos x="0" y="0"/>
                <wp:positionH relativeFrom="page">
                  <wp:posOffset>3987800</wp:posOffset>
                </wp:positionH>
                <wp:positionV relativeFrom="paragraph">
                  <wp:posOffset>135890</wp:posOffset>
                </wp:positionV>
                <wp:extent cx="2072640" cy="1644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2C8E" w:rsidRDefault="0069327D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číslo smlouvy </w:t>
                            </w:r>
                            <w:proofErr w:type="gramStart"/>
                            <w:r>
                              <w:t>Objednatele: ......</w:t>
                            </w:r>
                            <w:r>
                              <w:rPr>
                                <w:color w:val="1F467D"/>
                              </w:rPr>
                              <w:t>Z.Č/</w:t>
                            </w:r>
                            <w:proofErr w:type="gramEnd"/>
                            <w:r>
                              <w:rPr>
                                <w:color w:val="1F467D"/>
                              </w:rPr>
                              <w:t>.-</w:t>
                            </w:r>
                            <w:proofErr w:type="spellStart"/>
                            <w:r>
                              <w:rPr>
                                <w:color w:val="1F467D"/>
                              </w:rPr>
                              <w:t>ťr.tčČT</w:t>
                            </w:r>
                            <w:proofErr w:type="spellEnd"/>
                            <w:r>
                              <w:rPr>
                                <w:color w:val="1F467D"/>
                              </w:rPr>
                              <w:t>.;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14.pt;margin-top:10.699999999999999pt;width:163.19999999999999pt;height:12.949999999999999pt;z-index:-125829371;mso-wrap-distance-left:229.30000000000001pt;mso-wrap-distance-top:10.pt;mso-wrap-distance-right:32.299999999999997pt;mso-wrap-distance-bottom:222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smlouvy Objednatele: ......</w:t>
                      </w:r>
                      <w:r>
                        <w:rPr>
                          <w:color w:val="1F467D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Z.Č/.-ťr.tčČT.;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4095" distB="466725" distL="3025140" distR="114300" simplePos="0" relativeHeight="125829384" behindDoc="0" locked="0" layoutInCell="1" allowOverlap="1">
                <wp:simplePos x="0" y="0"/>
                <wp:positionH relativeFrom="page">
                  <wp:posOffset>4100195</wp:posOffset>
                </wp:positionH>
                <wp:positionV relativeFrom="paragraph">
                  <wp:posOffset>1022985</wp:posOffset>
                </wp:positionV>
                <wp:extent cx="2255520" cy="163068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630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2C8E" w:rsidRDefault="0069327D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40"/>
                            </w:pPr>
                            <w:bookmarkStart w:id="1" w:name="bookmark1"/>
                            <w:r>
                              <w:t xml:space="preserve">Výzkumný ústav rostlinné výroby,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  <w:bookmarkEnd w:id="1"/>
                          </w:p>
                          <w:p w:rsidR="00312C8E" w:rsidRDefault="0069327D">
                            <w:pPr>
                              <w:pStyle w:val="Zkladntext20"/>
                              <w:shd w:val="clear" w:color="auto" w:fill="auto"/>
                              <w:spacing w:line="300" w:lineRule="auto"/>
                              <w:jc w:val="left"/>
                            </w:pPr>
                            <w:r>
                              <w:t>Adresa: Drnovská 507/73,161 06 Praha 6 -</w:t>
                            </w:r>
                          </w:p>
                          <w:p w:rsidR="00312C8E" w:rsidRDefault="0069327D">
                            <w:pPr>
                              <w:pStyle w:val="Zkladntext20"/>
                              <w:shd w:val="clear" w:color="auto" w:fill="auto"/>
                              <w:spacing w:line="300" w:lineRule="auto"/>
                              <w:jc w:val="left"/>
                            </w:pPr>
                            <w:r>
                              <w:t>Ruzyně</w:t>
                            </w:r>
                          </w:p>
                          <w:p w:rsidR="00312C8E" w:rsidRDefault="0069327D">
                            <w:pPr>
                              <w:pStyle w:val="Zkladntext20"/>
                              <w:shd w:val="clear" w:color="auto" w:fill="auto"/>
                              <w:spacing w:line="300" w:lineRule="auto"/>
                              <w:jc w:val="left"/>
                            </w:pPr>
                            <w:r>
                              <w:t>1Č: 00027006,</w:t>
                            </w:r>
                          </w:p>
                          <w:p w:rsidR="00312C8E" w:rsidRDefault="0069327D">
                            <w:pPr>
                              <w:pStyle w:val="Zkladntext20"/>
                              <w:shd w:val="clear" w:color="auto" w:fill="auto"/>
                              <w:spacing w:line="300" w:lineRule="auto"/>
                              <w:jc w:val="left"/>
                            </w:pPr>
                            <w:r>
                              <w:t>DIČ: CZ00027006</w:t>
                            </w:r>
                          </w:p>
                          <w:p w:rsidR="00312C8E" w:rsidRDefault="0069327D">
                            <w:pPr>
                              <w:pStyle w:val="Zkladntext20"/>
                              <w:shd w:val="clear" w:color="auto" w:fill="auto"/>
                              <w:spacing w:line="300" w:lineRule="auto"/>
                              <w:jc w:val="left"/>
                            </w:pPr>
                            <w:r>
                              <w:t>zástupce: Ing. František Brožík, pověřený řízením instituce (dále jen „Objednatel")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2.85000000000002pt;margin-top:80.549999999999997pt;width:177.59999999999999pt;height:128.40000000000001pt;z-index:-125829369;mso-wrap-distance-left:238.19999999999999pt;mso-wrap-distance-top:79.849999999999994pt;mso-wrap-distance-right:9.pt;mso-wrap-distance-bottom:36.7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Výzkumný ústav rostlinné výroby, v.v.i.</w:t>
                      </w:r>
                      <w:bookmarkEnd w:id="1"/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Adresa: Drnovská 507/73,161 06 Praha 6 -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Ruzyně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1Č: 00027006,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CZ00027006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zástupce: Ing. František Brožík, pověřený řízením instituce (dále jen „Objednatel")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2C8E" w:rsidRDefault="0069327D">
      <w:pPr>
        <w:pStyle w:val="Zkladntext1"/>
        <w:shd w:val="clear" w:color="auto" w:fill="auto"/>
        <w:spacing w:after="660"/>
        <w:ind w:left="880"/>
        <w:jc w:val="left"/>
      </w:pPr>
      <w:r>
        <w:t>(Zhotovitel a Objednatel každý jednotlivě dále také jen „Smluvní strana" nebo společně „Smluvní strany")</w:t>
      </w:r>
    </w:p>
    <w:p w:rsidR="00312C8E" w:rsidRDefault="0069327D">
      <w:pPr>
        <w:pStyle w:val="Zkladntext1"/>
        <w:shd w:val="clear" w:color="auto" w:fill="auto"/>
        <w:spacing w:after="220"/>
        <w:ind w:left="980"/>
        <w:jc w:val="left"/>
      </w:pPr>
      <w:r>
        <w:t>uzavírají dle § 2586 a násl. zákona č. 89/2012 Sb., občanský zákoník, (dále jen „občanský zákoník") tuto</w:t>
      </w:r>
    </w:p>
    <w:p w:rsidR="00312C8E" w:rsidRDefault="0069327D">
      <w:pPr>
        <w:pStyle w:val="Nadpis30"/>
        <w:keepNext/>
        <w:keepLines/>
        <w:shd w:val="clear" w:color="auto" w:fill="auto"/>
        <w:spacing w:after="320" w:line="240" w:lineRule="auto"/>
        <w:ind w:left="0" w:right="340" w:firstLine="0"/>
        <w:jc w:val="center"/>
      </w:pPr>
      <w:bookmarkStart w:id="2" w:name="bookmark2"/>
      <w:r>
        <w:t>SMLOUVU O DÍLO</w:t>
      </w:r>
      <w:bookmarkEnd w:id="2"/>
    </w:p>
    <w:p w:rsidR="00312C8E" w:rsidRDefault="0069327D">
      <w:pPr>
        <w:pStyle w:val="Zkladntext1"/>
        <w:shd w:val="clear" w:color="auto" w:fill="auto"/>
        <w:spacing w:after="1100"/>
        <w:ind w:left="4040"/>
        <w:jc w:val="left"/>
      </w:pPr>
      <w:r>
        <w:t>(dále jen „Smlouva")</w:t>
      </w:r>
    </w:p>
    <w:p w:rsidR="00312C8E" w:rsidRDefault="0069327D">
      <w:pPr>
        <w:pStyle w:val="Nadpis60"/>
        <w:keepNext/>
        <w:keepLines/>
        <w:shd w:val="clear" w:color="auto" w:fill="auto"/>
        <w:spacing w:after="480"/>
        <w:ind w:left="380" w:firstLine="20"/>
        <w:jc w:val="both"/>
      </w:pPr>
      <w:bookmarkStart w:id="3" w:name="bookmark3"/>
      <w:r>
        <w:t xml:space="preserve">Tato </w:t>
      </w:r>
      <w:r>
        <w:t xml:space="preserve">smlouva se uzavírá k realizaci veřejné zakázky Objednatele „Informační systém pro evidenci a zpracování výsledků vědy a výzkumu pro 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Praha - Ruzyně II."</w:t>
      </w:r>
      <w:bookmarkEnd w:id="3"/>
    </w:p>
    <w:p w:rsidR="00312C8E" w:rsidRDefault="0069327D">
      <w:pPr>
        <w:pStyle w:val="Zkladntext30"/>
        <w:pBdr>
          <w:bottom w:val="single" w:sz="4" w:space="0" w:color="auto"/>
        </w:pBdr>
        <w:shd w:val="clear" w:color="auto" w:fill="auto"/>
        <w:spacing w:after="220"/>
        <w:ind w:left="860" w:hanging="50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 PŘEDMĚT SMLOUVY</w:t>
      </w:r>
    </w:p>
    <w:p w:rsidR="00312C8E" w:rsidRDefault="0069327D">
      <w:pPr>
        <w:pStyle w:val="Zkladntext1"/>
        <w:numPr>
          <w:ilvl w:val="0"/>
          <w:numId w:val="1"/>
        </w:numPr>
        <w:shd w:val="clear" w:color="auto" w:fill="auto"/>
        <w:tabs>
          <w:tab w:val="left" w:pos="921"/>
        </w:tabs>
        <w:spacing w:line="233" w:lineRule="auto"/>
        <w:ind w:left="860" w:hanging="500"/>
      </w:pPr>
      <w:r>
        <w:t>Zhotovitel se zavazuje pro Objednatele dodat in</w:t>
      </w:r>
      <w:r>
        <w:t>formační systém pro evidenci a zpracování výsledků vědy a výzkumu:</w:t>
      </w:r>
    </w:p>
    <w:p w:rsidR="00312C8E" w:rsidRDefault="0069327D">
      <w:pPr>
        <w:pStyle w:val="Zkladntext1"/>
        <w:numPr>
          <w:ilvl w:val="0"/>
          <w:numId w:val="2"/>
        </w:numPr>
        <w:shd w:val="clear" w:color="auto" w:fill="auto"/>
        <w:tabs>
          <w:tab w:val="left" w:pos="935"/>
        </w:tabs>
        <w:spacing w:after="0" w:line="228" w:lineRule="auto"/>
        <w:ind w:left="1020" w:hanging="320"/>
        <w:jc w:val="left"/>
      </w:pPr>
      <w:r>
        <w:t xml:space="preserve">MODUL A: Dodání softwarového systému evidence výsledků a výstupů, aktivit a projektů pro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., pořízení licencí,</w:t>
      </w:r>
    </w:p>
    <w:p w:rsidR="00312C8E" w:rsidRDefault="0069327D">
      <w:pPr>
        <w:pStyle w:val="Zkladntext1"/>
        <w:numPr>
          <w:ilvl w:val="0"/>
          <w:numId w:val="2"/>
        </w:numPr>
        <w:shd w:val="clear" w:color="auto" w:fill="auto"/>
        <w:tabs>
          <w:tab w:val="left" w:pos="935"/>
        </w:tabs>
        <w:spacing w:after="0" w:line="233" w:lineRule="auto"/>
        <w:ind w:left="1020" w:hanging="320"/>
        <w:jc w:val="left"/>
      </w:pPr>
      <w:r>
        <w:lastRenderedPageBreak/>
        <w:t xml:space="preserve">MODUL B: jednorázová migrace dat do nového systému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.., </w:t>
      </w:r>
      <w:r>
        <w:t>proškolení uživatelů v sídle Objednatele - nejméně 5 osob,</w:t>
      </w:r>
    </w:p>
    <w:p w:rsidR="00312C8E" w:rsidRDefault="0069327D">
      <w:pPr>
        <w:pStyle w:val="Zkladntext1"/>
        <w:numPr>
          <w:ilvl w:val="0"/>
          <w:numId w:val="2"/>
        </w:numPr>
        <w:shd w:val="clear" w:color="auto" w:fill="auto"/>
        <w:tabs>
          <w:tab w:val="left" w:pos="935"/>
        </w:tabs>
        <w:spacing w:line="233" w:lineRule="auto"/>
        <w:ind w:left="680" w:firstLine="20"/>
      </w:pPr>
      <w:r>
        <w:t>MODUL C: Podpora a údržba systému po dobu 4 let od plného zprovoznění.</w:t>
      </w:r>
    </w:p>
    <w:p w:rsidR="00312C8E" w:rsidRDefault="0069327D">
      <w:pPr>
        <w:pStyle w:val="Zkladntext1"/>
        <w:shd w:val="clear" w:color="auto" w:fill="auto"/>
        <w:spacing w:after="340" w:line="228" w:lineRule="auto"/>
        <w:ind w:left="680" w:firstLine="20"/>
      </w:pPr>
      <w:r>
        <w:t>(dále jen „Dílo") a Objednatel se zavazuje uhradit Zhotoviteli cenu za jeho vytvoření, to vše za podmínek uvedených v této Sml</w:t>
      </w:r>
      <w:r>
        <w:t>ouvě.</w:t>
      </w:r>
    </w:p>
    <w:p w:rsidR="00312C8E" w:rsidRDefault="0069327D">
      <w:pPr>
        <w:pStyle w:val="Nadpis50"/>
        <w:keepNext/>
        <w:keepLines/>
        <w:numPr>
          <w:ilvl w:val="0"/>
          <w:numId w:val="3"/>
        </w:numPr>
        <w:pBdr>
          <w:bottom w:val="single" w:sz="4" w:space="0" w:color="auto"/>
        </w:pBdr>
        <w:shd w:val="clear" w:color="auto" w:fill="auto"/>
        <w:tabs>
          <w:tab w:val="left" w:pos="754"/>
        </w:tabs>
        <w:spacing w:after="220"/>
        <w:ind w:left="860" w:hanging="500"/>
      </w:pPr>
      <w:bookmarkStart w:id="4" w:name="bookmark4"/>
      <w:r>
        <w:t>Závazky Zhotovitele</w:t>
      </w:r>
      <w:bookmarkEnd w:id="4"/>
    </w:p>
    <w:p w:rsidR="00312C8E" w:rsidRDefault="0069327D">
      <w:pPr>
        <w:pStyle w:val="Zkladntext1"/>
        <w:numPr>
          <w:ilvl w:val="0"/>
          <w:numId w:val="4"/>
        </w:numPr>
        <w:shd w:val="clear" w:color="auto" w:fill="auto"/>
        <w:tabs>
          <w:tab w:val="left" w:pos="754"/>
        </w:tabs>
        <w:spacing w:after="140"/>
        <w:ind w:left="860" w:hanging="500"/>
      </w:pPr>
      <w:r>
        <w:t>Zhotovitel se zavazuje provést veškeré činnosti stanovené v níže uvedených dokumentech, a zaručuje, že činnosti prováděné z jeho strany a vytvořené Dílo podle této Smlouvy budou odpovídat:</w:t>
      </w:r>
    </w:p>
    <w:p w:rsidR="00312C8E" w:rsidRDefault="0069327D">
      <w:pPr>
        <w:pStyle w:val="Zkladntext1"/>
        <w:numPr>
          <w:ilvl w:val="0"/>
          <w:numId w:val="2"/>
        </w:numPr>
        <w:shd w:val="clear" w:color="auto" w:fill="auto"/>
        <w:tabs>
          <w:tab w:val="left" w:pos="1397"/>
        </w:tabs>
        <w:ind w:left="1400" w:hanging="380"/>
        <w:jc w:val="left"/>
      </w:pPr>
      <w:r>
        <w:t>zadávací dokumentaci veřejné zakázky (pří</w:t>
      </w:r>
      <w:r>
        <w:t xml:space="preserve">loha č. 3 </w:t>
      </w:r>
      <w:proofErr w:type="gramStart"/>
      <w:r>
        <w:t>této</w:t>
      </w:r>
      <w:proofErr w:type="gramEnd"/>
      <w:r>
        <w:t xml:space="preserve"> smlouvy) - dále jen „Zadávací dokumentace",</w:t>
      </w:r>
    </w:p>
    <w:p w:rsidR="00312C8E" w:rsidRDefault="0069327D">
      <w:pPr>
        <w:pStyle w:val="Zkladntext1"/>
        <w:numPr>
          <w:ilvl w:val="0"/>
          <w:numId w:val="2"/>
        </w:numPr>
        <w:shd w:val="clear" w:color="auto" w:fill="auto"/>
        <w:tabs>
          <w:tab w:val="left" w:pos="1397"/>
        </w:tabs>
        <w:ind w:left="1400" w:hanging="380"/>
        <w:jc w:val="left"/>
      </w:pPr>
      <w:r>
        <w:t xml:space="preserve">nabídka Zhotovitele (příloha č. 4 </w:t>
      </w:r>
      <w:proofErr w:type="gramStart"/>
      <w:r>
        <w:t>této</w:t>
      </w:r>
      <w:proofErr w:type="gramEnd"/>
      <w:r>
        <w:t xml:space="preserve"> smlouvy) - dále jen „Nabídka",</w:t>
      </w:r>
    </w:p>
    <w:p w:rsidR="00312C8E" w:rsidRDefault="0069327D">
      <w:pPr>
        <w:pStyle w:val="Zkladntext1"/>
        <w:numPr>
          <w:ilvl w:val="0"/>
          <w:numId w:val="2"/>
        </w:numPr>
        <w:shd w:val="clear" w:color="auto" w:fill="auto"/>
        <w:tabs>
          <w:tab w:val="left" w:pos="1397"/>
        </w:tabs>
        <w:ind w:left="1400" w:hanging="380"/>
        <w:jc w:val="left"/>
      </w:pPr>
      <w:r>
        <w:t>této smlouvě,</w:t>
      </w:r>
    </w:p>
    <w:p w:rsidR="00312C8E" w:rsidRDefault="0069327D">
      <w:pPr>
        <w:pStyle w:val="Zkladntext1"/>
        <w:numPr>
          <w:ilvl w:val="0"/>
          <w:numId w:val="2"/>
        </w:numPr>
        <w:shd w:val="clear" w:color="auto" w:fill="auto"/>
        <w:tabs>
          <w:tab w:val="left" w:pos="1397"/>
        </w:tabs>
        <w:spacing w:after="60"/>
        <w:ind w:left="1400" w:hanging="380"/>
        <w:jc w:val="left"/>
      </w:pPr>
      <w:r>
        <w:t>všeobecně uznávanému standardu.</w:t>
      </w:r>
    </w:p>
    <w:p w:rsidR="00312C8E" w:rsidRDefault="0069327D">
      <w:pPr>
        <w:pStyle w:val="Zkladntext1"/>
        <w:shd w:val="clear" w:color="auto" w:fill="auto"/>
        <w:ind w:left="860" w:firstLine="20"/>
      </w:pPr>
      <w:r>
        <w:t xml:space="preserve">V případě rozporu či pochybností se má za to, že se Zhotovitel mínil zavázat ve </w:t>
      </w:r>
      <w:r>
        <w:t>větším rozsahu a/nebo vyšší kvalitě a/nebo dřívějšímu termínu plnění.</w:t>
      </w:r>
    </w:p>
    <w:p w:rsidR="00312C8E" w:rsidRDefault="0069327D">
      <w:pPr>
        <w:pStyle w:val="Zkladntext1"/>
        <w:numPr>
          <w:ilvl w:val="0"/>
          <w:numId w:val="4"/>
        </w:numPr>
        <w:shd w:val="clear" w:color="auto" w:fill="auto"/>
        <w:tabs>
          <w:tab w:val="left" w:pos="921"/>
        </w:tabs>
        <w:ind w:left="860" w:hanging="500"/>
      </w:pPr>
      <w:r>
        <w:t>Zhotovitel se zavazuje, že jeho zaměstnanci budou při plnění předmětu Smlouvy na pracovištích Objednatele dodržovat vnitřní normy a vnitřní předpisy Objednatele, se kterými je Objednatel</w:t>
      </w:r>
      <w:r>
        <w:t xml:space="preserve"> seznámí.</w:t>
      </w:r>
    </w:p>
    <w:p w:rsidR="00312C8E" w:rsidRDefault="0069327D">
      <w:pPr>
        <w:pStyle w:val="Zkladntext1"/>
        <w:numPr>
          <w:ilvl w:val="0"/>
          <w:numId w:val="4"/>
        </w:numPr>
        <w:shd w:val="clear" w:color="auto" w:fill="auto"/>
        <w:tabs>
          <w:tab w:val="left" w:pos="921"/>
        </w:tabs>
        <w:ind w:left="860" w:hanging="500"/>
      </w:pPr>
      <w:r>
        <w:t>Zhotovitel odpovídá za časové a obsahové plnění této Smlouvy, pokud Objednatel včas splní své závazky dle této Smlouvy, zejména závazky uvedené v kapitole III.</w:t>
      </w:r>
    </w:p>
    <w:p w:rsidR="00312C8E" w:rsidRDefault="0069327D">
      <w:pPr>
        <w:pStyle w:val="Zkladntext1"/>
        <w:numPr>
          <w:ilvl w:val="0"/>
          <w:numId w:val="4"/>
        </w:numPr>
        <w:shd w:val="clear" w:color="auto" w:fill="auto"/>
        <w:tabs>
          <w:tab w:val="left" w:pos="921"/>
        </w:tabs>
        <w:spacing w:after="140"/>
        <w:ind w:left="860" w:hanging="500"/>
      </w:pPr>
      <w:r>
        <w:t>Zhotovitel odpovídá od data převzetí Díla jako celku nebo jeho části Objednatelem po d</w:t>
      </w:r>
      <w:r>
        <w:t>obu 24 měsíců za to, že Dílo nebo jeho část bude vykonávat funkce, které jsou uvedeny v příloze č. 1 této Smlouvy. Záruční doba běží od předání Díla jako celku či předání jednotlivých částí Díla vždy pro každou předanou část Díla samostatně. Záruka se nevz</w:t>
      </w:r>
      <w:r>
        <w:t>tahuje na případy, kdy vada byla způsobena:</w:t>
      </w:r>
    </w:p>
    <w:p w:rsidR="00312C8E" w:rsidRDefault="0069327D">
      <w:pPr>
        <w:pStyle w:val="Zkladntext1"/>
        <w:numPr>
          <w:ilvl w:val="0"/>
          <w:numId w:val="2"/>
        </w:numPr>
        <w:shd w:val="clear" w:color="auto" w:fill="auto"/>
        <w:tabs>
          <w:tab w:val="left" w:pos="1397"/>
        </w:tabs>
        <w:ind w:left="1400" w:hanging="380"/>
        <w:jc w:val="left"/>
      </w:pPr>
      <w:r>
        <w:t>z důvodu průkazně zkreslených informací ze strany Objednatele předaných Objednatelem při uzavření smlouvy či v průběhu provádění díla, nebo</w:t>
      </w:r>
    </w:p>
    <w:p w:rsidR="00312C8E" w:rsidRDefault="0069327D">
      <w:pPr>
        <w:pStyle w:val="Zkladntext1"/>
        <w:numPr>
          <w:ilvl w:val="0"/>
          <w:numId w:val="2"/>
        </w:numPr>
        <w:shd w:val="clear" w:color="auto" w:fill="auto"/>
        <w:tabs>
          <w:tab w:val="left" w:pos="1397"/>
        </w:tabs>
        <w:ind w:left="1400" w:hanging="380"/>
        <w:jc w:val="left"/>
      </w:pPr>
      <w:r>
        <w:t xml:space="preserve">použitím hardwarových a softwarových prostředků nevyhovujícím podmínkám </w:t>
      </w:r>
      <w:r>
        <w:t>pro běh uvedeným v Nabídce Zhotovitele nebo písemné specifikaci Zhotovitele, nebo</w:t>
      </w:r>
    </w:p>
    <w:p w:rsidR="00312C8E" w:rsidRDefault="0069327D">
      <w:pPr>
        <w:pStyle w:val="Zkladntext1"/>
        <w:numPr>
          <w:ilvl w:val="0"/>
          <w:numId w:val="2"/>
        </w:numPr>
        <w:shd w:val="clear" w:color="auto" w:fill="auto"/>
        <w:tabs>
          <w:tab w:val="left" w:pos="1397"/>
        </w:tabs>
        <w:ind w:left="1400" w:hanging="380"/>
        <w:jc w:val="left"/>
      </w:pPr>
      <w:r>
        <w:t>úpravou Díla Objednatelem nebo třetí stranou, nejde-li o úpravu písemně schválenou Zhotovitelem nebo</w:t>
      </w:r>
    </w:p>
    <w:p w:rsidR="00312C8E" w:rsidRDefault="0069327D">
      <w:pPr>
        <w:pStyle w:val="Zkladntext1"/>
        <w:numPr>
          <w:ilvl w:val="0"/>
          <w:numId w:val="2"/>
        </w:numPr>
        <w:shd w:val="clear" w:color="auto" w:fill="auto"/>
        <w:tabs>
          <w:tab w:val="left" w:pos="1397"/>
        </w:tabs>
        <w:spacing w:after="60"/>
        <w:ind w:left="1400" w:hanging="380"/>
        <w:jc w:val="left"/>
      </w:pPr>
      <w:r>
        <w:t>změnou funkcionality či konfigurace použitých či jinak napojených hardwar</w:t>
      </w:r>
      <w:r>
        <w:t>e (dále jen „HW") a software (dále jen „SW") prostředků třetích stran, pokud toto nebylo dříve písemně odsouhlaseno Zhotovitelem.</w:t>
      </w:r>
    </w:p>
    <w:p w:rsidR="00312C8E" w:rsidRDefault="0069327D">
      <w:pPr>
        <w:pStyle w:val="Zkladntext1"/>
        <w:numPr>
          <w:ilvl w:val="0"/>
          <w:numId w:val="4"/>
        </w:numPr>
        <w:shd w:val="clear" w:color="auto" w:fill="auto"/>
        <w:tabs>
          <w:tab w:val="left" w:pos="921"/>
        </w:tabs>
        <w:ind w:left="860" w:hanging="500"/>
      </w:pPr>
      <w:r>
        <w:t xml:space="preserve">Podmínky záruční podpory jsou uvedeny v Příloze č. 2 </w:t>
      </w:r>
      <w:proofErr w:type="gramStart"/>
      <w:r>
        <w:t>této</w:t>
      </w:r>
      <w:proofErr w:type="gramEnd"/>
      <w:r>
        <w:t xml:space="preserve"> Smlouvy.</w:t>
      </w:r>
    </w:p>
    <w:p w:rsidR="00312C8E" w:rsidRDefault="0069327D">
      <w:pPr>
        <w:pStyle w:val="Zkladntext1"/>
        <w:numPr>
          <w:ilvl w:val="0"/>
          <w:numId w:val="4"/>
        </w:numPr>
        <w:shd w:val="clear" w:color="auto" w:fill="auto"/>
        <w:tabs>
          <w:tab w:val="left" w:pos="921"/>
        </w:tabs>
        <w:ind w:left="860" w:hanging="500"/>
      </w:pPr>
      <w:r>
        <w:t>Zhotovitel neodpovídá za poruchy způsobené třetí stranou ne</w:t>
      </w:r>
      <w:r>
        <w:t>bo událostí, za kterou tato strana odpovídá, nebo za poruchy způsobené okolnostmi vylučujícími odpovědnost podle § 2913 Občanského zákoníku, s výjimkou závad v důsledku vad zabezpečení Díla.</w:t>
      </w:r>
    </w:p>
    <w:p w:rsidR="00312C8E" w:rsidRDefault="0069327D">
      <w:pPr>
        <w:pStyle w:val="Zkladntext1"/>
        <w:numPr>
          <w:ilvl w:val="0"/>
          <w:numId w:val="4"/>
        </w:numPr>
        <w:shd w:val="clear" w:color="auto" w:fill="auto"/>
        <w:tabs>
          <w:tab w:val="left" w:pos="921"/>
        </w:tabs>
        <w:ind w:left="860" w:hanging="500"/>
        <w:sectPr w:rsidR="00312C8E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908" w:right="1108" w:bottom="2290" w:left="1542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Zhotovitel neodpovídá za jakékoliv škody způsobené selháním Díla, pokud k němu došlo </w:t>
      </w:r>
      <w:r>
        <w:t>působením třetích osob, jimž umožní Objednatel k Dílu přístup, chybou nebo nedbalostí Objednatele, nevhodného používání Díla včetně jakýchkoliv úprav Díla, používání Díla způsobem, pro který není určen nebo příčin mimo Dílo (např. přerušení dodávky elektri</w:t>
      </w:r>
      <w:r>
        <w:t>cké energie).</w:t>
      </w:r>
    </w:p>
    <w:p w:rsidR="00312C8E" w:rsidRDefault="0069327D">
      <w:pPr>
        <w:pStyle w:val="Nadpis10"/>
        <w:keepNext/>
        <w:keepLines/>
        <w:shd w:val="clear" w:color="auto" w:fill="auto"/>
        <w:rPr>
          <w:sz w:val="58"/>
          <w:szCs w:val="58"/>
        </w:rPr>
      </w:pPr>
      <w:bookmarkStart w:id="5" w:name="bookmark5"/>
      <w:r>
        <w:rPr>
          <w:sz w:val="58"/>
          <w:szCs w:val="58"/>
        </w:rPr>
        <w:lastRenderedPageBreak/>
        <w:t>O</w:t>
      </w:r>
      <w:bookmarkEnd w:id="5"/>
    </w:p>
    <w:p w:rsidR="00312C8E" w:rsidRDefault="0069327D">
      <w:pPr>
        <w:pStyle w:val="Jin0"/>
        <w:shd w:val="clear" w:color="auto" w:fill="auto"/>
        <w:spacing w:after="540"/>
        <w:jc w:val="left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5972810</wp:posOffset>
                </wp:positionH>
                <wp:positionV relativeFrom="paragraph">
                  <wp:posOffset>12700</wp:posOffset>
                </wp:positionV>
                <wp:extent cx="862330" cy="19494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2C8E" w:rsidRDefault="0069327D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t>Smlouva o dílo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70.30000000000001pt;margin-top:1.pt;width:67.900000000000006pt;height:15.35pt;z-index:-125829367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o dílo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rPr>
          <w:sz w:val="24"/>
          <w:szCs w:val="24"/>
        </w:rPr>
        <w:t>ders</w:t>
      </w:r>
      <w:proofErr w:type="spellEnd"/>
    </w:p>
    <w:p w:rsidR="00312C8E" w:rsidRDefault="0069327D">
      <w:pPr>
        <w:pStyle w:val="Zkladntext1"/>
        <w:numPr>
          <w:ilvl w:val="0"/>
          <w:numId w:val="4"/>
        </w:numPr>
        <w:shd w:val="clear" w:color="auto" w:fill="auto"/>
        <w:tabs>
          <w:tab w:val="left" w:pos="888"/>
        </w:tabs>
        <w:ind w:left="880" w:hanging="500"/>
      </w:pPr>
      <w:r>
        <w:t xml:space="preserve">Zhotovitel se zavazuje zajistit, aby Dílo nemělo žádnou možnost nedokumentovaného přístupu (zejména </w:t>
      </w:r>
      <w:proofErr w:type="spellStart"/>
      <w:r>
        <w:t>backdoor</w:t>
      </w:r>
      <w:proofErr w:type="spellEnd"/>
      <w:r>
        <w:t xml:space="preserve"> a skryté přístupové účty).</w:t>
      </w:r>
    </w:p>
    <w:p w:rsidR="00312C8E" w:rsidRDefault="0069327D">
      <w:pPr>
        <w:pStyle w:val="Zkladntext1"/>
        <w:numPr>
          <w:ilvl w:val="0"/>
          <w:numId w:val="4"/>
        </w:numPr>
        <w:shd w:val="clear" w:color="auto" w:fill="auto"/>
        <w:tabs>
          <w:tab w:val="left" w:pos="888"/>
        </w:tabs>
        <w:spacing w:after="340"/>
        <w:ind w:left="880" w:hanging="500"/>
      </w:pPr>
      <w:r>
        <w:t xml:space="preserve">Zhotovitel se zavazuje poskytovat po sjednanou dobu podporu a údržbu systému za </w:t>
      </w:r>
      <w:r>
        <w:t xml:space="preserve">stejných podmínek, jako záruční podporu specifikovanou v příloze 2 </w:t>
      </w:r>
      <w:proofErr w:type="gramStart"/>
      <w:r>
        <w:t>této</w:t>
      </w:r>
      <w:proofErr w:type="gramEnd"/>
      <w:r>
        <w:t xml:space="preserve"> smlouvy.</w:t>
      </w:r>
    </w:p>
    <w:p w:rsidR="00312C8E" w:rsidRDefault="0069327D">
      <w:pPr>
        <w:pStyle w:val="Nadpis50"/>
        <w:keepNext/>
        <w:keepLines/>
        <w:numPr>
          <w:ilvl w:val="0"/>
          <w:numId w:val="3"/>
        </w:numPr>
        <w:pBdr>
          <w:bottom w:val="single" w:sz="4" w:space="0" w:color="auto"/>
        </w:pBdr>
        <w:shd w:val="clear" w:color="auto" w:fill="auto"/>
        <w:tabs>
          <w:tab w:val="left" w:pos="703"/>
        </w:tabs>
        <w:ind w:hanging="500"/>
      </w:pPr>
      <w:bookmarkStart w:id="6" w:name="bookmark6"/>
      <w:r>
        <w:t>Závazky Objednatele</w:t>
      </w:r>
      <w:bookmarkEnd w:id="6"/>
    </w:p>
    <w:p w:rsidR="00312C8E" w:rsidRDefault="0069327D">
      <w:pPr>
        <w:pStyle w:val="Zkladntext1"/>
        <w:numPr>
          <w:ilvl w:val="0"/>
          <w:numId w:val="5"/>
        </w:numPr>
        <w:shd w:val="clear" w:color="auto" w:fill="auto"/>
        <w:tabs>
          <w:tab w:val="left" w:pos="888"/>
        </w:tabs>
        <w:ind w:left="880" w:hanging="500"/>
      </w:pPr>
      <w:r>
        <w:t>Objednatel se touto Smlouvou zavazuje zaplatit Zhotoviteli za zhotovené Dílo cenu stanovenou v kapitole IX této Smlouvy.</w:t>
      </w:r>
    </w:p>
    <w:p w:rsidR="00312C8E" w:rsidRDefault="0069327D">
      <w:pPr>
        <w:pStyle w:val="Zkladntext1"/>
        <w:numPr>
          <w:ilvl w:val="0"/>
          <w:numId w:val="5"/>
        </w:numPr>
        <w:shd w:val="clear" w:color="auto" w:fill="auto"/>
        <w:tabs>
          <w:tab w:val="left" w:pos="888"/>
        </w:tabs>
        <w:spacing w:line="254" w:lineRule="auto"/>
        <w:ind w:left="880" w:hanging="500"/>
      </w:pPr>
      <w:r>
        <w:t xml:space="preserve">Pro úspěšný průběh realizace Díla </w:t>
      </w:r>
      <w:r>
        <w:t>se Objednatel zavazuje k poskytnutí součinnosti v nezbytném rozsahu. Součinnost Objednatele zahrnuje zejména:</w:t>
      </w:r>
    </w:p>
    <w:p w:rsidR="00312C8E" w:rsidRDefault="0069327D">
      <w:pPr>
        <w:pStyle w:val="Zkladntext1"/>
        <w:numPr>
          <w:ilvl w:val="0"/>
          <w:numId w:val="2"/>
        </w:numPr>
        <w:shd w:val="clear" w:color="auto" w:fill="auto"/>
        <w:tabs>
          <w:tab w:val="left" w:pos="1419"/>
        </w:tabs>
        <w:ind w:left="1400" w:hanging="360"/>
      </w:pPr>
      <w:r>
        <w:t>spolupráci na řízení prací, jmenování manažera projektu, případně i klíčového uživatele (konzultanta) s pravomocí rozhodovat ve všech záležitostec</w:t>
      </w:r>
      <w:r>
        <w:t>h týkajících se Díla dle této Smlouvy, odbornou kompetencí a přiměřenou pravidelnou časovou dispozicí dle dohody zástupců obou Smluvních stran,</w:t>
      </w:r>
    </w:p>
    <w:p w:rsidR="00312C8E" w:rsidRDefault="0069327D">
      <w:pPr>
        <w:pStyle w:val="Zkladntext1"/>
        <w:numPr>
          <w:ilvl w:val="0"/>
          <w:numId w:val="2"/>
        </w:numPr>
        <w:shd w:val="clear" w:color="auto" w:fill="auto"/>
        <w:tabs>
          <w:tab w:val="left" w:pos="1419"/>
        </w:tabs>
        <w:ind w:left="1400" w:hanging="360"/>
      </w:pPr>
      <w:r>
        <w:t>zajištění kompletní technické a uživatelské dokumentace HW a SW prostředků Objednatele a třetích stran v Díle po</w:t>
      </w:r>
      <w:r>
        <w:t>užitých či jinak napojených,</w:t>
      </w:r>
    </w:p>
    <w:p w:rsidR="00312C8E" w:rsidRDefault="0069327D">
      <w:pPr>
        <w:pStyle w:val="Zkladntext1"/>
        <w:numPr>
          <w:ilvl w:val="0"/>
          <w:numId w:val="2"/>
        </w:numPr>
        <w:shd w:val="clear" w:color="auto" w:fill="auto"/>
        <w:tabs>
          <w:tab w:val="left" w:pos="1419"/>
        </w:tabs>
        <w:ind w:left="1400" w:hanging="360"/>
      </w:pPr>
      <w:r>
        <w:t>vytvoření nezbytných organizačních a provozních podmínek na straně Objednatele pro všechny úkony předpokládané touto Smlouvou nebo s ní související,</w:t>
      </w:r>
    </w:p>
    <w:p w:rsidR="00312C8E" w:rsidRDefault="0069327D">
      <w:pPr>
        <w:pStyle w:val="Zkladntext1"/>
        <w:numPr>
          <w:ilvl w:val="0"/>
          <w:numId w:val="2"/>
        </w:numPr>
        <w:shd w:val="clear" w:color="auto" w:fill="auto"/>
        <w:tabs>
          <w:tab w:val="left" w:pos="1419"/>
        </w:tabs>
        <w:ind w:left="1400" w:hanging="360"/>
      </w:pPr>
      <w:r>
        <w:t>umožnění konzultací s budoucími faktickými uživateli a administrátory Díla u O</w:t>
      </w:r>
      <w:r>
        <w:t>bjednatele,</w:t>
      </w:r>
    </w:p>
    <w:p w:rsidR="00312C8E" w:rsidRDefault="0069327D">
      <w:pPr>
        <w:pStyle w:val="Zkladntext1"/>
        <w:numPr>
          <w:ilvl w:val="0"/>
          <w:numId w:val="2"/>
        </w:numPr>
        <w:shd w:val="clear" w:color="auto" w:fill="auto"/>
        <w:tabs>
          <w:tab w:val="left" w:pos="1419"/>
        </w:tabs>
        <w:ind w:left="1400" w:hanging="360"/>
      </w:pPr>
      <w:r>
        <w:t>spolupráci na přípravě testovacích scénářů a provádění a vyhodnocení testů Díla,</w:t>
      </w:r>
    </w:p>
    <w:p w:rsidR="00312C8E" w:rsidRDefault="0069327D">
      <w:pPr>
        <w:pStyle w:val="Zkladntext1"/>
        <w:numPr>
          <w:ilvl w:val="0"/>
          <w:numId w:val="2"/>
        </w:numPr>
        <w:shd w:val="clear" w:color="auto" w:fill="auto"/>
        <w:tabs>
          <w:tab w:val="left" w:pos="1419"/>
        </w:tabs>
        <w:ind w:left="1400" w:hanging="360"/>
      </w:pPr>
      <w:r>
        <w:t>organizační a technické zabezpečení školení faktických uživatelů a zajištění jejich účasti na tomto školení,</w:t>
      </w:r>
    </w:p>
    <w:p w:rsidR="00312C8E" w:rsidRDefault="0069327D">
      <w:pPr>
        <w:pStyle w:val="Zkladntext1"/>
        <w:numPr>
          <w:ilvl w:val="0"/>
          <w:numId w:val="2"/>
        </w:numPr>
        <w:shd w:val="clear" w:color="auto" w:fill="auto"/>
        <w:tabs>
          <w:tab w:val="left" w:pos="1419"/>
        </w:tabs>
        <w:ind w:left="1400" w:hanging="360"/>
      </w:pPr>
      <w:r>
        <w:t>spolupráci při předání a akceptaci Díla dle kapitoly V</w:t>
      </w:r>
      <w:r>
        <w:t>lil.</w:t>
      </w:r>
    </w:p>
    <w:p w:rsidR="00312C8E" w:rsidRDefault="0069327D">
      <w:pPr>
        <w:pStyle w:val="Zkladntext1"/>
        <w:numPr>
          <w:ilvl w:val="0"/>
          <w:numId w:val="5"/>
        </w:numPr>
        <w:shd w:val="clear" w:color="auto" w:fill="auto"/>
        <w:tabs>
          <w:tab w:val="left" w:pos="888"/>
        </w:tabs>
        <w:ind w:left="880" w:hanging="500"/>
      </w:pPr>
      <w:r>
        <w:t>Objednatel připraví či umožní vytvoření validačního/testovacího prostředí HW + SW, které bude svými vlastnostmi a nastavením odpovídat produkčnímu prostředí, na kterém bude Objednatel dílo provozovat, v termínu určeném Zhotovitelem.</w:t>
      </w:r>
    </w:p>
    <w:p w:rsidR="00312C8E" w:rsidRDefault="0069327D">
      <w:pPr>
        <w:pStyle w:val="Zkladntext1"/>
        <w:numPr>
          <w:ilvl w:val="0"/>
          <w:numId w:val="5"/>
        </w:numPr>
        <w:shd w:val="clear" w:color="auto" w:fill="auto"/>
        <w:tabs>
          <w:tab w:val="left" w:pos="888"/>
        </w:tabs>
        <w:ind w:left="880" w:hanging="500"/>
      </w:pPr>
      <w:r>
        <w:t>Pro činnosti, kter</w:t>
      </w:r>
      <w:r>
        <w:t>é bude Zhotovitel provádět na pracovištích Objednatele, vytvoří Objednatel pro Zhotovitele v termínu určeném Zhotovitelem potřebné pracovní podmínky (zejména pracovní stůl a připojení do počítačové sítě) a předem seznámí Zhotovitele se všemi vnitřními norm</w:t>
      </w:r>
      <w:r>
        <w:t>ami a vnitřními předpisy, k jejichž dodržování je potom Zhotovitel zavázán.</w:t>
      </w:r>
    </w:p>
    <w:p w:rsidR="00312C8E" w:rsidRDefault="0069327D">
      <w:pPr>
        <w:pStyle w:val="Zkladntext1"/>
        <w:numPr>
          <w:ilvl w:val="0"/>
          <w:numId w:val="5"/>
        </w:numPr>
        <w:shd w:val="clear" w:color="auto" w:fill="auto"/>
        <w:tabs>
          <w:tab w:val="left" w:pos="888"/>
        </w:tabs>
        <w:spacing w:after="380"/>
        <w:ind w:left="880" w:hanging="500"/>
      </w:pPr>
      <w:r>
        <w:t>Objednatel nese výhradní odpovědnost za posouzení a zhodnocení vhodnosti Díla pro své potřeby, za zhodnocení, zda bude moci Dílo vhodně využívat, a za zajištění, že všechny HW a SW</w:t>
      </w:r>
      <w:r>
        <w:t xml:space="preserve"> prostředky používané ve spojení s Dílem jsou vyhovující a bez chyb, které by na něho mohly mít negativní vliv.</w:t>
      </w:r>
    </w:p>
    <w:p w:rsidR="00312C8E" w:rsidRDefault="0069327D">
      <w:pPr>
        <w:pStyle w:val="Nadpis50"/>
        <w:keepNext/>
        <w:keepLines/>
        <w:numPr>
          <w:ilvl w:val="0"/>
          <w:numId w:val="3"/>
        </w:numPr>
        <w:pBdr>
          <w:bottom w:val="single" w:sz="4" w:space="0" w:color="auto"/>
        </w:pBdr>
        <w:shd w:val="clear" w:color="auto" w:fill="auto"/>
        <w:tabs>
          <w:tab w:val="left" w:pos="732"/>
        </w:tabs>
        <w:ind w:hanging="500"/>
      </w:pPr>
      <w:bookmarkStart w:id="7" w:name="bookmark7"/>
      <w:r>
        <w:t>Autorská práva k dílu</w:t>
      </w:r>
      <w:bookmarkEnd w:id="7"/>
    </w:p>
    <w:p w:rsidR="00312C8E" w:rsidRDefault="0069327D">
      <w:pPr>
        <w:pStyle w:val="Zkladntext1"/>
        <w:numPr>
          <w:ilvl w:val="0"/>
          <w:numId w:val="6"/>
        </w:numPr>
        <w:shd w:val="clear" w:color="auto" w:fill="auto"/>
        <w:ind w:left="880" w:hanging="500"/>
      </w:pPr>
      <w:r>
        <w:t xml:space="preserve">l Nabyvatel bere na vědomí, že touto Smlouvou vymezené Dílo je autorským dílem ve smyslu zákona č. 121/2000 Sb., autorský </w:t>
      </w:r>
      <w:r>
        <w:t>zákon, (dále jen „Autorský zákon").</w:t>
      </w:r>
    </w:p>
    <w:p w:rsidR="00312C8E" w:rsidRDefault="0069327D">
      <w:pPr>
        <w:pStyle w:val="Zkladntext1"/>
        <w:numPr>
          <w:ilvl w:val="0"/>
          <w:numId w:val="7"/>
        </w:numPr>
        <w:shd w:val="clear" w:color="auto" w:fill="auto"/>
        <w:ind w:left="880" w:hanging="500"/>
      </w:pPr>
      <w:r>
        <w:t>2 Majetková a osobnostní práva k Dílu se řídí touto Smlouvou, licenčními podmínkami uvedenými níže a zákonem č. 121/2000 Sb., autorský zákon, (dále jen „Autorský zákon"). Smluvní strany sjednávají, že ustanovení § 58 Aut</w:t>
      </w:r>
      <w:r>
        <w:t>orského zákona se na jejich smluvní vztah nepoužije.</w:t>
      </w:r>
    </w:p>
    <w:p w:rsidR="00312C8E" w:rsidRDefault="0069327D">
      <w:pPr>
        <w:pStyle w:val="Zkladntext1"/>
        <w:numPr>
          <w:ilvl w:val="0"/>
          <w:numId w:val="8"/>
        </w:numPr>
        <w:shd w:val="clear" w:color="auto" w:fill="auto"/>
        <w:ind w:left="880" w:hanging="500"/>
      </w:pPr>
      <w:r>
        <w:t>3 Zhotovitel tímto uděluje Objednateli nevýhradní časově neomezenou licenci k užívání rozmnoženiny Díla po jeho vytvoření a neopravňuje Objednatele s Dílem jinak nakládat (dále jen „Licence"). Zhotovitel</w:t>
      </w:r>
      <w:r>
        <w:t>i zůstávají zachována veškerá autorská majetková i osobnostní práva k Dílu v plném rozsahu.</w:t>
      </w:r>
    </w:p>
    <w:p w:rsidR="00312C8E" w:rsidRDefault="0069327D">
      <w:pPr>
        <w:pStyle w:val="Zkladntext1"/>
        <w:numPr>
          <w:ilvl w:val="0"/>
          <w:numId w:val="9"/>
        </w:numPr>
        <w:shd w:val="clear" w:color="auto" w:fill="auto"/>
        <w:ind w:left="880" w:hanging="500"/>
      </w:pPr>
      <w:r>
        <w:t>4 Objednatel je povinen dbát autorské ochrany Díla, zejména do něho nezasahovat, ani jej neměnit, nepokoušet se o zpětnou kompilaci, bránit jeho neoprávněnému použí</w:t>
      </w:r>
      <w:r>
        <w:t>vání, zveřejnění, šíření nebo pořizování kopií, nevyhotovovat odvozené práce vycházející z Díla, sám jej nepředávat třetím osobám, ani jej jinak nešířit. Objednatel je povinen zabránit třetím osobám v přístupu ke zdrojovému kódu Díla nebo jeho části.</w:t>
      </w:r>
    </w:p>
    <w:p w:rsidR="00312C8E" w:rsidRDefault="0069327D">
      <w:pPr>
        <w:pStyle w:val="Nadpis10"/>
        <w:keepNext/>
        <w:keepLines/>
        <w:shd w:val="clear" w:color="auto" w:fill="auto"/>
      </w:pPr>
      <w:bookmarkStart w:id="8" w:name="bookmark8"/>
      <w:r>
        <w:lastRenderedPageBreak/>
        <w:t>O</w:t>
      </w:r>
      <w:bookmarkEnd w:id="8"/>
    </w:p>
    <w:p w:rsidR="00312C8E" w:rsidRDefault="0069327D">
      <w:pPr>
        <w:pStyle w:val="Zkladntext30"/>
        <w:shd w:val="clear" w:color="auto" w:fill="auto"/>
        <w:spacing w:after="540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5980430</wp:posOffset>
                </wp:positionH>
                <wp:positionV relativeFrom="paragraph">
                  <wp:posOffset>25400</wp:posOffset>
                </wp:positionV>
                <wp:extent cx="859790" cy="194945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2C8E" w:rsidRDefault="0069327D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t>Smlouva o dílo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70.89999999999998pt;margin-top:2.pt;width:67.700000000000003pt;height:15.35pt;z-index:-12582936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o dílo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rPr>
          <w:sz w:val="24"/>
          <w:szCs w:val="24"/>
        </w:rPr>
        <w:t>ders</w:t>
      </w:r>
      <w:proofErr w:type="spellEnd"/>
    </w:p>
    <w:p w:rsidR="00312C8E" w:rsidRDefault="0069327D">
      <w:pPr>
        <w:pStyle w:val="Zkladntext1"/>
        <w:numPr>
          <w:ilvl w:val="0"/>
          <w:numId w:val="10"/>
        </w:numPr>
        <w:shd w:val="clear" w:color="auto" w:fill="auto"/>
        <w:spacing w:after="140" w:line="233" w:lineRule="auto"/>
        <w:ind w:left="880" w:hanging="520"/>
      </w:pPr>
      <w:r>
        <w:t>5 Objednatel není oprávněn Dílo či udělenou Licenci převádět, pronajímat, poskytovat na leasing, půjčovat, či prodat jako součást závodu nebo jeho části.</w:t>
      </w:r>
    </w:p>
    <w:p w:rsidR="00312C8E" w:rsidRDefault="0069327D">
      <w:pPr>
        <w:pStyle w:val="Zkladntext1"/>
        <w:shd w:val="clear" w:color="auto" w:fill="auto"/>
        <w:ind w:left="880" w:hanging="520"/>
      </w:pPr>
      <w:proofErr w:type="gramStart"/>
      <w:r>
        <w:t>IV.6 Užívat</w:t>
      </w:r>
      <w:proofErr w:type="gramEnd"/>
      <w:r>
        <w:t xml:space="preserve"> rozmnoženinu Díla v rozsahu stanoveném touto Smlouvou je oprávněn </w:t>
      </w:r>
      <w:r>
        <w:t>pouze Nabyvatel. Nabyvatel může dále v rámci své organizační struktury pověřit faktickým výkonem svých uživatelských práv k jednotlivým částem Díla pouze své zaměstnance a další osoby přímo se podílející na činnosti Objednatele. Právo užívat Dílo i pro jin</w:t>
      </w:r>
      <w:r>
        <w:t>é osoby může být na žádost Nabyvatele za úplatu zřízeno pouze písemným dodatkem k této Smlouvě.</w:t>
      </w:r>
    </w:p>
    <w:p w:rsidR="00312C8E" w:rsidRDefault="0069327D">
      <w:pPr>
        <w:pStyle w:val="Zkladntext1"/>
        <w:shd w:val="clear" w:color="auto" w:fill="auto"/>
        <w:spacing w:after="380"/>
        <w:ind w:left="880" w:hanging="520"/>
      </w:pPr>
      <w:proofErr w:type="gramStart"/>
      <w:r>
        <w:t>IV.7 Objednatel</w:t>
      </w:r>
      <w:proofErr w:type="gramEnd"/>
      <w:r>
        <w:t xml:space="preserve"> bere na vědomí, že podmínkou výkonu Licence je úhrada plné výše sjednané ceny, úplata za udělení Licence je již zahrnuta ve sjednané ceně.</w:t>
      </w:r>
    </w:p>
    <w:p w:rsidR="00312C8E" w:rsidRDefault="0069327D">
      <w:pPr>
        <w:pStyle w:val="Nadpis50"/>
        <w:keepNext/>
        <w:keepLines/>
        <w:numPr>
          <w:ilvl w:val="0"/>
          <w:numId w:val="3"/>
        </w:numPr>
        <w:pBdr>
          <w:bottom w:val="single" w:sz="4" w:space="0" w:color="auto"/>
        </w:pBdr>
        <w:shd w:val="clear" w:color="auto" w:fill="auto"/>
        <w:tabs>
          <w:tab w:val="left" w:pos="765"/>
        </w:tabs>
        <w:spacing w:after="220"/>
        <w:ind w:hanging="520"/>
      </w:pPr>
      <w:bookmarkStart w:id="9" w:name="bookmark9"/>
      <w:r>
        <w:t>Spolu</w:t>
      </w:r>
      <w:r>
        <w:t>práce objednatele a zhotovitele</w:t>
      </w:r>
      <w:bookmarkEnd w:id="9"/>
    </w:p>
    <w:p w:rsidR="00312C8E" w:rsidRDefault="0069327D">
      <w:pPr>
        <w:pStyle w:val="Zkladntext1"/>
        <w:numPr>
          <w:ilvl w:val="0"/>
          <w:numId w:val="10"/>
        </w:numPr>
        <w:shd w:val="clear" w:color="auto" w:fill="auto"/>
        <w:ind w:left="880" w:hanging="520"/>
      </w:pPr>
      <w:r>
        <w:t xml:space="preserve">l Každá ze Smluvních stran tímto jmenuje svého zplnomocněného zástupce (dále jen „Manažer projektu" </w:t>
      </w:r>
      <w:proofErr w:type="spellStart"/>
      <w:r>
        <w:t>nebo„MP</w:t>
      </w:r>
      <w:proofErr w:type="spellEnd"/>
      <w:r>
        <w:t>"), který ji bude výlučně zastupovat ve smluvních, obchodních a realizačních záležitostech souvisejících s plněním té</w:t>
      </w:r>
      <w:r>
        <w:t>to Smlouvy.</w:t>
      </w:r>
    </w:p>
    <w:p w:rsidR="00312C8E" w:rsidRDefault="0069327D">
      <w:pPr>
        <w:pStyle w:val="Zkladntext1"/>
        <w:shd w:val="clear" w:color="auto" w:fill="auto"/>
        <w:tabs>
          <w:tab w:val="left" w:pos="4401"/>
        </w:tabs>
        <w:spacing w:after="160"/>
        <w:ind w:left="880"/>
      </w:pPr>
      <w:r>
        <w:t>Manažer projektu za Objedna</w:t>
      </w:r>
      <w:r w:rsidR="00B428C3">
        <w:t>tele (MPO):</w:t>
      </w:r>
      <w:r w:rsidR="00B428C3">
        <w:tab/>
      </w:r>
    </w:p>
    <w:p w:rsidR="00312C8E" w:rsidRDefault="0069327D">
      <w:pPr>
        <w:pStyle w:val="Zkladntext1"/>
        <w:shd w:val="clear" w:color="auto" w:fill="auto"/>
        <w:tabs>
          <w:tab w:val="left" w:pos="4401"/>
        </w:tabs>
        <w:spacing w:after="140"/>
        <w:ind w:left="880"/>
      </w:pPr>
      <w:r>
        <w:t>Manažer projektu za Zhot</w:t>
      </w:r>
      <w:r w:rsidR="00B428C3">
        <w:t>ovitele (MPZ):</w:t>
      </w:r>
      <w:r w:rsidR="00B428C3">
        <w:tab/>
      </w:r>
    </w:p>
    <w:p w:rsidR="00312C8E" w:rsidRDefault="0069327D">
      <w:pPr>
        <w:pStyle w:val="Zkladntext1"/>
        <w:numPr>
          <w:ilvl w:val="0"/>
          <w:numId w:val="2"/>
        </w:numPr>
        <w:shd w:val="clear" w:color="auto" w:fill="auto"/>
        <w:tabs>
          <w:tab w:val="left" w:pos="1402"/>
        </w:tabs>
        <w:ind w:left="1400" w:hanging="380"/>
      </w:pPr>
      <w:r>
        <w:t xml:space="preserve">MP na straně Zhotovitele je oprávněn jednat o změnách smluvních </w:t>
      </w:r>
      <w:r>
        <w:t>podmínek ve smyslu posunu termínů a změny ceny v souvislosti se změnou požadavků na Dílo.</w:t>
      </w:r>
    </w:p>
    <w:p w:rsidR="00312C8E" w:rsidRDefault="0069327D">
      <w:pPr>
        <w:pStyle w:val="Zkladntext1"/>
        <w:numPr>
          <w:ilvl w:val="0"/>
          <w:numId w:val="2"/>
        </w:numPr>
        <w:shd w:val="clear" w:color="auto" w:fill="auto"/>
        <w:tabs>
          <w:tab w:val="left" w:pos="1402"/>
        </w:tabs>
        <w:ind w:left="1400" w:hanging="380"/>
      </w:pPr>
      <w:r>
        <w:t>MPO akceptuje Dílo či jeho jednotlivou samostatnou část a dává pokyn k uvolnění níže specifikovaných finančních prostředků, jsou-li tyto vázány na akceptaci.</w:t>
      </w:r>
    </w:p>
    <w:p w:rsidR="00312C8E" w:rsidRDefault="0069327D">
      <w:pPr>
        <w:pStyle w:val="Zkladntext1"/>
        <w:numPr>
          <w:ilvl w:val="0"/>
          <w:numId w:val="2"/>
        </w:numPr>
        <w:shd w:val="clear" w:color="auto" w:fill="auto"/>
        <w:tabs>
          <w:tab w:val="left" w:pos="1402"/>
        </w:tabs>
        <w:ind w:left="1400" w:hanging="380"/>
      </w:pPr>
      <w:r>
        <w:t>MPZ odpo</w:t>
      </w:r>
      <w:r>
        <w:t>vídá na straně Zhotovitele za úplné a správné provedení Díla dle této Smlouvy.</w:t>
      </w:r>
    </w:p>
    <w:p w:rsidR="00312C8E" w:rsidRDefault="0069327D">
      <w:pPr>
        <w:pStyle w:val="Zkladntext1"/>
        <w:numPr>
          <w:ilvl w:val="0"/>
          <w:numId w:val="9"/>
        </w:numPr>
        <w:shd w:val="clear" w:color="auto" w:fill="auto"/>
        <w:ind w:left="880" w:hanging="520"/>
      </w:pPr>
      <w:r>
        <w:t xml:space="preserve">2 Každá ze Smluvních stran je oprávněna v případě potřeby pověřit jinou osobu za svou Smluvní stranu, aby v době nepřítomnosti zastupovala Manažera Projektu ve výkonu jeho </w:t>
      </w:r>
      <w:r>
        <w:t>funkce.</w:t>
      </w:r>
    </w:p>
    <w:p w:rsidR="00312C8E" w:rsidRDefault="0069327D">
      <w:pPr>
        <w:pStyle w:val="Zkladntext1"/>
        <w:numPr>
          <w:ilvl w:val="0"/>
          <w:numId w:val="8"/>
        </w:numPr>
        <w:shd w:val="clear" w:color="auto" w:fill="auto"/>
        <w:spacing w:after="380"/>
        <w:ind w:left="880" w:hanging="520"/>
      </w:pPr>
      <w:r>
        <w:t>3 Smluvní strany jsou oprávněny osobu jmenovanou svým zplnomocněným zástupcem změnit, jsou však povinny o takové změně druhou Smluvní stranu písemně informovat, a to nejméně 3 pracovní dny přede dnem, kdy taková změna bude vůči druhé Smluvní straně</w:t>
      </w:r>
      <w:r>
        <w:t xml:space="preserve"> účinná.</w:t>
      </w:r>
    </w:p>
    <w:p w:rsidR="00312C8E" w:rsidRDefault="0069327D">
      <w:pPr>
        <w:pStyle w:val="Nadpis50"/>
        <w:keepNext/>
        <w:keepLines/>
        <w:numPr>
          <w:ilvl w:val="0"/>
          <w:numId w:val="3"/>
        </w:numPr>
        <w:pBdr>
          <w:bottom w:val="single" w:sz="4" w:space="0" w:color="auto"/>
        </w:pBdr>
        <w:shd w:val="clear" w:color="auto" w:fill="auto"/>
        <w:tabs>
          <w:tab w:val="left" w:pos="765"/>
        </w:tabs>
        <w:ind w:hanging="520"/>
      </w:pPr>
      <w:bookmarkStart w:id="10" w:name="bookmark10"/>
      <w:r>
        <w:t>Komunikace mezi smluvními stranami</w:t>
      </w:r>
      <w:bookmarkEnd w:id="10"/>
    </w:p>
    <w:p w:rsidR="00312C8E" w:rsidRDefault="0069327D">
      <w:pPr>
        <w:pStyle w:val="Zkladntext1"/>
        <w:numPr>
          <w:ilvl w:val="0"/>
          <w:numId w:val="8"/>
        </w:numPr>
        <w:shd w:val="clear" w:color="auto" w:fill="auto"/>
        <w:spacing w:after="140"/>
        <w:ind w:left="880" w:hanging="520"/>
      </w:pPr>
      <w:r>
        <w:t>1 Smluvní strany spolu budou komunikovat:</w:t>
      </w:r>
    </w:p>
    <w:p w:rsidR="00312C8E" w:rsidRDefault="0069327D">
      <w:pPr>
        <w:pStyle w:val="Zkladntext1"/>
        <w:numPr>
          <w:ilvl w:val="0"/>
          <w:numId w:val="2"/>
        </w:numPr>
        <w:shd w:val="clear" w:color="auto" w:fill="auto"/>
        <w:tabs>
          <w:tab w:val="left" w:pos="1402"/>
        </w:tabs>
        <w:ind w:left="1400" w:hanging="380"/>
      </w:pPr>
      <w:r>
        <w:t>písemně poštou na adresy uvedené v záhlaví této Smlouvy a elektronickou poštou s elektronicky ověřeným podpisem nebo prostřednictvím datové schránky Smluvních stran, a to</w:t>
      </w:r>
      <w:r>
        <w:t xml:space="preserve"> i pro případy související s úpravou smluvních vztahů,</w:t>
      </w:r>
    </w:p>
    <w:p w:rsidR="00312C8E" w:rsidRDefault="0069327D">
      <w:pPr>
        <w:pStyle w:val="Zkladntext1"/>
        <w:numPr>
          <w:ilvl w:val="0"/>
          <w:numId w:val="2"/>
        </w:numPr>
        <w:shd w:val="clear" w:color="auto" w:fill="auto"/>
        <w:tabs>
          <w:tab w:val="left" w:pos="1402"/>
        </w:tabs>
        <w:ind w:left="1400" w:hanging="380"/>
      </w:pPr>
      <w:r>
        <w:t>přes internetovou aplikaci JÍRA (</w:t>
      </w:r>
      <w:proofErr w:type="spellStart"/>
      <w:r>
        <w:t>HelpDesk</w:t>
      </w:r>
      <w:proofErr w:type="spellEnd"/>
      <w:r>
        <w:t>), a to pro případy související s řízením a realizací projektu (zápisy zjednání, úkoly vzniklé zjednání, testování, hlášení chyb, požadavků apod.). Pro tyto úče</w:t>
      </w:r>
      <w:r>
        <w:t>ly zřídí Zhotovitel Manažeru projektu za Objednatele přístup do aplikace, a to do 10 pracovních dnů od podpisu této smlouvy. V případě potřeby vytvoření dalších přístupů pro další pracovníky Objednatele, bude toto sděleno přes aplikaci JÍRA jako úkol.</w:t>
      </w:r>
    </w:p>
    <w:p w:rsidR="00312C8E" w:rsidRDefault="0069327D">
      <w:pPr>
        <w:pStyle w:val="Zkladntext1"/>
        <w:numPr>
          <w:ilvl w:val="0"/>
          <w:numId w:val="2"/>
        </w:numPr>
        <w:shd w:val="clear" w:color="auto" w:fill="auto"/>
        <w:tabs>
          <w:tab w:val="left" w:pos="1402"/>
        </w:tabs>
        <w:spacing w:after="320"/>
        <w:ind w:left="1400" w:hanging="380"/>
      </w:pPr>
      <w:r>
        <w:t>osob</w:t>
      </w:r>
      <w:r>
        <w:t xml:space="preserve">ně prostřednictvím Manažerů projektu nebo jiných </w:t>
      </w:r>
      <w:proofErr w:type="spellStart"/>
      <w:r>
        <w:t>ktomu</w:t>
      </w:r>
      <w:proofErr w:type="spellEnd"/>
      <w:r>
        <w:t xml:space="preserve"> zplnomocněných zástupců</w:t>
      </w:r>
    </w:p>
    <w:p w:rsidR="00312C8E" w:rsidRDefault="0069327D">
      <w:pPr>
        <w:pStyle w:val="Zkladntext1"/>
        <w:numPr>
          <w:ilvl w:val="0"/>
          <w:numId w:val="9"/>
        </w:numPr>
        <w:shd w:val="clear" w:color="auto" w:fill="auto"/>
        <w:ind w:left="880" w:hanging="520"/>
      </w:pPr>
      <w:r>
        <w:t>2 Všechna oznámení mezi Smluvními stranami, která se vztahují k této Smlouvě, nebo která mají být učiněna na základě této Smlouvy, musejí být učiněna v písemné podobě.</w:t>
      </w:r>
    </w:p>
    <w:p w:rsidR="00312C8E" w:rsidRDefault="0069327D">
      <w:pPr>
        <w:pStyle w:val="Zkladntext1"/>
        <w:numPr>
          <w:ilvl w:val="0"/>
          <w:numId w:val="10"/>
        </w:numPr>
        <w:shd w:val="clear" w:color="auto" w:fill="auto"/>
        <w:tabs>
          <w:tab w:val="left" w:pos="808"/>
        </w:tabs>
        <w:spacing w:after="0"/>
        <w:ind w:left="880" w:hanging="520"/>
      </w:pPr>
      <w:r>
        <w:t>3</w:t>
      </w:r>
      <w:r>
        <w:tab/>
      </w:r>
      <w:r>
        <w:t>Oznámení zaslaná poštou nebo do datové schránky se považují za doručená nejpozději třetí den po jejich</w:t>
      </w:r>
    </w:p>
    <w:p w:rsidR="00312C8E" w:rsidRDefault="0069327D">
      <w:pPr>
        <w:pStyle w:val="Zkladntext1"/>
        <w:shd w:val="clear" w:color="auto" w:fill="auto"/>
        <w:ind w:left="880"/>
        <w:sectPr w:rsidR="00312C8E">
          <w:headerReference w:type="default" r:id="rId12"/>
          <w:footerReference w:type="default" r:id="rId13"/>
          <w:pgSz w:w="11900" w:h="16840"/>
          <w:pgMar w:top="909" w:right="1097" w:bottom="1844" w:left="1553" w:header="481" w:footer="3" w:gutter="0"/>
          <w:cols w:space="720"/>
          <w:noEndnote/>
          <w:docGrid w:linePitch="360"/>
        </w:sectPr>
      </w:pPr>
      <w:proofErr w:type="gramStart"/>
      <w:r>
        <w:t>prokazatelném</w:t>
      </w:r>
      <w:proofErr w:type="gramEnd"/>
      <w:r>
        <w:t xml:space="preserve"> odeslání.</w:t>
      </w:r>
    </w:p>
    <w:p w:rsidR="00312C8E" w:rsidRDefault="0069327D">
      <w:pPr>
        <w:pStyle w:val="Nadpis50"/>
        <w:keepNext/>
        <w:keepLines/>
        <w:numPr>
          <w:ilvl w:val="0"/>
          <w:numId w:val="3"/>
        </w:numPr>
        <w:pBdr>
          <w:bottom w:val="single" w:sz="4" w:space="0" w:color="auto"/>
        </w:pBdr>
        <w:shd w:val="clear" w:color="auto" w:fill="auto"/>
        <w:tabs>
          <w:tab w:val="left" w:pos="709"/>
        </w:tabs>
        <w:ind w:left="800" w:hanging="500"/>
      </w:pPr>
      <w:bookmarkStart w:id="11" w:name="bookmark11"/>
      <w:r>
        <w:lastRenderedPageBreak/>
        <w:t>Harmonogram termínů plnění</w:t>
      </w:r>
      <w:bookmarkEnd w:id="11"/>
    </w:p>
    <w:p w:rsidR="00312C8E" w:rsidRDefault="0069327D">
      <w:pPr>
        <w:pStyle w:val="Zkladntext1"/>
        <w:numPr>
          <w:ilvl w:val="0"/>
          <w:numId w:val="10"/>
        </w:numPr>
        <w:shd w:val="clear" w:color="auto" w:fill="auto"/>
        <w:ind w:left="800" w:hanging="500"/>
      </w:pPr>
      <w:r>
        <w:t xml:space="preserve">1 Zahájení plnění Díla je </w:t>
      </w:r>
      <w:r>
        <w:t>stanoveno po nabytí účinnosti smlouvy.</w:t>
      </w:r>
    </w:p>
    <w:p w:rsidR="00312C8E" w:rsidRDefault="0069327D">
      <w:pPr>
        <w:pStyle w:val="Zkladntext1"/>
        <w:numPr>
          <w:ilvl w:val="0"/>
          <w:numId w:val="9"/>
        </w:numPr>
        <w:shd w:val="clear" w:color="auto" w:fill="auto"/>
        <w:ind w:left="800" w:hanging="500"/>
      </w:pPr>
      <w:r>
        <w:t xml:space="preserve">2 Celé Dílo bude předáno do jednoho měsíce od nabytí účinnosti této smlouvy (Moduly A </w:t>
      </w:r>
      <w:proofErr w:type="spellStart"/>
      <w:r>
        <w:t>a</w:t>
      </w:r>
      <w:proofErr w:type="spellEnd"/>
      <w:r>
        <w:t xml:space="preserve"> B).</w:t>
      </w:r>
    </w:p>
    <w:p w:rsidR="00312C8E" w:rsidRDefault="0069327D">
      <w:pPr>
        <w:pStyle w:val="Zkladntext1"/>
        <w:shd w:val="clear" w:color="auto" w:fill="auto"/>
        <w:spacing w:after="360"/>
        <w:ind w:left="800" w:hanging="500"/>
      </w:pPr>
      <w:r>
        <w:t>VI1.3 Předání a akceptace Díla či jeho jednotlivých částí bude probíhat dle podmínek sjednaných v této Smlouvě.</w:t>
      </w:r>
    </w:p>
    <w:p w:rsidR="00312C8E" w:rsidRDefault="0069327D">
      <w:pPr>
        <w:pStyle w:val="Zkladntext30"/>
        <w:pBdr>
          <w:bottom w:val="single" w:sz="4" w:space="0" w:color="auto"/>
        </w:pBdr>
        <w:shd w:val="clear" w:color="auto" w:fill="auto"/>
        <w:spacing w:after="220"/>
        <w:ind w:left="800" w:hanging="50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Vlil </w:t>
      </w:r>
      <w:r>
        <w:rPr>
          <w:b/>
          <w:bCs/>
          <w:sz w:val="20"/>
          <w:szCs w:val="20"/>
        </w:rPr>
        <w:t>PŘEJÍMACÍ POSTUPY</w:t>
      </w:r>
    </w:p>
    <w:p w:rsidR="00312C8E" w:rsidRDefault="0069327D">
      <w:pPr>
        <w:pStyle w:val="Zkladntext1"/>
        <w:shd w:val="clear" w:color="auto" w:fill="auto"/>
        <w:ind w:left="800" w:hanging="500"/>
      </w:pPr>
      <w:proofErr w:type="spellStart"/>
      <w:r>
        <w:t>Vlll.l</w:t>
      </w:r>
      <w:proofErr w:type="spellEnd"/>
      <w:r>
        <w:t xml:space="preserve"> Zhotovitel se zavazuje předat Objednateli Dílo či jeho jednotlivou samostatnou část určenou k akceptaci nebo její doplnění či úpravu stanovené v této Smlouvě nejpozději v termínech stanovených v této Smlouvě v místě sídla Objednate</w:t>
      </w:r>
      <w:r>
        <w:t>le a Objednatel se zavazuje převzít Dílo nebo jeho část k akceptaci v souladu s pravidly a v termínech sjednaných v této Smlouvě. Zhotovitel je oprávněn předat Dílo nebo jeho část i před sjednaným termínem a Objednatel se zavazuje takové plnění převzít.</w:t>
      </w:r>
    </w:p>
    <w:p w:rsidR="00312C8E" w:rsidRDefault="0069327D">
      <w:pPr>
        <w:pStyle w:val="Zkladntext1"/>
        <w:shd w:val="clear" w:color="auto" w:fill="auto"/>
        <w:ind w:left="800" w:hanging="500"/>
      </w:pPr>
      <w:proofErr w:type="gramStart"/>
      <w:r>
        <w:t>Vl</w:t>
      </w:r>
      <w:r>
        <w:t>il.2 Pokud</w:t>
      </w:r>
      <w:proofErr w:type="gramEnd"/>
      <w:r>
        <w:t xml:space="preserve"> Objednatel neposkytne Zhotoviteli potřebnou součinnost k převzetí Díla či jeho části nejpozději do 5 pracovních dnů od výzvy Zhotovitele, bude se Dílo považovat za řádně předané, převzaté a také za akceptované bez výhrad uplynutím tohoto pátého </w:t>
      </w:r>
      <w:r>
        <w:t>dne</w:t>
      </w:r>
    </w:p>
    <w:p w:rsidR="00312C8E" w:rsidRDefault="0069327D">
      <w:pPr>
        <w:pStyle w:val="Zkladntext1"/>
        <w:shd w:val="clear" w:color="auto" w:fill="auto"/>
        <w:ind w:left="800" w:hanging="500"/>
      </w:pPr>
      <w:proofErr w:type="gramStart"/>
      <w:r>
        <w:t>Vlil.3 Zhotovitel</w:t>
      </w:r>
      <w:proofErr w:type="gramEnd"/>
      <w:r>
        <w:t xml:space="preserve"> oznámí Objednateli dokončení každé jednotlivé části Díla, která je uvedena v harmonogramu jako část určená k akceptaci, její doplnění či úpravu na základě Závazných požadavků (jak je tento termín definován níže) po původní akceptaci a</w:t>
      </w:r>
      <w:r>
        <w:t xml:space="preserve"> dokončení Díla pro předání v termínech stanovených touto Smlouvou. Poté proběhne za účasti obou Smluvních stran akceptační řízení. O převzetí a akceptačním řízení budou pořízeny písemné protokoly, a to předávací protokol a akceptační protokol. Protokoly b</w:t>
      </w:r>
      <w:r>
        <w:t>udou podepsány oprávněnými osobami stanovenými v této Smlouvě. Současně bude také předána uživatelská dokumentace k Dílu nebo jeho jednotlivé části.</w:t>
      </w:r>
    </w:p>
    <w:p w:rsidR="00312C8E" w:rsidRDefault="0069327D">
      <w:pPr>
        <w:pStyle w:val="Zkladntext1"/>
        <w:numPr>
          <w:ilvl w:val="0"/>
          <w:numId w:val="9"/>
        </w:numPr>
        <w:shd w:val="clear" w:color="auto" w:fill="auto"/>
        <w:ind w:left="800" w:hanging="500"/>
      </w:pPr>
      <w:r>
        <w:t xml:space="preserve">4 Zhotovitel je povinen vyzvat Objednatele nejméně 2 pracovní dny předem k převzetí každé jednotlivé části </w:t>
      </w:r>
      <w:r>
        <w:t>Díla a nejméně 3 pracovní dny předem k převzetí kompletně dokončeného Díla.</w:t>
      </w:r>
    </w:p>
    <w:p w:rsidR="00312C8E" w:rsidRDefault="0069327D">
      <w:pPr>
        <w:pStyle w:val="Zkladntext1"/>
        <w:shd w:val="clear" w:color="auto" w:fill="auto"/>
        <w:ind w:left="800" w:hanging="500"/>
      </w:pPr>
      <w:proofErr w:type="gramStart"/>
      <w:r>
        <w:t>Vlil.5 Objednatel</w:t>
      </w:r>
      <w:proofErr w:type="gramEnd"/>
      <w:r>
        <w:t xml:space="preserve"> stvrdí převzetí Díla podpisem předávacího protokolu, v němž bude uveden seznam předávaných částí Díla, dokumentů a potvrzení, že byla předvedena funkčnost a kompl</w:t>
      </w:r>
      <w:r>
        <w:t>etnost předávaného Díla nebo jeho části, a bude uveden datum zahájení akceptačního řízení. Dnem podpisu předávacího protokolu začíná běžet akceptační lhůta, která trvá 15 kalendářních dnů (dále jen „Akceptační lhůta").</w:t>
      </w:r>
    </w:p>
    <w:p w:rsidR="00312C8E" w:rsidRDefault="0069327D">
      <w:pPr>
        <w:pStyle w:val="Zkladntext1"/>
        <w:shd w:val="clear" w:color="auto" w:fill="auto"/>
        <w:ind w:left="800" w:hanging="500"/>
      </w:pPr>
      <w:proofErr w:type="gramStart"/>
      <w:r>
        <w:t>Vlil.6 V rámci</w:t>
      </w:r>
      <w:proofErr w:type="gramEnd"/>
      <w:r>
        <w:t xml:space="preserve"> akceptačního řízení je</w:t>
      </w:r>
      <w:r>
        <w:t xml:space="preserve"> Objednatel povinen přezkoumat, zda předané Dílo nebo jeho část (dále jen „Předmět akceptace") splňuje požadavky specifikované v této Smlouvě, zejména dle vymezení předmětu smlouvy v odst. 1.2 této smlouvy a dle podrobnější specifikace v přílohách, jež jso</w:t>
      </w:r>
      <w:r>
        <w:t>u nedílnou součástí této smlouvy (dále jen „Závazné požadavky").</w:t>
      </w:r>
    </w:p>
    <w:p w:rsidR="00312C8E" w:rsidRDefault="0069327D">
      <w:pPr>
        <w:pStyle w:val="Zkladntext1"/>
        <w:shd w:val="clear" w:color="auto" w:fill="auto"/>
        <w:ind w:left="800" w:hanging="500"/>
      </w:pPr>
      <w:proofErr w:type="gramStart"/>
      <w:r>
        <w:t>Vlil.7 Objednatel</w:t>
      </w:r>
      <w:proofErr w:type="gramEnd"/>
      <w:r>
        <w:t xml:space="preserve"> akceptuje Předmět akceptace, bude-li v souladu se Závaznými požadavky a nebude-li vykazovat vady a nedodělky. Výsledek přezkoumání shody Předmětu akceptace se Závaznými poža</w:t>
      </w:r>
      <w:r>
        <w:t>davky je Objednatel povinen zaznamenat do akceptačního protokolu předaného mu Zhotovitelem na začátku akceptačního řízení (dále jen „Akceptační protokol"). V případě, že Předmět akceptace vykazuje vady a nedodělky, Objednatel tyto zanese do Akceptačního pr</w:t>
      </w:r>
      <w:r>
        <w:t>otokolu tak, že uvede, kterého konkrétního požadavku se vada nebo nedodělek týká (jednoznačným odkazem na požadavek nebo jeho kompletním přepisem), a stručný popis důvodu neshody Předmětu akceptace se Závaznými požadavky (dále jen „Neshoda s požadavky"). D</w:t>
      </w:r>
      <w:r>
        <w:t xml:space="preserve">ůvod Neshody s požadavky musí být konkrétní, formulace „požadavek nesplněn" </w:t>
      </w:r>
      <w:proofErr w:type="gramStart"/>
      <w:r>
        <w:t>nebojí</w:t>
      </w:r>
      <w:proofErr w:type="gramEnd"/>
      <w:r>
        <w:t xml:space="preserve"> obdobná se </w:t>
      </w:r>
      <w:proofErr w:type="gramStart"/>
      <w:r>
        <w:t>nepovažuje</w:t>
      </w:r>
      <w:proofErr w:type="gramEnd"/>
      <w:r>
        <w:t xml:space="preserve"> za Neshodu s požadavky.</w:t>
      </w:r>
    </w:p>
    <w:p w:rsidR="00312C8E" w:rsidRDefault="0069327D">
      <w:pPr>
        <w:pStyle w:val="Zkladntext1"/>
        <w:shd w:val="clear" w:color="auto" w:fill="auto"/>
        <w:ind w:left="800" w:hanging="500"/>
      </w:pPr>
      <w:proofErr w:type="gramStart"/>
      <w:r>
        <w:t>Vlil.8 Nejpozději</w:t>
      </w:r>
      <w:proofErr w:type="gramEnd"/>
      <w:r>
        <w:t xml:space="preserve"> v den ukončení Akceptační lhůty předá Objednatel Zhotoviteli Akceptační protokol, ve kterém uvede výsledek př</w:t>
      </w:r>
      <w:r>
        <w:t>ezkoumání v jednom ze tří možných stavů: „Akceptováno", „Akceptováno s výhradami" nebo „Neakceptováno".</w:t>
      </w:r>
    </w:p>
    <w:p w:rsidR="00312C8E" w:rsidRDefault="0069327D">
      <w:pPr>
        <w:pStyle w:val="Zkladntext1"/>
        <w:shd w:val="clear" w:color="auto" w:fill="auto"/>
        <w:ind w:left="800" w:hanging="500"/>
        <w:sectPr w:rsidR="00312C8E">
          <w:headerReference w:type="default" r:id="rId14"/>
          <w:footerReference w:type="default" r:id="rId15"/>
          <w:pgSz w:w="11900" w:h="16840"/>
          <w:pgMar w:top="2342" w:right="1091" w:bottom="2142" w:left="1575" w:header="0" w:footer="3" w:gutter="0"/>
          <w:cols w:space="720"/>
          <w:noEndnote/>
          <w:docGrid w:linePitch="360"/>
        </w:sectPr>
      </w:pPr>
      <w:r>
        <w:t xml:space="preserve">VII1.9 Stav „Akceptováno" znamená, že Předmět akceptace </w:t>
      </w:r>
      <w:r>
        <w:t>je řádně akceptován Objednatelem bez vad a nedodělků a uvolněn do provozu u Objednatele. „Akceptováno s výhradami" znamená, že Předmět akceptace je řádně akceptován Objednatelem a uvolněn do provozu u Objednatele, ale Zhotovitel je povinen odstranit uveden</w:t>
      </w:r>
      <w:r>
        <w:t>é Neshody s požadavky ve lhůtě 10 pracovních dnů (dále jen „Opravná lhůta"). „Neakceptováno" znamená, že Předmět akceptace není uvolněn do provozu u Objednatele a Zhotovitel je povinen opravit uvedené Neshody</w:t>
      </w:r>
    </w:p>
    <w:p w:rsidR="00312C8E" w:rsidRDefault="0069327D">
      <w:pPr>
        <w:pStyle w:val="Jin0"/>
        <w:shd w:val="clear" w:color="auto" w:fill="auto"/>
        <w:spacing w:after="0"/>
        <w:jc w:val="left"/>
        <w:rPr>
          <w:sz w:val="80"/>
          <w:szCs w:val="80"/>
        </w:rPr>
      </w:pPr>
      <w:r>
        <w:rPr>
          <w:rFonts w:ascii="Arial" w:eastAsia="Arial" w:hAnsi="Arial" w:cs="Arial"/>
          <w:i/>
          <w:iCs/>
          <w:color w:val="963155"/>
          <w:sz w:val="80"/>
          <w:szCs w:val="80"/>
        </w:rPr>
        <w:lastRenderedPageBreak/>
        <w:t>o</w:t>
      </w:r>
    </w:p>
    <w:p w:rsidR="00312C8E" w:rsidRDefault="0069327D">
      <w:pPr>
        <w:pStyle w:val="Zkladntext30"/>
        <w:shd w:val="clear" w:color="auto" w:fill="auto"/>
        <w:spacing w:after="540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6008370</wp:posOffset>
                </wp:positionH>
                <wp:positionV relativeFrom="paragraph">
                  <wp:posOffset>25400</wp:posOffset>
                </wp:positionV>
                <wp:extent cx="859790" cy="194945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2C8E" w:rsidRDefault="0069327D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t>Smlouva o dílo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73.10000000000002pt;margin-top:2.pt;width:67.700000000000003pt;height:15.35pt;z-index:-12582936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o dílo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rPr>
          <w:sz w:val="24"/>
          <w:szCs w:val="24"/>
        </w:rPr>
        <w:t>ders</w:t>
      </w:r>
      <w:proofErr w:type="spellEnd"/>
    </w:p>
    <w:p w:rsidR="00312C8E" w:rsidRDefault="0069327D">
      <w:pPr>
        <w:pStyle w:val="Zkladntext1"/>
        <w:shd w:val="clear" w:color="auto" w:fill="auto"/>
        <w:ind w:left="880"/>
      </w:pPr>
      <w:r>
        <w:t xml:space="preserve">s požadavky v Opravné </w:t>
      </w:r>
      <w:r>
        <w:t xml:space="preserve">lhůtě. Do doby odstranění stavu „Neakceptováno" se dílo považuje za nedokončené a nepředané. V případě, že je akceptační řízení uzavřeno stavy Neakceptováno nebo Akceptováno s výhradami, je povinen Objednatel uvést konkrétní Neshody s požadavky. Nejsou-li </w:t>
      </w:r>
      <w:r>
        <w:t xml:space="preserve">Neshody s požadavky </w:t>
      </w:r>
      <w:proofErr w:type="spellStart"/>
      <w:r>
        <w:t>vAkceptačním</w:t>
      </w:r>
      <w:proofErr w:type="spellEnd"/>
      <w:r>
        <w:t xml:space="preserve"> protokolu uvedeny, je Předmět akceptace akceptován bez ohledu na uvedený stav (míněno Akceptováno, Akceptováno s výhradami, Neakceptováno). Není-li Akceptační protokol prokazatelně předán Zhotoviteli nejpozději do uplynutí </w:t>
      </w:r>
      <w:r>
        <w:t>Akceptační lhůty, je Předmět akceptace považován uplynutím Akceptační lhůty za akceptovaný Objednatelem bez výhrad.</w:t>
      </w:r>
    </w:p>
    <w:p w:rsidR="00312C8E" w:rsidRDefault="0069327D">
      <w:pPr>
        <w:pStyle w:val="Zkladntext1"/>
        <w:shd w:val="clear" w:color="auto" w:fill="auto"/>
        <w:ind w:left="880" w:hanging="520"/>
      </w:pPr>
      <w:proofErr w:type="gramStart"/>
      <w:r>
        <w:t>Vlil.10</w:t>
      </w:r>
      <w:proofErr w:type="gramEnd"/>
      <w:r>
        <w:t xml:space="preserve"> Smluvní strany se dohodly, že se má za to, že Předmět akceptace splňuje všechny požadavky uvedené v rámci Závazných požadavků, které</w:t>
      </w:r>
      <w:r>
        <w:t xml:space="preserve"> nejsou uvedeny v Akceptačním protokolu jako Neshody s požadavky. Požadavky, které Předmět akceptace splňuje, se dále označují jako „Shodné požadavky".</w:t>
      </w:r>
    </w:p>
    <w:p w:rsidR="00312C8E" w:rsidRDefault="0069327D">
      <w:pPr>
        <w:pStyle w:val="Zkladntext1"/>
        <w:shd w:val="clear" w:color="auto" w:fill="auto"/>
        <w:spacing w:line="233" w:lineRule="auto"/>
        <w:ind w:left="880" w:hanging="520"/>
      </w:pPr>
      <w:proofErr w:type="gramStart"/>
      <w:r>
        <w:t>Vlil.11</w:t>
      </w:r>
      <w:proofErr w:type="gramEnd"/>
      <w:r>
        <w:t xml:space="preserve"> Zhotovitel se zavazuje zapracovat všechny Neshody s požadavky do Předmětu akceptace v Opravné lh</w:t>
      </w:r>
      <w:r>
        <w:t>ůtě. Nebude-li</w:t>
      </w:r>
    </w:p>
    <w:p w:rsidR="00312C8E" w:rsidRDefault="0069327D">
      <w:pPr>
        <w:pStyle w:val="Zkladntext1"/>
        <w:shd w:val="clear" w:color="auto" w:fill="auto"/>
        <w:ind w:left="880" w:hanging="520"/>
      </w:pPr>
      <w:proofErr w:type="gramStart"/>
      <w:r>
        <w:t>Vlil.12</w:t>
      </w:r>
      <w:proofErr w:type="gramEnd"/>
      <w:r>
        <w:t xml:space="preserve"> Zhotovitel souhlasit s Objednatelem popsanými Neshodami s požadavky, zavazují se smluvní strany ve lhůtě 7 pracovních dní zrealizovat jednání za účelem vyjasnění sporných stanovisek a dosažení shody ohledně vytčených nedostatků. Po d</w:t>
      </w:r>
      <w:r>
        <w:t>obu této lhůty a následně až do prvního pracovního dne po ukončení jednání o Neshodě s požadavky se přerušuje běh Opravné lhůty ohledně sporné Neshody s požadavky.</w:t>
      </w:r>
    </w:p>
    <w:p w:rsidR="00312C8E" w:rsidRDefault="0069327D">
      <w:pPr>
        <w:pStyle w:val="Zkladntext1"/>
        <w:shd w:val="clear" w:color="auto" w:fill="auto"/>
        <w:ind w:left="880" w:hanging="520"/>
      </w:pPr>
      <w:proofErr w:type="gramStart"/>
      <w:r>
        <w:t>Vlil.13</w:t>
      </w:r>
      <w:proofErr w:type="gramEnd"/>
      <w:r>
        <w:t xml:space="preserve"> Opravený Předmět akceptace předá Zhotovitel v Opravné lhůtě opětovně Objednateli do </w:t>
      </w:r>
      <w:r>
        <w:t>následného akceptačního řízení. V následných akceptačních řízeních již nejsou Objednatelem přezkoumávány Shodné požadavky. To znamená, že Objednatel posuzuje pouze ty požadavky, u nichž byla stanovena v předchozích akceptačních řízeních Neshoda s požadavky</w:t>
      </w:r>
      <w:r>
        <w:t xml:space="preserve"> a tato byla protokolárně zdokumentována v Akceptačním protokolu. Pokud se proto bude jakákoliv výhrada Objednatele týkat Shodného požadavku, k takové výhradě se nepřihlíží, považuje se za neuplatněnou a nebude na ni Zhotovitelem nijak reagováno v rámci ak</w:t>
      </w:r>
      <w:r>
        <w:t>ceptačního řízení. To neplatí pro Neshodu s požadavky vzniklou následně v souvislosti s odstraňováním Neshod.</w:t>
      </w:r>
    </w:p>
    <w:p w:rsidR="00312C8E" w:rsidRDefault="0069327D">
      <w:pPr>
        <w:pStyle w:val="Zkladntext1"/>
        <w:shd w:val="clear" w:color="auto" w:fill="auto"/>
        <w:ind w:left="880" w:hanging="520"/>
      </w:pPr>
      <w:proofErr w:type="gramStart"/>
      <w:r>
        <w:t>Vlil.14</w:t>
      </w:r>
      <w:proofErr w:type="gramEnd"/>
      <w:r>
        <w:t xml:space="preserve"> Změnové řízení se týká změn Závazných požadavků a úpravy Předmětu akceptace do doby jeho akceptace. Zhotovitel se zavazuje zapracovat změn</w:t>
      </w:r>
      <w:r>
        <w:t>y Závazných požadavků nebo změny Předmětu akceptace na základě změnového řízení. V rámci změnového řízení bude mezi Smluvními stranami dohodnuta cena a termín realizace změny. Změna je realizována na základě písemné objednávky Objednatele potvrzené Zhotovi</w:t>
      </w:r>
      <w:r>
        <w:t>telem nebo na základě dodatku k této Smlouvě. Již akceptované Dílo je možno změnit jen na základě nové smlouvy o dílo nebo nové objednávky.</w:t>
      </w:r>
    </w:p>
    <w:p w:rsidR="00312C8E" w:rsidRDefault="0069327D">
      <w:pPr>
        <w:pStyle w:val="Zkladntext1"/>
        <w:shd w:val="clear" w:color="auto" w:fill="auto"/>
        <w:ind w:left="880" w:hanging="520"/>
      </w:pPr>
      <w:proofErr w:type="gramStart"/>
      <w:r>
        <w:t>Vlil.15</w:t>
      </w:r>
      <w:proofErr w:type="gramEnd"/>
      <w:r>
        <w:t xml:space="preserve"> Dnem podpisu Akceptačního protokolu ve stavu Akceptováno, přechází nebezpečí škody na Díle nebo jeho části n</w:t>
      </w:r>
      <w:r>
        <w:t>a Objednatele a začíná běžet sjednaná záruční doba.</w:t>
      </w:r>
    </w:p>
    <w:p w:rsidR="00312C8E" w:rsidRDefault="0069327D">
      <w:pPr>
        <w:pStyle w:val="Zkladntext1"/>
        <w:shd w:val="clear" w:color="auto" w:fill="auto"/>
        <w:ind w:left="880" w:hanging="520"/>
      </w:pPr>
      <w:proofErr w:type="gramStart"/>
      <w:r>
        <w:t>Vlil.16</w:t>
      </w:r>
      <w:proofErr w:type="gramEnd"/>
      <w:r>
        <w:t xml:space="preserve"> Vadou se pro účely této Smlouvy rozumí odchylka v kvalitě, rozsahu nebo parametrech Díla nebo jeho části stanovených Závaznými požadavky. Nedodělkem se rozumí nedokončená práce oproti Závazným </w:t>
      </w:r>
      <w:r>
        <w:t>požadavkům.</w:t>
      </w:r>
    </w:p>
    <w:p w:rsidR="00312C8E" w:rsidRDefault="0069327D">
      <w:pPr>
        <w:pStyle w:val="Zkladntext1"/>
        <w:shd w:val="clear" w:color="auto" w:fill="auto"/>
        <w:ind w:left="880" w:hanging="520"/>
      </w:pPr>
      <w:proofErr w:type="gramStart"/>
      <w:r>
        <w:t>Vlil.17</w:t>
      </w:r>
      <w:proofErr w:type="gramEnd"/>
      <w:r>
        <w:t xml:space="preserve"> Zhotoviteli vzniká nárok na zaplacení ceny Díla nebo jeho samostatné části Díla po podpisu akceptačního protokolu s výsledkem Akceptováno nebo Akceptováno s výhradami a/nebo okamžikem, kdy jsou Dílo nebo jeho část považovány v souladu s</w:t>
      </w:r>
      <w:r>
        <w:t xml:space="preserve"> touto Smlouvou za akceptované bez výhrad.</w:t>
      </w:r>
    </w:p>
    <w:p w:rsidR="00312C8E" w:rsidRDefault="0069327D">
      <w:pPr>
        <w:pStyle w:val="Zkladntext1"/>
        <w:shd w:val="clear" w:color="auto" w:fill="auto"/>
        <w:ind w:left="880" w:hanging="520"/>
      </w:pPr>
      <w:proofErr w:type="gramStart"/>
      <w:r>
        <w:t>Vlil.18</w:t>
      </w:r>
      <w:proofErr w:type="gramEnd"/>
      <w:r>
        <w:t xml:space="preserve"> V případě prodlení Zhotovitele se splněním jakékoliv povinnosti dle této smlouvy (zejména včetně povinností v rámci servisní podpory, reakčních dob a odstraňování závad) se Zhotovitel zavazuje uhradit Obje</w:t>
      </w:r>
      <w:r>
        <w:t>dnateli smluvní pokutu za každé jednotlivé porušení povinnosti dle této smlouvy ve výši:</w:t>
      </w:r>
    </w:p>
    <w:p w:rsidR="00312C8E" w:rsidRDefault="0069327D">
      <w:pPr>
        <w:pStyle w:val="Zkladntext1"/>
        <w:shd w:val="clear" w:color="auto" w:fill="auto"/>
        <w:spacing w:after="0"/>
        <w:ind w:left="2020"/>
      </w:pPr>
      <w:r>
        <w:t>2 000 Kč za každý započatý pracovní den prodlení se splněním povinnosti Zhotovitele, pokud termín či lhůta pro její splnění byla stanovena ve dnech (a delších časových</w:t>
      </w:r>
      <w:r>
        <w:t xml:space="preserve"> jednotkách),</w:t>
      </w:r>
    </w:p>
    <w:p w:rsidR="00312C8E" w:rsidRDefault="0069327D">
      <w:pPr>
        <w:pStyle w:val="Zkladntext1"/>
        <w:shd w:val="clear" w:color="auto" w:fill="auto"/>
        <w:spacing w:after="320"/>
        <w:ind w:left="2020"/>
      </w:pPr>
      <w:r>
        <w:t>2 000 Kč za každou započatou pracovní hodinu prodlení se splněním povinnosti Zhotovitele, pokud termín či lhůta pro její splnění byla stanovena v hodinách.</w:t>
      </w:r>
    </w:p>
    <w:p w:rsidR="00312C8E" w:rsidRDefault="0069327D">
      <w:pPr>
        <w:pStyle w:val="Nadpis50"/>
        <w:keepNext/>
        <w:keepLines/>
        <w:numPr>
          <w:ilvl w:val="0"/>
          <w:numId w:val="11"/>
        </w:numPr>
        <w:pBdr>
          <w:bottom w:val="single" w:sz="4" w:space="0" w:color="auto"/>
        </w:pBdr>
        <w:shd w:val="clear" w:color="auto" w:fill="auto"/>
        <w:tabs>
          <w:tab w:val="left" w:pos="692"/>
        </w:tabs>
        <w:ind w:hanging="520"/>
      </w:pPr>
      <w:bookmarkStart w:id="12" w:name="bookmark17"/>
      <w:r>
        <w:t>Cena a platební podmínky</w:t>
      </w:r>
      <w:bookmarkEnd w:id="12"/>
    </w:p>
    <w:p w:rsidR="00312C8E" w:rsidRDefault="0069327D">
      <w:pPr>
        <w:pStyle w:val="Zkladntext1"/>
        <w:numPr>
          <w:ilvl w:val="0"/>
          <w:numId w:val="9"/>
        </w:numPr>
        <w:shd w:val="clear" w:color="auto" w:fill="auto"/>
        <w:ind w:left="880" w:hanging="520"/>
      </w:pPr>
      <w:r>
        <w:t>l Cena za plnění Zhotovitele definovaná v kapitole I. odst. 1</w:t>
      </w:r>
      <w:r>
        <w:t xml:space="preserve">.1 odrážka 1. a 2. (MODUL A </w:t>
      </w:r>
      <w:proofErr w:type="spellStart"/>
      <w:r>
        <w:t>a</w:t>
      </w:r>
      <w:proofErr w:type="spellEnd"/>
      <w:r>
        <w:t xml:space="preserve"> MODUL B) dle této Smlouvy činí ==426.400= Kč bez DPH. </w:t>
      </w:r>
      <w:proofErr w:type="spellStart"/>
      <w:r>
        <w:t>Ktéto</w:t>
      </w:r>
      <w:proofErr w:type="spellEnd"/>
      <w:r>
        <w:t xml:space="preserve"> ceně bude připočtena DPH ve výši 21%, tedy ve výši 89.544,- Kč. Cena vč. DPH činí ==515.944== Kč.</w:t>
      </w:r>
    </w:p>
    <w:p w:rsidR="00312C8E" w:rsidRDefault="0069327D">
      <w:pPr>
        <w:pStyle w:val="Nadpis10"/>
        <w:keepNext/>
        <w:keepLines/>
        <w:shd w:val="clear" w:color="auto" w:fill="auto"/>
      </w:pPr>
      <w:bookmarkStart w:id="13" w:name="bookmark18"/>
      <w:r>
        <w:lastRenderedPageBreak/>
        <w:t>O</w:t>
      </w:r>
      <w:bookmarkEnd w:id="13"/>
    </w:p>
    <w:p w:rsidR="00312C8E" w:rsidRDefault="0069327D">
      <w:pPr>
        <w:pStyle w:val="Zkladntext30"/>
        <w:shd w:val="clear" w:color="auto" w:fill="auto"/>
        <w:spacing w:after="540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6003925</wp:posOffset>
                </wp:positionH>
                <wp:positionV relativeFrom="paragraph">
                  <wp:posOffset>25400</wp:posOffset>
                </wp:positionV>
                <wp:extent cx="859790" cy="194945"/>
                <wp:effectExtent l="0" t="0" r="0" b="0"/>
                <wp:wrapSquare wrapText="lef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2C8E" w:rsidRDefault="0069327D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t>Smlouva o dílo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72.75pt;margin-top:2.pt;width:67.700000000000003pt;height:15.35pt;z-index:-12582936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o dílo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rPr>
          <w:sz w:val="24"/>
          <w:szCs w:val="24"/>
        </w:rPr>
        <w:t>ders</w:t>
      </w:r>
      <w:proofErr w:type="spellEnd"/>
    </w:p>
    <w:p w:rsidR="00312C8E" w:rsidRDefault="0069327D">
      <w:pPr>
        <w:pStyle w:val="Zkladntext1"/>
        <w:numPr>
          <w:ilvl w:val="0"/>
          <w:numId w:val="12"/>
        </w:numPr>
        <w:shd w:val="clear" w:color="auto" w:fill="auto"/>
        <w:ind w:left="880" w:hanging="520"/>
      </w:pPr>
      <w:r>
        <w:t xml:space="preserve">2 Cena za MODUL C (Servisní podpora) za 1 </w:t>
      </w:r>
      <w:r>
        <w:t xml:space="preserve">rok poskytování činí ==96.086== </w:t>
      </w:r>
      <w:proofErr w:type="spellStart"/>
      <w:r>
        <w:t>kč</w:t>
      </w:r>
      <w:proofErr w:type="spellEnd"/>
      <w:r>
        <w:t xml:space="preserve"> bez DPH. K této ceně bude připočtena DPH ve výši 21%, tedy 20.178,06 </w:t>
      </w:r>
      <w:proofErr w:type="spellStart"/>
      <w:r>
        <w:t>kč</w:t>
      </w:r>
      <w:proofErr w:type="spellEnd"/>
      <w:r>
        <w:t>. Cena vč. DPH činí ==116.264,06== Kč. Za čtyři roky poskytování činí cena celkem ==384.344== Kč bez DPH.</w:t>
      </w:r>
    </w:p>
    <w:p w:rsidR="00312C8E" w:rsidRDefault="0069327D">
      <w:pPr>
        <w:pStyle w:val="Zkladntext1"/>
        <w:numPr>
          <w:ilvl w:val="0"/>
          <w:numId w:val="13"/>
        </w:numPr>
        <w:shd w:val="clear" w:color="auto" w:fill="auto"/>
        <w:tabs>
          <w:tab w:val="left" w:pos="772"/>
        </w:tabs>
        <w:ind w:left="880" w:hanging="520"/>
      </w:pPr>
      <w:r>
        <w:t>3</w:t>
      </w:r>
      <w:r>
        <w:tab/>
        <w:t>Cena uvedená v odstavci 9.1 a 9.2 je nejvý</w:t>
      </w:r>
      <w:r>
        <w:t>še přípustná, zahrnuje všechny náklady Zhotovitele.</w:t>
      </w:r>
    </w:p>
    <w:p w:rsidR="00312C8E" w:rsidRDefault="0069327D">
      <w:pPr>
        <w:pStyle w:val="Zkladntext1"/>
        <w:shd w:val="clear" w:color="auto" w:fill="auto"/>
        <w:tabs>
          <w:tab w:val="left" w:pos="772"/>
        </w:tabs>
        <w:spacing w:after="0"/>
        <w:ind w:left="880" w:hanging="520"/>
      </w:pPr>
      <w:proofErr w:type="gramStart"/>
      <w:r>
        <w:t>IX.4</w:t>
      </w:r>
      <w:r>
        <w:tab/>
        <w:t>Cena</w:t>
      </w:r>
      <w:proofErr w:type="gramEnd"/>
      <w:r>
        <w:t xml:space="preserve"> uvedená v odst. 9.1 bude fakturováno po dodání plnění (MODULU A </w:t>
      </w:r>
      <w:proofErr w:type="spellStart"/>
      <w:r>
        <w:t>a</w:t>
      </w:r>
      <w:proofErr w:type="spellEnd"/>
      <w:r>
        <w:t xml:space="preserve"> MODULU B). Cena uvedená v odst.</w:t>
      </w:r>
    </w:p>
    <w:p w:rsidR="00312C8E" w:rsidRDefault="0069327D">
      <w:pPr>
        <w:pStyle w:val="Zkladntext1"/>
        <w:shd w:val="clear" w:color="auto" w:fill="auto"/>
        <w:ind w:left="880"/>
      </w:pPr>
      <w:r>
        <w:t>9.2 bude fakturována čtvrtletně a to vždy do 15. dne měsíce následujícího po konci daného čtvrtl</w:t>
      </w:r>
      <w:r>
        <w:t>etí.</w:t>
      </w:r>
    </w:p>
    <w:p w:rsidR="00312C8E" w:rsidRDefault="0069327D">
      <w:pPr>
        <w:pStyle w:val="Zkladntext1"/>
        <w:shd w:val="clear" w:color="auto" w:fill="auto"/>
        <w:ind w:left="880" w:hanging="520"/>
      </w:pPr>
      <w:proofErr w:type="gramStart"/>
      <w:r>
        <w:t>IX.5 Faktura</w:t>
      </w:r>
      <w:proofErr w:type="gramEnd"/>
      <w:r>
        <w:t xml:space="preserve"> vystavená Zhotovitelem dle této Smlouvy bude vystavena jako daňový doklad se zúčtováním DPH dle předpisů platných k datu zdanitelného plnění a musí mít náležitosti stanovené pro daňový doklad. Splatnost faktury bude 14 kalendářních dnů od</w:t>
      </w:r>
      <w:r>
        <w:t xml:space="preserve"> vystavení faktury. Dnem uhrazení faktury je den, kdy byla příslušná částka připsána na účet Zhotovitele uvedený na příslušné faktuře.</w:t>
      </w:r>
    </w:p>
    <w:p w:rsidR="00312C8E" w:rsidRDefault="0069327D">
      <w:pPr>
        <w:pStyle w:val="Zkladntext1"/>
        <w:shd w:val="clear" w:color="auto" w:fill="auto"/>
        <w:ind w:left="880" w:hanging="520"/>
      </w:pPr>
      <w:proofErr w:type="gramStart"/>
      <w:r>
        <w:t>IX.6 Nesprávně</w:t>
      </w:r>
      <w:proofErr w:type="gramEnd"/>
      <w:r>
        <w:t xml:space="preserve"> nebo neúplně vyplněnou fakturu je Objednatel povinen vrátit Zhotoviteli k opravě do 3 pracovních dnů po je</w:t>
      </w:r>
      <w:r>
        <w:t>jím obdržení. V takovém případě po tuto dobu neběží doba splatnosti faktury, po vystavení bezchybné faktury počíná běžet nová lhůta splatnosti.</w:t>
      </w:r>
    </w:p>
    <w:p w:rsidR="00312C8E" w:rsidRDefault="0069327D">
      <w:pPr>
        <w:pStyle w:val="Zkladntext1"/>
        <w:shd w:val="clear" w:color="auto" w:fill="auto"/>
        <w:spacing w:after="360"/>
        <w:ind w:left="880" w:hanging="520"/>
      </w:pPr>
      <w:proofErr w:type="gramStart"/>
      <w:r>
        <w:t>IX.7 Objednatel</w:t>
      </w:r>
      <w:proofErr w:type="gramEnd"/>
      <w:r>
        <w:t xml:space="preserve"> se zavazuje uhradit sjednanou cenu ve stanoveném termínu. V případě prodlení Objednatele se zapl</w:t>
      </w:r>
      <w:r>
        <w:t>acením faktury se Objednatel zavazuje uhradit Zhotoviteli smluvní pokutu ve výši 0,05 % z dlužné částky za každý den prodlení. Tím není dotčen nárok Zhotovitele na náhradu škody tím způsobené.</w:t>
      </w:r>
    </w:p>
    <w:p w:rsidR="00312C8E" w:rsidRDefault="0069327D">
      <w:pPr>
        <w:pStyle w:val="Nadpis50"/>
        <w:keepNext/>
        <w:keepLines/>
        <w:numPr>
          <w:ilvl w:val="0"/>
          <w:numId w:val="11"/>
        </w:numPr>
        <w:pBdr>
          <w:bottom w:val="single" w:sz="4" w:space="0" w:color="auto"/>
        </w:pBdr>
        <w:shd w:val="clear" w:color="auto" w:fill="auto"/>
        <w:tabs>
          <w:tab w:val="left" w:pos="772"/>
        </w:tabs>
        <w:spacing w:after="220"/>
        <w:ind w:hanging="520"/>
      </w:pPr>
      <w:bookmarkStart w:id="14" w:name="bookmark19"/>
      <w:r>
        <w:t>Důvěrné informace</w:t>
      </w:r>
      <w:bookmarkEnd w:id="14"/>
    </w:p>
    <w:p w:rsidR="00312C8E" w:rsidRDefault="0069327D">
      <w:pPr>
        <w:pStyle w:val="Zkladntext1"/>
        <w:numPr>
          <w:ilvl w:val="0"/>
          <w:numId w:val="13"/>
        </w:numPr>
        <w:shd w:val="clear" w:color="auto" w:fill="auto"/>
        <w:ind w:left="880" w:hanging="520"/>
      </w:pPr>
      <w:r>
        <w:t>l Za důvěrné informace se bez ohledu na formu</w:t>
      </w:r>
      <w:r>
        <w:t xml:space="preserve"> jejich zachycení považují veškeré informace, které nebyly některou ze Smluvních stran označeny jako veřejné a které se týkají této Smlouvy, jejího plnění a informace obsažené v informačních systémech Objednatele. Dále se považují za informace důvěrného ch</w:t>
      </w:r>
      <w:r>
        <w:t>arakteru takové informace, které jsou jako důvěrné výslovně některou ze Smluvních stran označeny.</w:t>
      </w:r>
    </w:p>
    <w:p w:rsidR="00312C8E" w:rsidRDefault="0069327D">
      <w:pPr>
        <w:pStyle w:val="Zkladntext1"/>
        <w:numPr>
          <w:ilvl w:val="0"/>
          <w:numId w:val="12"/>
        </w:numPr>
        <w:shd w:val="clear" w:color="auto" w:fill="auto"/>
        <w:ind w:left="880" w:hanging="520"/>
      </w:pPr>
      <w:r>
        <w:t xml:space="preserve">2 Pro nakládání s osobními údaji, s nimiž Zhotovitel přijde do styku v průběhu plnění, a pro ochranu těchto údajů při jejich zpracování platí v plném rozsahu </w:t>
      </w:r>
      <w:r>
        <w:t>ustanovení zákona č. 101/2000 Sb., o ochraně osobních údajů, ve znění pozdějších předpisů.</w:t>
      </w:r>
    </w:p>
    <w:p w:rsidR="00312C8E" w:rsidRDefault="0069327D">
      <w:pPr>
        <w:pStyle w:val="Zkladntext1"/>
        <w:numPr>
          <w:ilvl w:val="0"/>
          <w:numId w:val="9"/>
        </w:numPr>
        <w:shd w:val="clear" w:color="auto" w:fill="auto"/>
        <w:ind w:left="880" w:hanging="520"/>
      </w:pPr>
      <w:r>
        <w:t>3 Smluvní strany jsou povinny zajistit utajení získaných důvěrných informací způsobem obvyklým pro utajování takových informací, není-li dále v této kapitole výslovn</w:t>
      </w:r>
      <w:r>
        <w:t>ě sjednáno jinak. Smluvní strany se tímto zavazují, že podniknou všechny kroky k zabezpečení utajení těchto informací.</w:t>
      </w:r>
    </w:p>
    <w:p w:rsidR="00312C8E" w:rsidRDefault="0069327D">
      <w:pPr>
        <w:pStyle w:val="Zkladntext1"/>
        <w:shd w:val="clear" w:color="auto" w:fill="auto"/>
        <w:ind w:left="880" w:hanging="520"/>
      </w:pPr>
      <w:proofErr w:type="gramStart"/>
      <w:r>
        <w:t>X.4 Povinnost</w:t>
      </w:r>
      <w:proofErr w:type="gramEnd"/>
      <w:r>
        <w:t xml:space="preserve"> oboustranného utajení důvěrných informací platí bez ohledu na ukončení účinnosti této Smlouvy.</w:t>
      </w:r>
    </w:p>
    <w:p w:rsidR="00312C8E" w:rsidRDefault="0069327D">
      <w:pPr>
        <w:pStyle w:val="Zkladntext1"/>
        <w:shd w:val="clear" w:color="auto" w:fill="auto"/>
        <w:ind w:left="880" w:hanging="520"/>
      </w:pPr>
      <w:proofErr w:type="gramStart"/>
      <w:r>
        <w:t>X.5 Smluvní</w:t>
      </w:r>
      <w:proofErr w:type="gramEnd"/>
      <w:r>
        <w:t xml:space="preserve"> strany jsou povi</w:t>
      </w:r>
      <w:r>
        <w:t>nny respektovat veškerá práva a oprávněné zájmy druhé Smluvní strany, její obchodní tajemství, obchodní značky a ochranné známky.</w:t>
      </w:r>
    </w:p>
    <w:p w:rsidR="00312C8E" w:rsidRDefault="0069327D">
      <w:pPr>
        <w:pStyle w:val="Zkladntext1"/>
        <w:shd w:val="clear" w:color="auto" w:fill="auto"/>
        <w:spacing w:after="360"/>
        <w:ind w:left="880" w:hanging="520"/>
      </w:pPr>
      <w:proofErr w:type="gramStart"/>
      <w:r>
        <w:t>X.6 Žádné</w:t>
      </w:r>
      <w:proofErr w:type="gramEnd"/>
      <w:r>
        <w:t xml:space="preserve"> ustanovení této Smlouvy nebrání žádné ze Smluvních stran v poskytnutí informací orgánům státní a veřejné správy Česk</w:t>
      </w:r>
      <w:r>
        <w:t>é republiky, pokud povinnost poskytnutí těchto informací vyplývá z platných právních předpisů.</w:t>
      </w:r>
    </w:p>
    <w:p w:rsidR="00312C8E" w:rsidRDefault="0069327D">
      <w:pPr>
        <w:pStyle w:val="Nadpis50"/>
        <w:keepNext/>
        <w:keepLines/>
        <w:numPr>
          <w:ilvl w:val="0"/>
          <w:numId w:val="11"/>
        </w:numPr>
        <w:pBdr>
          <w:bottom w:val="single" w:sz="4" w:space="0" w:color="auto"/>
        </w:pBdr>
        <w:shd w:val="clear" w:color="auto" w:fill="auto"/>
        <w:tabs>
          <w:tab w:val="left" w:pos="772"/>
        </w:tabs>
        <w:ind w:hanging="520"/>
      </w:pPr>
      <w:bookmarkStart w:id="15" w:name="bookmark20"/>
      <w:r>
        <w:t>Platnost a účinnost smlouvy</w:t>
      </w:r>
      <w:bookmarkEnd w:id="15"/>
    </w:p>
    <w:p w:rsidR="00312C8E" w:rsidRDefault="0069327D">
      <w:pPr>
        <w:pStyle w:val="Zkladntext1"/>
        <w:numPr>
          <w:ilvl w:val="0"/>
          <w:numId w:val="9"/>
        </w:numPr>
        <w:shd w:val="clear" w:color="auto" w:fill="auto"/>
        <w:ind w:left="880" w:hanging="520"/>
      </w:pPr>
      <w:r>
        <w:t>1 Objednatel i Zhotovitel jsou oprávněni odstoupit od této Smlouvy v případě podstatného porušení některého ujednání této Smlouvy dru</w:t>
      </w:r>
      <w:r>
        <w:t xml:space="preserve">hou Smluvní stranou, pokud na toto porušení příslušná Smluvní strana písemně upozorní druhou Smluvní stranu a porušující Smluvní strana do 20 kalendářních dnů neodstraní vzniklé porušení. Po marném uplynutí dodatečně poskytnuté </w:t>
      </w:r>
      <w:proofErr w:type="spellStart"/>
      <w:r>
        <w:t>lhůtyje</w:t>
      </w:r>
      <w:proofErr w:type="spellEnd"/>
      <w:r>
        <w:t xml:space="preserve"> smlouva v tomto příp</w:t>
      </w:r>
      <w:r>
        <w:t>adě ukončena dnem prokazatelného doručení písemného sdělení o odstoupení od Smlouvy druhé Smluvní straně.</w:t>
      </w:r>
    </w:p>
    <w:p w:rsidR="00312C8E" w:rsidRDefault="0069327D">
      <w:pPr>
        <w:pStyle w:val="Zkladntext1"/>
        <w:numPr>
          <w:ilvl w:val="0"/>
          <w:numId w:val="12"/>
        </w:numPr>
        <w:shd w:val="clear" w:color="auto" w:fill="auto"/>
        <w:tabs>
          <w:tab w:val="left" w:pos="772"/>
        </w:tabs>
        <w:spacing w:after="0"/>
        <w:ind w:left="880" w:hanging="520"/>
      </w:pPr>
      <w:r>
        <w:t>2</w:t>
      </w:r>
      <w:r>
        <w:tab/>
        <w:t>V případě skončení Smlouvy zanikají práva Smluvních stran založená touto Smlouvou vyjma příslušných ujednání</w:t>
      </w:r>
    </w:p>
    <w:p w:rsidR="00312C8E" w:rsidRDefault="0069327D">
      <w:pPr>
        <w:pStyle w:val="Zkladntext1"/>
        <w:shd w:val="clear" w:color="auto" w:fill="auto"/>
        <w:ind w:left="880"/>
      </w:pPr>
      <w:r>
        <w:t xml:space="preserve">v kapitole IV., kapitole X. a dalších </w:t>
      </w:r>
      <w:r>
        <w:t>ustanovení, z jejichž povahy vyplývá, že mají přetrvat i po skončení této Smlouvy. V případě skončení Smlouvy je Objednatel povinen neprodleně vrátit Zhotoviteli veškeré podklady či jiné plnění, které mu bylo Zhotovitelem v souvislosti s touto Smlouvou pos</w:t>
      </w:r>
      <w:r>
        <w:t>kytnuto. V případě předčasného</w:t>
      </w:r>
      <w:r>
        <w:br w:type="page"/>
      </w:r>
    </w:p>
    <w:p w:rsidR="00312C8E" w:rsidRDefault="0069327D">
      <w:pPr>
        <w:pStyle w:val="Nadpis60"/>
        <w:keepNext/>
        <w:keepLines/>
        <w:shd w:val="clear" w:color="auto" w:fill="auto"/>
        <w:spacing w:after="54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767080</wp:posOffset>
                </wp:positionH>
                <wp:positionV relativeFrom="paragraph">
                  <wp:posOffset>12700</wp:posOffset>
                </wp:positionV>
                <wp:extent cx="298450" cy="213360"/>
                <wp:effectExtent l="0" t="0" r="0" b="0"/>
                <wp:wrapSquare wrapText="bothSides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2C8E" w:rsidRDefault="0069327D">
                            <w:pPr>
                              <w:pStyle w:val="Zkladntext30"/>
                              <w:shd w:val="clear" w:color="auto" w:fill="auto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ders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60.399999999999999pt;margin-top:1.pt;width:23.5pt;height:16.800000000000001pt;z-index:-125829359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ders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6" w:name="bookmark21"/>
      <w:r>
        <w:t>Smlouva o dílo</w:t>
      </w:r>
      <w:bookmarkEnd w:id="16"/>
    </w:p>
    <w:p w:rsidR="00312C8E" w:rsidRDefault="0069327D">
      <w:pPr>
        <w:pStyle w:val="Zkladntext1"/>
        <w:shd w:val="clear" w:color="auto" w:fill="auto"/>
        <w:spacing w:after="380"/>
        <w:ind w:left="860" w:firstLine="20"/>
      </w:pPr>
      <w:r>
        <w:t>ukončení Smlouvy má Zhotovitel právo na poměrnou část sjednané ceny Díla odpovídající práci, kterou již na přípravě Díla do doby skončení Smlouvy odvedl.</w:t>
      </w:r>
    </w:p>
    <w:p w:rsidR="00312C8E" w:rsidRDefault="0069327D">
      <w:pPr>
        <w:pStyle w:val="Zkladntext30"/>
        <w:pBdr>
          <w:bottom w:val="single" w:sz="4" w:space="0" w:color="auto"/>
        </w:pBdr>
        <w:shd w:val="clear" w:color="auto" w:fill="auto"/>
        <w:spacing w:after="200"/>
        <w:ind w:left="860" w:hanging="50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XII ZÁVĚREČNÁ USTANOVENÍ</w:t>
      </w:r>
    </w:p>
    <w:p w:rsidR="00312C8E" w:rsidRDefault="0069327D">
      <w:pPr>
        <w:pStyle w:val="Zkladntext1"/>
        <w:numPr>
          <w:ilvl w:val="0"/>
          <w:numId w:val="12"/>
        </w:numPr>
        <w:shd w:val="clear" w:color="auto" w:fill="auto"/>
        <w:ind w:left="860" w:hanging="500"/>
      </w:pPr>
      <w:r>
        <w:t xml:space="preserve">1 Výkon autorských a </w:t>
      </w:r>
      <w:r>
        <w:t xml:space="preserve">souvisejících práv z této Smlouvy se ve věcech, které výslovně </w:t>
      </w:r>
      <w:proofErr w:type="gramStart"/>
      <w:r>
        <w:t>Smlouvá neupravuje</w:t>
      </w:r>
      <w:proofErr w:type="gramEnd"/>
      <w:r>
        <w:t>, řídí Autorským zákonem. Smluvní strany současně sjednávají, že pro jejich smluvní vztah vylučují použití ustanovení § 66 odst. 1 písm. b) Autorského zákona.</w:t>
      </w:r>
    </w:p>
    <w:p w:rsidR="00312C8E" w:rsidRDefault="0069327D">
      <w:pPr>
        <w:pStyle w:val="Zkladntext1"/>
        <w:numPr>
          <w:ilvl w:val="0"/>
          <w:numId w:val="9"/>
        </w:numPr>
        <w:shd w:val="clear" w:color="auto" w:fill="auto"/>
        <w:spacing w:after="0"/>
        <w:ind w:left="860" w:hanging="500"/>
      </w:pPr>
      <w:r>
        <w:t>2 Smluvní strany</w:t>
      </w:r>
      <w:r>
        <w:t xml:space="preserve"> sjednávají, že Zhotovitel odpovídá Objednateli za jakoukoliv újmu vzniklou v souvislosti s touto Smlouvou v celkovém souhrnu pouze do výše ceny za Dílo sjednané touto Smlouvou a uhrazené Objednatelem Zhotoviteli. Co do zbytku se Objednatel svého nároku na</w:t>
      </w:r>
      <w:r>
        <w:t xml:space="preserve"> náhradu újmy vzniklé v souvislosti s touto Smlouvou vzdává. Zaplacení jakékoliv smluvní pokuty dle této smlouvy nemá vliv na rozsah nároku na náhradu</w:t>
      </w:r>
    </w:p>
    <w:p w:rsidR="00312C8E" w:rsidRDefault="0069327D">
      <w:pPr>
        <w:pStyle w:val="Zkladntext1"/>
        <w:shd w:val="clear" w:color="auto" w:fill="auto"/>
        <w:ind w:left="860" w:firstLine="20"/>
        <w:jc w:val="left"/>
      </w:pPr>
      <w:r>
        <w:t>škody.</w:t>
      </w:r>
    </w:p>
    <w:p w:rsidR="00312C8E" w:rsidRDefault="0069327D">
      <w:pPr>
        <w:pStyle w:val="Zkladntext1"/>
        <w:shd w:val="clear" w:color="auto" w:fill="auto"/>
        <w:ind w:left="860" w:hanging="500"/>
      </w:pPr>
      <w:proofErr w:type="gramStart"/>
      <w:r>
        <w:t>XII.3 Bude</w:t>
      </w:r>
      <w:proofErr w:type="gramEnd"/>
      <w:r>
        <w:t xml:space="preserve">-li některé z ustanovení této Smlouvy shledáno neplatným nebo nevymahatelným, nemá </w:t>
      </w:r>
      <w:r>
        <w:t>taková skutečnost vliv na platnost nebo vymahatelnost zbývajících ustanovení této Smlouvy od něho oddělitelných a Smluvní strany se zavazují neprodleně nahradit takové neplatné nebo nevymahatelné ustanovení či jeho část ustanovením novým, které se svým smy</w:t>
      </w:r>
      <w:r>
        <w:t>slem a účelem nejvíce blíží takovému neplatnému či nevymahatelnému ustanovení.</w:t>
      </w:r>
    </w:p>
    <w:p w:rsidR="00312C8E" w:rsidRDefault="0069327D">
      <w:pPr>
        <w:pStyle w:val="Zkladntext1"/>
        <w:shd w:val="clear" w:color="auto" w:fill="auto"/>
        <w:ind w:left="860" w:hanging="500"/>
      </w:pPr>
      <w:proofErr w:type="gramStart"/>
      <w:r>
        <w:t>XII.4 Tato</w:t>
      </w:r>
      <w:proofErr w:type="gramEnd"/>
      <w:r>
        <w:t xml:space="preserve"> smlouva nabývá platnosti podpisem smluvních stran a účinnosti zveřejněním v registru smluv dle zákona č. 340/2015 Sb., o zvláštních podmínkách účinnosti některých sml</w:t>
      </w:r>
      <w:r>
        <w:t>uv, uveřejňování těchto smluv a o registru smluv (zákon o registru smluv).</w:t>
      </w:r>
    </w:p>
    <w:p w:rsidR="00312C8E" w:rsidRDefault="0069327D">
      <w:pPr>
        <w:pStyle w:val="Zkladntext1"/>
        <w:shd w:val="clear" w:color="auto" w:fill="auto"/>
        <w:ind w:left="860" w:hanging="500"/>
      </w:pPr>
      <w:proofErr w:type="gramStart"/>
      <w:r>
        <w:t>XII.5 Tato</w:t>
      </w:r>
      <w:proofErr w:type="gramEnd"/>
      <w:r>
        <w:t xml:space="preserve"> Smlouva se řídí právními předpisy České republiky. Strany se zavazují řešit případné spory vzniklé z této smlouvy přednostně vzájemnou dohodou. Všechny spory, které vznik</w:t>
      </w:r>
      <w:r>
        <w:t>nou z této Smlouvy nebo v souvislosti s ní, a které se nepodaří vyřešit přednostně smírnou cestou, budou rozhodovány obecnými soudy České republiky podle místa sídla žalující strany.</w:t>
      </w:r>
    </w:p>
    <w:p w:rsidR="00312C8E" w:rsidRDefault="0069327D">
      <w:pPr>
        <w:pStyle w:val="Zkladntext1"/>
        <w:shd w:val="clear" w:color="auto" w:fill="auto"/>
        <w:ind w:left="860" w:hanging="500"/>
      </w:pPr>
      <w:proofErr w:type="gramStart"/>
      <w:r>
        <w:t>XII.6 Smlouva</w:t>
      </w:r>
      <w:proofErr w:type="gramEnd"/>
      <w:r>
        <w:t xml:space="preserve"> je vyhotovena ve dvou stejnopisech a každá ze Smluvních str</w:t>
      </w:r>
      <w:r>
        <w:t>an obdrží jedno vyhotovení. Smlouva může být měněna pouze písemnou dohodou obou Smluvních stran ve formě písemného dodatku Smlouvy podepsaného oběma smluvními stranami.</w:t>
      </w:r>
    </w:p>
    <w:p w:rsidR="00312C8E" w:rsidRDefault="0069327D">
      <w:pPr>
        <w:pStyle w:val="Zkladntext1"/>
        <w:shd w:val="clear" w:color="auto" w:fill="auto"/>
        <w:ind w:left="860" w:hanging="500"/>
      </w:pPr>
      <w:r>
        <w:t>XI1.7 Obě Smluvní strany potvrzují autentičnost této Smlouvy a zároveň prohlašují, že s</w:t>
      </w:r>
      <w:r>
        <w:t>i Smlouvu přečetly a že jejímu obsahu v celé šíři rozumějí. Smluvní strany potvrzují, že tato Smlouva nebyla uzavřena v tísni ani za jednostranně nevýhodných podmínek, a na důkaz své pravé, svobodné a vážné vůle pak připojují své podpisy.</w:t>
      </w:r>
    </w:p>
    <w:p w:rsidR="00312C8E" w:rsidRDefault="0069327D">
      <w:pPr>
        <w:pStyle w:val="Zkladntext1"/>
        <w:shd w:val="clear" w:color="auto" w:fill="auto"/>
        <w:spacing w:after="0" w:line="360" w:lineRule="auto"/>
        <w:ind w:left="860" w:hanging="500"/>
      </w:pPr>
      <w:proofErr w:type="gramStart"/>
      <w:r>
        <w:t>XII.8 Nedílnou</w:t>
      </w:r>
      <w:proofErr w:type="gramEnd"/>
      <w:r>
        <w:t xml:space="preserve"> so</w:t>
      </w:r>
      <w:r>
        <w:t>učástí Smlouvy jsou její přílohy:</w:t>
      </w:r>
    </w:p>
    <w:p w:rsidR="00312C8E" w:rsidRDefault="0069327D">
      <w:pPr>
        <w:pStyle w:val="Zkladntext1"/>
        <w:shd w:val="clear" w:color="auto" w:fill="auto"/>
        <w:spacing w:after="0" w:line="360" w:lineRule="auto"/>
        <w:ind w:left="860" w:firstLine="20"/>
        <w:jc w:val="left"/>
      </w:pPr>
      <w:r>
        <w:t>Příloha č. 1 - Technická specifikace Příloha č. 2 - Podmínky poskytování podpory Příloha č. 3 - Zadávací dokumentace Příloha č. 4- Nabídka Zhotovitele</w:t>
      </w:r>
    </w:p>
    <w:p w:rsidR="00312C8E" w:rsidRDefault="0069327D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137160" distL="114300" distR="3455035" simplePos="0" relativeHeight="125829396" behindDoc="0" locked="0" layoutInCell="1" allowOverlap="1">
                <wp:simplePos x="0" y="0"/>
                <wp:positionH relativeFrom="page">
                  <wp:posOffset>1251585</wp:posOffset>
                </wp:positionH>
                <wp:positionV relativeFrom="paragraph">
                  <wp:posOffset>8890</wp:posOffset>
                </wp:positionV>
                <wp:extent cx="1776730" cy="74993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749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2C8E" w:rsidRDefault="0069327D">
                            <w:pPr>
                              <w:pStyle w:val="Zkladntext20"/>
                              <w:shd w:val="clear" w:color="auto" w:fill="auto"/>
                              <w:spacing w:line="266" w:lineRule="auto"/>
                              <w:ind w:right="180"/>
                            </w:pPr>
                            <w:r>
                              <w:t xml:space="preserve">Elektronický podpis - </w:t>
                            </w:r>
                            <w:proofErr w:type="gramStart"/>
                            <w:r>
                              <w:t>02.11.2020</w:t>
                            </w:r>
                            <w:proofErr w:type="gramEnd"/>
                            <w:r>
                              <w:t xml:space="preserve"> Certifikát autora podpisu:</w:t>
                            </w:r>
                          </w:p>
                          <w:p w:rsidR="00312C8E" w:rsidRDefault="0069327D">
                            <w:pPr>
                              <w:pStyle w:val="Zkladntext20"/>
                              <w:shd w:val="clear" w:color="auto" w:fill="auto"/>
                              <w:spacing w:line="266" w:lineRule="auto"/>
                              <w:jc w:val="left"/>
                            </w:pPr>
                            <w:r>
                              <w:t xml:space="preserve">Jméno: </w:t>
                            </w:r>
                            <w:proofErr w:type="spellStart"/>
                            <w:proofErr w:type="gramStart"/>
                            <w:r>
                              <w:t>I</w:t>
                            </w:r>
                            <w:r>
                              <w:t>ng.Jan</w:t>
                            </w:r>
                            <w:proofErr w:type="spellEnd"/>
                            <w:proofErr w:type="gramEnd"/>
                            <w:r>
                              <w:t xml:space="preserve"> Mach</w:t>
                            </w:r>
                          </w:p>
                          <w:p w:rsidR="00312C8E" w:rsidRDefault="0069327D">
                            <w:pPr>
                              <w:pStyle w:val="Zkladntext20"/>
                              <w:shd w:val="clear" w:color="auto" w:fill="auto"/>
                              <w:spacing w:line="266" w:lineRule="auto"/>
                              <w:jc w:val="left"/>
                            </w:pPr>
                            <w:r>
                              <w:t xml:space="preserve">Vydal: </w:t>
                            </w:r>
                            <w:proofErr w:type="spellStart"/>
                            <w:r>
                              <w:t>PostSignum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Qualified</w:t>
                            </w:r>
                            <w:proofErr w:type="spellEnd"/>
                            <w:r>
                              <w:t xml:space="preserve"> CA 4</w:t>
                            </w:r>
                          </w:p>
                          <w:p w:rsidR="00312C8E" w:rsidRDefault="0069327D">
                            <w:pPr>
                              <w:pStyle w:val="Zkladntext20"/>
                              <w:shd w:val="clear" w:color="auto" w:fill="auto"/>
                              <w:spacing w:line="266" w:lineRule="auto"/>
                              <w:jc w:val="left"/>
                            </w:pPr>
                            <w:r>
                              <w:t xml:space="preserve">Platnost </w:t>
                            </w:r>
                            <w:proofErr w:type="gramStart"/>
                            <w:r>
                              <w:t>do</w:t>
                            </w:r>
                            <w:proofErr w:type="gramEnd"/>
                            <w:r>
                              <w:t xml:space="preserve">: </w:t>
                            </w:r>
                            <w:proofErr w:type="gramStart"/>
                            <w:r>
                              <w:t>17.12.2020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98.549999999999997pt;margin-top:0.69999999999999996pt;width:139.90000000000001pt;height:59.049999999999997pt;z-index:-125829357;mso-wrap-distance-left:9.pt;mso-wrap-distance-right:272.05000000000001pt;mso-wrap-distance-bottom:10.800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18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Elektronický podpis - 02.11.2020 Certifikát autora podpisu: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Jméno: Ing.Jan Mach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Vydal: PostSignum Qualified CA 4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Platnost do: 17.12.2020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76580" distL="2973070" distR="2061845" simplePos="0" relativeHeight="125829398" behindDoc="0" locked="0" layoutInCell="1" allowOverlap="1">
                <wp:simplePos x="0" y="0"/>
                <wp:positionH relativeFrom="page">
                  <wp:posOffset>4110990</wp:posOffset>
                </wp:positionH>
                <wp:positionV relativeFrom="paragraph">
                  <wp:posOffset>8890</wp:posOffset>
                </wp:positionV>
                <wp:extent cx="311150" cy="30162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2C8E" w:rsidRDefault="0069327D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17" w:name="bookmark12"/>
                            <w:r>
                              <w:t>Ing</w:t>
                            </w:r>
                            <w:bookmarkEnd w:id="1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23.69999999999999pt;margin-top:0.69999999999999996pt;width:24.5pt;height:23.75pt;z-index:-125829355;mso-wrap-distance-left:234.09999999999999pt;mso-wrap-distance-right:162.34999999999999pt;mso-wrap-distance-bottom:45.399999999999999pt;mso-position-horizontal-relative:page" filled="f" stroked="f">
                <v:textbox inset="0,0,0,0">
                  <w:txbxContent>
                    <w:p>
                      <w:pPr>
                        <w:pStyle w:val="Style4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2" w:name="bookmark1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</w:t>
                      </w:r>
                      <w:bookmarkEnd w:id="1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2260" distB="0" distL="2973070" distR="1485900" simplePos="0" relativeHeight="125829400" behindDoc="0" locked="0" layoutInCell="1" allowOverlap="1">
                <wp:simplePos x="0" y="0"/>
                <wp:positionH relativeFrom="page">
                  <wp:posOffset>4110990</wp:posOffset>
                </wp:positionH>
                <wp:positionV relativeFrom="paragraph">
                  <wp:posOffset>311150</wp:posOffset>
                </wp:positionV>
                <wp:extent cx="887095" cy="58547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2C8E" w:rsidRDefault="0069327D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18" w:name="bookmark13"/>
                            <w:r>
                              <w:t>František</w:t>
                            </w:r>
                            <w:bookmarkEnd w:id="18"/>
                          </w:p>
                          <w:p w:rsidR="00312C8E" w:rsidRDefault="0069327D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30" w:lineRule="auto"/>
                            </w:pPr>
                            <w:bookmarkStart w:id="19" w:name="bookmark14"/>
                            <w:r>
                              <w:t>Brožík</w:t>
                            </w:r>
                            <w:bookmarkEnd w:id="19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323.69999999999999pt;margin-top:24.5pt;width:69.849999999999994pt;height:46.100000000000001pt;z-index:-125829353;mso-wrap-distance-left:234.09999999999999pt;mso-wrap-distance-top:23.800000000000001pt;mso-wrap-distance-right:117.pt;mso-position-horizontal-relative:page" filled="f" stroked="f">
                <v:textbox inset="0,0,0,0">
                  <w:txbxContent>
                    <w:p>
                      <w:pPr>
                        <w:pStyle w:val="Style4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3" w:name="bookmark1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František</w:t>
                      </w:r>
                      <w:bookmarkEnd w:id="13"/>
                    </w:p>
                    <w:p>
                      <w:pPr>
                        <w:pStyle w:val="Style4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bookmarkStart w:id="14" w:name="bookmark1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Brožík</w:t>
                      </w:r>
                      <w:bookmarkEnd w:id="1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75" distB="15240" distL="4119245" distR="114300" simplePos="0" relativeHeight="125829402" behindDoc="0" locked="0" layoutInCell="1" allowOverlap="1">
                <wp:simplePos x="0" y="0"/>
                <wp:positionH relativeFrom="page">
                  <wp:posOffset>5257165</wp:posOffset>
                </wp:positionH>
                <wp:positionV relativeFrom="paragraph">
                  <wp:posOffset>12065</wp:posOffset>
                </wp:positionV>
                <wp:extent cx="1112520" cy="85979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859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2C8E" w:rsidRDefault="0069327D">
                            <w:pPr>
                              <w:pStyle w:val="Nadpis60"/>
                              <w:keepNext/>
                              <w:keepLines/>
                              <w:shd w:val="clear" w:color="auto" w:fill="auto"/>
                              <w:spacing w:line="233" w:lineRule="auto"/>
                            </w:pPr>
                            <w:bookmarkStart w:id="20" w:name="bookmark15"/>
                            <w:r>
                              <w:t>Digitálně podepsal Ing. František Brožík</w:t>
                            </w:r>
                            <w:bookmarkEnd w:id="20"/>
                          </w:p>
                          <w:p w:rsidR="00312C8E" w:rsidRDefault="0069327D">
                            <w:pPr>
                              <w:pStyle w:val="Nadpis60"/>
                              <w:keepNext/>
                              <w:keepLines/>
                              <w:shd w:val="clear" w:color="auto" w:fill="auto"/>
                              <w:spacing w:line="233" w:lineRule="auto"/>
                            </w:pPr>
                            <w:bookmarkStart w:id="21" w:name="bookmark16"/>
                            <w:r>
                              <w:t>Datum: 2020.11.02 16:14:44+01'00'</w:t>
                            </w:r>
                            <w:bookmarkEnd w:id="2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413.94999999999999pt;margin-top:0.94999999999999996pt;width:87.599999999999994pt;height:67.700000000000003pt;z-index:-125829351;mso-wrap-distance-left:324.35000000000002pt;mso-wrap-distance-top:0.25pt;mso-wrap-distance-right:9.pt;mso-wrap-distance-bottom:1.2pt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bookmarkStart w:id="15" w:name="bookmark1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Ing. František Brožík</w:t>
                      </w:r>
                      <w:bookmarkEnd w:id="15"/>
                    </w:p>
                    <w:p>
                      <w:pPr>
                        <w:pStyle w:val="Style2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bookmarkStart w:id="16" w:name="bookmark1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2020.11.02 16:14:44+01'00'</w:t>
                      </w:r>
                      <w:bookmarkEnd w:id="16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2C8E" w:rsidRDefault="0069327D">
      <w:pPr>
        <w:pStyle w:val="Zkladntext20"/>
        <w:shd w:val="clear" w:color="auto" w:fill="auto"/>
        <w:spacing w:line="290" w:lineRule="auto"/>
        <w:ind w:right="60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4" behindDoc="0" locked="0" layoutInCell="1" allowOverlap="1">
                <wp:simplePos x="0" y="0"/>
                <wp:positionH relativeFrom="page">
                  <wp:posOffset>1586865</wp:posOffset>
                </wp:positionH>
                <wp:positionV relativeFrom="margin">
                  <wp:posOffset>8061960</wp:posOffset>
                </wp:positionV>
                <wp:extent cx="1234440" cy="347345"/>
                <wp:effectExtent l="0" t="0" r="0" b="0"/>
                <wp:wrapSquare wrapText="right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2C8E" w:rsidRDefault="0069327D">
                            <w:pPr>
                              <w:pStyle w:val="Zkladntext20"/>
                              <w:shd w:val="clear" w:color="auto" w:fill="auto"/>
                              <w:spacing w:line="295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Ing. Jan Mach, </w:t>
                            </w:r>
                            <w:r>
                              <w:t>jednatel</w:t>
                            </w:r>
                            <w:r>
                              <w:br/>
                              <w:t>DERS s. r. o.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124.95pt;margin-top:634.79999999999995pt;width:97.200000000000003pt;height:27.350000000000001pt;z-index:-125829349;mso-wrap-distance-left:9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Ing. Jan Mach,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jednatel</w:t>
                        <w:br/>
                        <w:t>DERS s. r. o.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Ing. František Brožík, pověřený řízením</w:t>
      </w:r>
      <w:r>
        <w:br/>
      </w:r>
      <w:r>
        <w:t>instituce</w:t>
      </w:r>
    </w:p>
    <w:p w:rsidR="00312C8E" w:rsidRDefault="0069327D">
      <w:pPr>
        <w:pStyle w:val="Zkladntext20"/>
        <w:shd w:val="clear" w:color="auto" w:fill="auto"/>
        <w:spacing w:line="290" w:lineRule="auto"/>
        <w:ind w:right="600"/>
        <w:jc w:val="center"/>
        <w:sectPr w:rsidR="00312C8E">
          <w:headerReference w:type="default" r:id="rId16"/>
          <w:footerReference w:type="default" r:id="rId17"/>
          <w:pgSz w:w="11900" w:h="16840"/>
          <w:pgMar w:top="695" w:right="1058" w:bottom="1995" w:left="1597" w:header="267" w:footer="3" w:gutter="0"/>
          <w:cols w:space="720"/>
          <w:noEndnote/>
          <w:docGrid w:linePitch="360"/>
        </w:sectPr>
      </w:pPr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312C8E" w:rsidRDefault="0069327D">
      <w:pPr>
        <w:pStyle w:val="Zkladntext20"/>
        <w:shd w:val="clear" w:color="auto" w:fill="auto"/>
        <w:spacing w:after="680"/>
        <w:ind w:left="5080"/>
        <w:jc w:val="left"/>
      </w:pPr>
      <w:r>
        <w:lastRenderedPageBreak/>
        <w:t>Příloha č. 3 k zadávací dokumentaci</w:t>
      </w:r>
    </w:p>
    <w:p w:rsidR="00312C8E" w:rsidRDefault="0069327D">
      <w:pPr>
        <w:pStyle w:val="Jin0"/>
        <w:shd w:val="clear" w:color="auto" w:fill="auto"/>
        <w:spacing w:after="180"/>
        <w:ind w:left="200"/>
        <w:jc w:val="center"/>
        <w:rPr>
          <w:sz w:val="28"/>
          <w:szCs w:val="28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>Technická specifikace a nabídková cena</w:t>
      </w:r>
    </w:p>
    <w:p w:rsidR="00312C8E" w:rsidRDefault="0069327D">
      <w:pPr>
        <w:pStyle w:val="Zkladntext20"/>
        <w:shd w:val="clear" w:color="auto" w:fill="auto"/>
        <w:spacing w:after="180" w:line="233" w:lineRule="auto"/>
        <w:ind w:right="520"/>
        <w:jc w:val="left"/>
      </w:pPr>
      <w:r>
        <w:t xml:space="preserve">v zadávacím řízení na veřejnou zakázku malého rozsahu na dodávky ve smyslu § 27, písm. b) a § 31 zákona č. 134/2016 Sb., o zadávání veřejných zakázek (dále jen </w:t>
      </w:r>
      <w:r>
        <w:rPr>
          <w:b/>
          <w:bCs/>
        </w:rPr>
        <w:t>„ZZVZ"):</w:t>
      </w:r>
    </w:p>
    <w:p w:rsidR="00312C8E" w:rsidRDefault="0069327D">
      <w:pPr>
        <w:pStyle w:val="Zkladntext20"/>
        <w:shd w:val="clear" w:color="auto" w:fill="auto"/>
        <w:ind w:left="200"/>
        <w:jc w:val="center"/>
      </w:pPr>
      <w:r>
        <w:t>s názvem</w:t>
      </w:r>
    </w:p>
    <w:p w:rsidR="00312C8E" w:rsidRDefault="0069327D">
      <w:pPr>
        <w:pStyle w:val="Zkladntext20"/>
        <w:shd w:val="clear" w:color="auto" w:fill="auto"/>
        <w:spacing w:after="560"/>
        <w:ind w:left="200"/>
        <w:jc w:val="center"/>
      </w:pPr>
      <w:r>
        <w:rPr>
          <w:b/>
          <w:bCs/>
        </w:rPr>
        <w:t>Informační systém pro evidenci a zpracování výsledků vědy a výzkumu pro Výzkum</w:t>
      </w:r>
      <w:r>
        <w:rPr>
          <w:b/>
          <w:bCs/>
        </w:rPr>
        <w:t>ný</w:t>
      </w:r>
      <w:r>
        <w:rPr>
          <w:b/>
          <w:bCs/>
        </w:rPr>
        <w:br/>
        <w:t xml:space="preserve">ústav rostlinné výroby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 Praha - Ruzyně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3"/>
        <w:gridCol w:w="2386"/>
      </w:tblGrid>
      <w:tr w:rsidR="00312C8E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ind w:left="320"/>
              <w:jc w:val="left"/>
            </w:pPr>
            <w:r>
              <w:rPr>
                <w:rFonts w:ascii="Arial" w:eastAsia="Arial" w:hAnsi="Arial" w:cs="Arial"/>
              </w:rPr>
              <w:t>Zadavatelem požadované</w:t>
            </w:r>
          </w:p>
          <w:p w:rsidR="00312C8E" w:rsidRDefault="0069327D">
            <w:pPr>
              <w:pStyle w:val="Jin0"/>
              <w:shd w:val="clear" w:color="auto" w:fill="auto"/>
              <w:spacing w:after="0"/>
              <w:ind w:left="320"/>
              <w:jc w:val="left"/>
            </w:pPr>
            <w:r>
              <w:rPr>
                <w:rFonts w:ascii="Arial" w:eastAsia="Arial" w:hAnsi="Arial" w:cs="Arial"/>
              </w:rPr>
              <w:t>technické parametry a funkční vlastnosti systému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 w:line="252" w:lineRule="auto"/>
              <w:ind w:left="80"/>
              <w:jc w:val="center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*)Plnění parametrů dodavatelem (ANO/NE), upřesnění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8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 w:line="218" w:lineRule="auto"/>
              <w:jc w:val="left"/>
            </w:pPr>
            <w:r>
              <w:rPr>
                <w:rFonts w:ascii="Arial" w:eastAsia="Arial" w:hAnsi="Arial" w:cs="Arial"/>
                <w:b/>
                <w:bCs/>
              </w:rPr>
              <w:t>MODUL A</w:t>
            </w:r>
          </w:p>
          <w:p w:rsidR="00312C8E" w:rsidRDefault="0069327D">
            <w:pPr>
              <w:pStyle w:val="Jin0"/>
              <w:shd w:val="clear" w:color="auto" w:fill="auto"/>
              <w:spacing w:after="0" w:line="218" w:lineRule="auto"/>
              <w:jc w:val="left"/>
            </w:pPr>
            <w:r>
              <w:rPr>
                <w:rFonts w:ascii="Arial" w:eastAsia="Arial" w:hAnsi="Arial" w:cs="Arial"/>
                <w:b/>
                <w:bCs/>
              </w:rPr>
              <w:t xml:space="preserve">Tvorba nového softwarového systému evidence výsledků a výstupů, aktivit a </w:t>
            </w:r>
            <w:r>
              <w:rPr>
                <w:rFonts w:ascii="Arial" w:eastAsia="Arial" w:hAnsi="Arial" w:cs="Arial"/>
                <w:b/>
                <w:bCs/>
              </w:rPr>
              <w:t xml:space="preserve">projektů pro VÚRV,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</w:rPr>
              <w:t>v.v.</w:t>
            </w:r>
            <w:proofErr w:type="gramEnd"/>
            <w:r>
              <w:rPr>
                <w:rFonts w:ascii="Arial" w:eastAsia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>.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 w:line="254" w:lineRule="auto"/>
              <w:ind w:left="760" w:hanging="30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• Systém musí při správném používání umožňovat evidovat všechny typy výsledků výzkumu a vývoje a vykazování dat pro Rejstřík informací o výsledcích (RIV)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C8E" w:rsidRDefault="0069327D">
            <w:pPr>
              <w:pStyle w:val="Jin0"/>
              <w:shd w:val="clear" w:color="auto" w:fill="auto"/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ANO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 w:line="252" w:lineRule="auto"/>
              <w:ind w:left="760" w:hanging="30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• Systém musí při správném používání umožňovat evidovat všechny typy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projektů, které ústav zpracovává, jejich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workflow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>, sledování jejich stavu a financování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C8E" w:rsidRDefault="0069327D">
            <w:pPr>
              <w:pStyle w:val="Jin0"/>
              <w:shd w:val="clear" w:color="auto" w:fill="auto"/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ANO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 w:line="254" w:lineRule="auto"/>
              <w:ind w:left="760" w:hanging="30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• Součástí dodávky jsou veškeré licence, které jsou nezbytně nutné pro řádné plnění předmětu veřejné zakázky, cena těchto licencí musí být součástí ceny v položce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„nabídková cena"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C8E" w:rsidRDefault="0069327D">
            <w:pPr>
              <w:pStyle w:val="Jin0"/>
              <w:shd w:val="clear" w:color="auto" w:fill="auto"/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ANO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ind w:left="760" w:hanging="30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• Systém musí umožňovat evidenci a třídění, import a export pro:</w:t>
            </w:r>
          </w:p>
          <w:p w:rsidR="00312C8E" w:rsidRDefault="0069327D">
            <w:pPr>
              <w:pStyle w:val="Jin0"/>
              <w:shd w:val="clear" w:color="auto" w:fill="auto"/>
              <w:spacing w:after="0"/>
              <w:ind w:left="760" w:firstLine="2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výsledky a výstupy (např. publikace, sborníky, patenty atd.), aktivity (přednášky) a výzkumné projekty.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C8E" w:rsidRDefault="0069327D">
            <w:pPr>
              <w:pStyle w:val="Jin0"/>
              <w:shd w:val="clear" w:color="auto" w:fill="auto"/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ANO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after="0" w:line="271" w:lineRule="auto"/>
              <w:ind w:left="760" w:hanging="30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• Systémy třídění musí být flexibilní a měnitelné podle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požadavků RVVI</w:t>
            </w:r>
          </w:p>
          <w:p w:rsidR="00312C8E" w:rsidRDefault="0069327D">
            <w:pPr>
              <w:pStyle w:val="Jin0"/>
              <w:shd w:val="clear" w:color="auto" w:fill="auto"/>
              <w:spacing w:after="0" w:line="271" w:lineRule="auto"/>
              <w:ind w:left="760" w:firstLine="2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a podle aktuálních vnitřních směrnic a řádů a pravidel VÚRV,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4"/>
                <w:szCs w:val="14"/>
              </w:rPr>
              <w:t>v.v.</w:t>
            </w:r>
            <w:proofErr w:type="gramEnd"/>
            <w:r>
              <w:rPr>
                <w:rFonts w:ascii="Verdana" w:eastAsia="Verdana" w:hAnsi="Verdana" w:cs="Verdana"/>
                <w:sz w:val="14"/>
                <w:szCs w:val="14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. ( např. Atestační pravidla). </w:t>
            </w:r>
            <w:proofErr w:type="gramStart"/>
            <w:r>
              <w:rPr>
                <w:rFonts w:ascii="Verdana" w:eastAsia="Verdana" w:hAnsi="Verdana" w:cs="Verdana"/>
                <w:sz w:val="14"/>
                <w:szCs w:val="14"/>
              </w:rPr>
              <w:t>T.j.</w:t>
            </w:r>
            <w:proofErr w:type="gram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systém musí být schopen práce s různými a flexibilně měnitelnými kritérií evidence a třídění a bodového hodnocení. Podle těchto nároků musí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umět vytvářet různé tiskové sestavy.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C8E" w:rsidRDefault="0069327D">
            <w:pPr>
              <w:pStyle w:val="Jin0"/>
              <w:shd w:val="clear" w:color="auto" w:fill="auto"/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ANO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ind w:left="760" w:hanging="30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• Systém musí „umět pracovat" separátně s různými roky - tj. </w:t>
            </w:r>
            <w:proofErr w:type="gramStart"/>
            <w:r>
              <w:rPr>
                <w:rFonts w:ascii="Verdana" w:eastAsia="Verdana" w:hAnsi="Verdana" w:cs="Verdana"/>
                <w:sz w:val="14"/>
                <w:szCs w:val="14"/>
              </w:rPr>
              <w:t>dle</w:t>
            </w:r>
            <w:proofErr w:type="gramEnd"/>
          </w:p>
          <w:p w:rsidR="00312C8E" w:rsidRDefault="0069327D">
            <w:pPr>
              <w:pStyle w:val="Jin0"/>
              <w:shd w:val="clear" w:color="auto" w:fill="auto"/>
              <w:spacing w:after="0"/>
              <w:ind w:left="760" w:firstLine="2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kritérií platných v minulých letech, tak pracovat s celým souborem dat podle kritériích daných v aktuálním roce.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C8E" w:rsidRDefault="0069327D">
            <w:pPr>
              <w:pStyle w:val="Jin0"/>
              <w:shd w:val="clear" w:color="auto" w:fill="auto"/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ANO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after="0" w:line="254" w:lineRule="auto"/>
              <w:ind w:left="760" w:hanging="30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• Systém musí umožňovat tisk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různých sestav podle různých kritérií.</w:t>
            </w:r>
          </w:p>
          <w:p w:rsidR="00312C8E" w:rsidRDefault="0069327D">
            <w:pPr>
              <w:pStyle w:val="Jin0"/>
              <w:shd w:val="clear" w:color="auto" w:fill="auto"/>
              <w:spacing w:after="0" w:line="254" w:lineRule="auto"/>
              <w:ind w:left="760" w:firstLine="2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Např. podle výsledků týmů nebo jednotlivců, podle dedikace na projekty, podle kategorií RIVV, atd. Separátním úkolem pro nový systém je tvorba sestav výsledků pro atestace, která mají odlišná kritéria než centrální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systém evidence výsledků systém RVVI (zahrnují více dodatečných kritérií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kateqorií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výsledků).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C8E" w:rsidRDefault="0069327D">
            <w:pPr>
              <w:pStyle w:val="Jin0"/>
              <w:shd w:val="clear" w:color="auto" w:fill="auto"/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ANO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after="0" w:line="276" w:lineRule="auto"/>
              <w:ind w:left="760" w:hanging="30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• Systém musí umět rozlišit (u všech výsledků a výstupů) autory z</w:t>
            </w:r>
          </w:p>
          <w:p w:rsidR="00312C8E" w:rsidRDefault="0069327D">
            <w:pPr>
              <w:pStyle w:val="Jin0"/>
              <w:shd w:val="clear" w:color="auto" w:fill="auto"/>
              <w:spacing w:after="0" w:line="262" w:lineRule="auto"/>
              <w:ind w:left="760" w:firstLine="20"/>
              <w:jc w:val="left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VÚRV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vvi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(a jejich autorské podíly), autory z ČR (tj. autory spadající pod cellového národního systém RWI) a autory ze zahraničí (tj. autory ne-spadající pod národní systém RVVI). Separátně by měls </w:t>
            </w:r>
            <w:r>
              <w:rPr>
                <w:rFonts w:ascii="Arial" w:eastAsia="Arial" w:hAnsi="Arial" w:cs="Arial"/>
              </w:rPr>
              <w:t>systém umět pracovat s výsledky externích studentů z unive</w:t>
            </w:r>
            <w:r>
              <w:rPr>
                <w:rFonts w:ascii="Arial" w:eastAsia="Arial" w:hAnsi="Arial" w:cs="Arial"/>
              </w:rPr>
              <w:t>rsit.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C8E" w:rsidRDefault="0069327D">
            <w:pPr>
              <w:pStyle w:val="Jin0"/>
              <w:shd w:val="clear" w:color="auto" w:fill="auto"/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ANO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after="0" w:line="271" w:lineRule="auto"/>
              <w:ind w:left="760" w:hanging="30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• Systém musí umět rozlišit publikace evidované ve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WoS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, SCOPUS a</w:t>
            </w:r>
          </w:p>
          <w:p w:rsidR="00312C8E" w:rsidRDefault="0069327D">
            <w:pPr>
              <w:pStyle w:val="Jin0"/>
              <w:shd w:val="clear" w:color="auto" w:fill="auto"/>
              <w:spacing w:after="0" w:line="271" w:lineRule="auto"/>
              <w:ind w:left="760" w:firstLine="2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aktualizovat každý rok jejich Impakt faktor (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WoS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>), a AIS index (</w:t>
            </w:r>
          </w:p>
          <w:p w:rsidR="00312C8E" w:rsidRDefault="0069327D">
            <w:pPr>
              <w:pStyle w:val="Jin0"/>
              <w:shd w:val="clear" w:color="auto" w:fill="auto"/>
              <w:spacing w:after="0" w:line="271" w:lineRule="auto"/>
              <w:ind w:left="760" w:firstLine="20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WoS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) a zařazení časopisu podle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kvartilů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WoS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(AIS a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kvartily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WoS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jsou dle nového požadavku rady vlády a metody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M17+)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C8E" w:rsidRDefault="0069327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ANO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ind w:left="760" w:hanging="30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• Systém musí umět export dat (výsledků) podle požadavků a formátů</w:t>
            </w:r>
          </w:p>
          <w:p w:rsidR="00312C8E" w:rsidRDefault="0069327D">
            <w:pPr>
              <w:pStyle w:val="Jin0"/>
              <w:shd w:val="clear" w:color="auto" w:fill="auto"/>
              <w:spacing w:after="0"/>
              <w:ind w:left="760" w:firstLine="2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do RVVI.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ANO</w:t>
            </w:r>
          </w:p>
        </w:tc>
      </w:tr>
    </w:tbl>
    <w:p w:rsidR="00312C8E" w:rsidRDefault="0069327D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9"/>
        <w:gridCol w:w="2357"/>
      </w:tblGrid>
      <w:tr w:rsidR="00312C8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ind w:left="760" w:hanging="32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lastRenderedPageBreak/>
              <w:t>• Systém musí zahrnovat různá přístupová práva na doplňování a kontrolu a schvalovaní (verifikace) vkládaných údajů. (</w:t>
            </w:r>
            <w:proofErr w:type="gramStart"/>
            <w:r>
              <w:rPr>
                <w:rFonts w:ascii="Verdana" w:eastAsia="Verdana" w:hAnsi="Verdana" w:cs="Verdana"/>
                <w:sz w:val="14"/>
                <w:szCs w:val="14"/>
              </w:rPr>
              <w:t>t.j.</w:t>
            </w:r>
            <w:proofErr w:type="gram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knihovna, přímý nadřízený, atd. 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C8E" w:rsidRDefault="0069327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ANO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after="0"/>
              <w:ind w:left="760" w:hanging="32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• Systém musí být dimenzován pro cca 350-400 zaměstnanců a</w:t>
            </w:r>
          </w:p>
          <w:p w:rsidR="00312C8E" w:rsidRDefault="0069327D">
            <w:pPr>
              <w:pStyle w:val="Jin0"/>
              <w:shd w:val="clear" w:color="auto" w:fill="auto"/>
              <w:spacing w:after="0"/>
              <w:ind w:left="760" w:firstLine="2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externích studentů a zahrnovat licenční oprávnění pro užívání nejméně 400 uživateli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C8E" w:rsidRDefault="0069327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ANO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ind w:left="760" w:hanging="32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• Systém musí běžet a ukládat data na hardware v areálu zadavatele a</w:t>
            </w:r>
          </w:p>
          <w:p w:rsidR="00312C8E" w:rsidRDefault="0069327D">
            <w:pPr>
              <w:pStyle w:val="Jin0"/>
              <w:shd w:val="clear" w:color="auto" w:fill="auto"/>
              <w:spacing w:after="0"/>
              <w:ind w:left="760" w:firstLine="2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pod úplnou kontrolou zadavatele.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before="80" w:after="0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ANO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MODUL B</w:t>
            </w:r>
          </w:p>
          <w:p w:rsidR="00312C8E" w:rsidRDefault="0069327D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Jednorázová migrace dat do nového systému VÚRV, </w:t>
            </w:r>
            <w:proofErr w:type="spellStart"/>
            <w:proofErr w:type="gramStart"/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v.v.</w:t>
            </w:r>
            <w:proofErr w:type="gramEnd"/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i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.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2C8E" w:rsidRDefault="0069327D">
            <w:pPr>
              <w:pStyle w:val="Jin0"/>
              <w:shd w:val="clear" w:color="auto" w:fill="auto"/>
              <w:spacing w:after="0"/>
              <w:ind w:left="760" w:hanging="32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• Migrace dat z předchozí verze IS PAV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C8E" w:rsidRDefault="0069327D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ANO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ind w:left="760" w:hanging="32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• Migrace stávajících dat RVVI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ANO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MODUL C</w:t>
            </w:r>
          </w:p>
          <w:p w:rsidR="00312C8E" w:rsidRDefault="0069327D">
            <w:pPr>
              <w:pStyle w:val="Jin0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Roční servis nového systému VÚRV, </w:t>
            </w:r>
            <w:proofErr w:type="spellStart"/>
            <w:proofErr w:type="gramStart"/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v.v.</w:t>
            </w:r>
            <w:proofErr w:type="gramEnd"/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i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.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ind w:left="760" w:hanging="32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• Servis „na zavolání".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ANO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after="0"/>
              <w:ind w:left="760" w:hanging="32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• Roční up-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date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softwarového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systému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ANO</w:t>
            </w:r>
          </w:p>
        </w:tc>
      </w:tr>
    </w:tbl>
    <w:p w:rsidR="00312C8E" w:rsidRDefault="00312C8E">
      <w:pPr>
        <w:spacing w:after="166" w:line="14" w:lineRule="exact"/>
      </w:pPr>
    </w:p>
    <w:p w:rsidR="00312C8E" w:rsidRDefault="0069327D">
      <w:pPr>
        <w:pStyle w:val="Jin0"/>
        <w:shd w:val="clear" w:color="auto" w:fill="auto"/>
        <w:spacing w:after="0"/>
        <w:jc w:val="left"/>
        <w:rPr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*) Poznámka:</w:t>
      </w:r>
    </w:p>
    <w:p w:rsidR="00312C8E" w:rsidRDefault="0069327D">
      <w:pPr>
        <w:pStyle w:val="Jin0"/>
        <w:shd w:val="clear" w:color="auto" w:fill="auto"/>
        <w:spacing w:after="0"/>
        <w:jc w:val="left"/>
        <w:rPr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Zadavatel požaduje technickou specifikaci s tím, že:</w:t>
      </w:r>
    </w:p>
    <w:p w:rsidR="00312C8E" w:rsidRDefault="0069327D">
      <w:pPr>
        <w:pStyle w:val="Jin0"/>
        <w:numPr>
          <w:ilvl w:val="0"/>
          <w:numId w:val="14"/>
        </w:numPr>
        <w:shd w:val="clear" w:color="auto" w:fill="auto"/>
        <w:tabs>
          <w:tab w:val="left" w:pos="326"/>
        </w:tabs>
        <w:spacing w:after="0"/>
        <w:jc w:val="left"/>
        <w:rPr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dodavatel napíše požadavek „NE" v případě, že nesplňuje požadavky zadavatele,</w:t>
      </w:r>
    </w:p>
    <w:p w:rsidR="00312C8E" w:rsidRDefault="0069327D">
      <w:pPr>
        <w:pStyle w:val="Jin0"/>
        <w:numPr>
          <w:ilvl w:val="0"/>
          <w:numId w:val="14"/>
        </w:numPr>
        <w:shd w:val="clear" w:color="auto" w:fill="auto"/>
        <w:tabs>
          <w:tab w:val="left" w:pos="330"/>
        </w:tabs>
        <w:spacing w:after="0"/>
        <w:jc w:val="left"/>
        <w:rPr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v případě že dodavatel požadavky zadavatele splňuje, napíše „ANO",</w:t>
      </w:r>
    </w:p>
    <w:p w:rsidR="00312C8E" w:rsidRDefault="0069327D">
      <w:pPr>
        <w:pStyle w:val="Jin0"/>
        <w:numPr>
          <w:ilvl w:val="0"/>
          <w:numId w:val="14"/>
        </w:numPr>
        <w:shd w:val="clear" w:color="auto" w:fill="auto"/>
        <w:tabs>
          <w:tab w:val="left" w:pos="330"/>
        </w:tabs>
        <w:spacing w:after="0"/>
        <w:jc w:val="left"/>
        <w:rPr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případně parametry upřesní,</w:t>
      </w:r>
    </w:p>
    <w:p w:rsidR="00312C8E" w:rsidRDefault="0069327D">
      <w:pPr>
        <w:spacing w:line="14" w:lineRule="exact"/>
        <w:sectPr w:rsidR="00312C8E">
          <w:headerReference w:type="default" r:id="rId18"/>
          <w:footerReference w:type="default" r:id="rId19"/>
          <w:headerReference w:type="first" r:id="rId20"/>
          <w:footerReference w:type="first" r:id="rId21"/>
          <w:pgSz w:w="11900" w:h="16840"/>
          <w:pgMar w:top="695" w:right="1058" w:bottom="1995" w:left="1597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07010" distB="390525" distL="114300" distR="114300" simplePos="0" relativeHeight="125829406" behindDoc="0" locked="0" layoutInCell="1" allowOverlap="1">
                <wp:simplePos x="0" y="0"/>
                <wp:positionH relativeFrom="page">
                  <wp:posOffset>1142365</wp:posOffset>
                </wp:positionH>
                <wp:positionV relativeFrom="paragraph">
                  <wp:posOffset>215900</wp:posOffset>
                </wp:positionV>
                <wp:extent cx="5635625" cy="3105785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625" cy="3105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74"/>
                              <w:gridCol w:w="1896"/>
                              <w:gridCol w:w="1728"/>
                              <w:gridCol w:w="1877"/>
                            </w:tblGrid>
                            <w:tr w:rsidR="00312C8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96"/>
                                <w:tblHeader/>
                              </w:trPr>
                              <w:tc>
                                <w:tcPr>
                                  <w:tcW w:w="887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Nabídková cena</w:t>
                                  </w:r>
                                </w:p>
                              </w:tc>
                            </w:tr>
                            <w:tr w:rsidR="00312C8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POLOŽKY</w:t>
                                  </w: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Kč bez DPH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21% DPH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Kč včetně DPH</w:t>
                                  </w:r>
                                </w:p>
                              </w:tc>
                            </w:tr>
                            <w:tr w:rsidR="00312C8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58"/>
                              </w:trPr>
                              <w:tc>
                                <w:tcPr>
                                  <w:tcW w:w="3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 w:line="269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MODUL A</w:t>
                                  </w:r>
                                </w:p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 w:line="269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 xml:space="preserve">Dodání softwarového systému evidence výsledků a výstupů, aktivit a projektů pro VÚRV,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v.v.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., pořízení licencí</w:t>
                                  </w: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394 400,00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14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82 824,00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477 224,00</w:t>
                                  </w:r>
                                </w:p>
                              </w:tc>
                            </w:tr>
                            <w:tr w:rsidR="00312C8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92"/>
                              </w:trPr>
                              <w:tc>
                                <w:tcPr>
                                  <w:tcW w:w="3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 w:line="266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MODUL B</w:t>
                                  </w:r>
                                </w:p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 w:line="266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 xml:space="preserve">Jednorázová migrace dat do nového systému VÚRV,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v.v.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32 000,00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6 720,00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38 720,00</w:t>
                                  </w:r>
                                </w:p>
                              </w:tc>
                            </w:tr>
                            <w:tr w:rsidR="00312C8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07"/>
                              </w:trPr>
                              <w:tc>
                                <w:tcPr>
                                  <w:tcW w:w="337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 w:line="276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MODULC</w:t>
                                  </w:r>
                                </w:p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 w:line="276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Podpora systému po dobu 4 let</w:t>
                                  </w:r>
                                </w:p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 w:line="276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(uvést zvlášť za celek a zvlášť za rok)</w:t>
                                  </w: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96 086,00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14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20 178,06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116 264,06</w:t>
                                  </w:r>
                                </w:p>
                              </w:tc>
                            </w:tr>
                            <w:tr w:rsidR="00312C8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</w:trPr>
                              <w:tc>
                                <w:tcPr>
                                  <w:tcW w:w="337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2C8E" w:rsidRDefault="00312C8E"/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384 344,00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14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80 712,24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465 056,24</w:t>
                                  </w:r>
                                </w:p>
                              </w:tc>
                            </w:tr>
                            <w:tr w:rsidR="00312C8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</w:trPr>
                              <w:tc>
                                <w:tcPr>
                                  <w:tcW w:w="3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Celková nabídková cena</w:t>
                                  </w: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810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744,00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170 256,24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2C8E" w:rsidRDefault="0069327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981 000,24</w:t>
                                  </w:r>
                                </w:p>
                              </w:tc>
                            </w:tr>
                          </w:tbl>
                          <w:p w:rsidR="00000000" w:rsidRDefault="0069327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9" o:spid="_x0000_s1040" type="#_x0000_t202" style="position:absolute;margin-left:89.95pt;margin-top:17pt;width:443.75pt;height:244.55pt;z-index:125829406;visibility:visible;mso-wrap-style:square;mso-wrap-distance-left:9pt;mso-wrap-distance-top:16.3pt;mso-wrap-distance-right:9pt;mso-wrap-distance-bottom:30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74"/>
                        <w:gridCol w:w="1896"/>
                        <w:gridCol w:w="1728"/>
                        <w:gridCol w:w="1877"/>
                      </w:tblGrid>
                      <w:tr w:rsidR="00312C8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96"/>
                          <w:tblHeader/>
                        </w:trPr>
                        <w:tc>
                          <w:tcPr>
                            <w:tcW w:w="887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24"/>
                                <w:szCs w:val="24"/>
                              </w:rPr>
                              <w:t>Nabídková cena</w:t>
                            </w:r>
                          </w:p>
                        </w:tc>
                      </w:tr>
                      <w:tr w:rsidR="00312C8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</w:trPr>
                        <w:tc>
                          <w:tcPr>
                            <w:tcW w:w="33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POLOŽKY</w:t>
                            </w: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Kč bez DPH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21% DPH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Kč včetně DPH</w:t>
                            </w:r>
                          </w:p>
                        </w:tc>
                      </w:tr>
                      <w:tr w:rsidR="00312C8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58"/>
                        </w:trPr>
                        <w:tc>
                          <w:tcPr>
                            <w:tcW w:w="33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 w:line="269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MODUL A</w:t>
                            </w:r>
                          </w:p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 w:line="269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Dodání softwarového systému evidence výsledků a výstupů, aktivit a projektů pro VÚRV,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., pořízení licencí</w:t>
                            </w: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394 400,00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14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82 824,00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477 224,00</w:t>
                            </w:r>
                          </w:p>
                        </w:tc>
                      </w:tr>
                      <w:tr w:rsidR="00312C8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92"/>
                        </w:trPr>
                        <w:tc>
                          <w:tcPr>
                            <w:tcW w:w="33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 w:line="266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MODUL B</w:t>
                            </w:r>
                          </w:p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 w:line="266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Jednorázová migrace dat do nového systému VÚRV,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32 000,00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6 720,00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38 720,00</w:t>
                            </w:r>
                          </w:p>
                        </w:tc>
                      </w:tr>
                      <w:tr w:rsidR="00312C8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07"/>
                        </w:trPr>
                        <w:tc>
                          <w:tcPr>
                            <w:tcW w:w="337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 w:line="276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MODULC</w:t>
                            </w:r>
                          </w:p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 w:line="276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Podpora systému po dobu 4 let</w:t>
                            </w:r>
                          </w:p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 w:line="276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(uvést zvlášť za celek a zvlášť za rok)</w:t>
                            </w: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96 086,00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14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20 178,06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116 264,06</w:t>
                            </w:r>
                          </w:p>
                        </w:tc>
                      </w:tr>
                      <w:tr w:rsidR="00312C8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</w:trPr>
                        <w:tc>
                          <w:tcPr>
                            <w:tcW w:w="337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2C8E" w:rsidRDefault="00312C8E"/>
                        </w:tc>
                        <w:tc>
                          <w:tcPr>
                            <w:tcW w:w="1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384 344,00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14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80 712,24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465 056,24</w:t>
                            </w:r>
                          </w:p>
                        </w:tc>
                      </w:tr>
                      <w:tr w:rsidR="00312C8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</w:trPr>
                        <w:tc>
                          <w:tcPr>
                            <w:tcW w:w="33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Celková nabídková cena</w:t>
                            </w: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810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744,00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170 256,24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981 000,24</w:t>
                            </w:r>
                          </w:p>
                        </w:tc>
                      </w:tr>
                    </w:tbl>
                    <w:p w:rsidR="00000000" w:rsidRDefault="0069327D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91840" distB="0" distL="114300" distR="1059180" simplePos="0" relativeHeight="125829408" behindDoc="0" locked="0" layoutInCell="1" allowOverlap="1">
                <wp:simplePos x="0" y="0"/>
                <wp:positionH relativeFrom="page">
                  <wp:posOffset>1142365</wp:posOffset>
                </wp:positionH>
                <wp:positionV relativeFrom="paragraph">
                  <wp:posOffset>3300730</wp:posOffset>
                </wp:positionV>
                <wp:extent cx="4690745" cy="42037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2C8E" w:rsidRDefault="0069327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Pozn.:</w:t>
                            </w:r>
                          </w:p>
                          <w:p w:rsidR="00312C8E" w:rsidRDefault="0069327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Obsah jednotlivých položek nabídkové ceny - MODULŮ - jsou podrobně vyspecifikovány v předchozí tabulce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89.950000000000003pt;margin-top:259.89999999999998pt;width:369.35000000000002pt;height:33.100000000000001pt;z-index:-125829345;mso-wrap-distance-left:9.pt;mso-wrap-distance-top:259.19999999999999pt;mso-wrap-distance-right:83.400000000000006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Pozn.: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Obsah jednotlivých položek nabídkové ceny - MODULŮ - jsou podrobně vyspecifikovány v předchozí tabulce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2C8E" w:rsidRDefault="00312C8E">
      <w:pPr>
        <w:spacing w:line="240" w:lineRule="exact"/>
        <w:rPr>
          <w:sz w:val="19"/>
          <w:szCs w:val="19"/>
        </w:rPr>
      </w:pPr>
    </w:p>
    <w:p w:rsidR="00312C8E" w:rsidRDefault="00312C8E">
      <w:pPr>
        <w:spacing w:line="240" w:lineRule="exact"/>
        <w:rPr>
          <w:sz w:val="19"/>
          <w:szCs w:val="19"/>
        </w:rPr>
      </w:pPr>
    </w:p>
    <w:p w:rsidR="00312C8E" w:rsidRDefault="00312C8E">
      <w:pPr>
        <w:spacing w:line="240" w:lineRule="exact"/>
        <w:rPr>
          <w:sz w:val="19"/>
          <w:szCs w:val="19"/>
        </w:rPr>
      </w:pPr>
    </w:p>
    <w:p w:rsidR="00312C8E" w:rsidRDefault="00312C8E">
      <w:pPr>
        <w:spacing w:line="240" w:lineRule="exact"/>
        <w:rPr>
          <w:sz w:val="19"/>
          <w:szCs w:val="19"/>
        </w:rPr>
      </w:pPr>
    </w:p>
    <w:p w:rsidR="00312C8E" w:rsidRDefault="00312C8E">
      <w:pPr>
        <w:spacing w:line="240" w:lineRule="exact"/>
        <w:rPr>
          <w:sz w:val="19"/>
          <w:szCs w:val="19"/>
        </w:rPr>
      </w:pPr>
    </w:p>
    <w:p w:rsidR="00312C8E" w:rsidRDefault="00312C8E">
      <w:pPr>
        <w:spacing w:before="113" w:after="113" w:line="240" w:lineRule="exact"/>
        <w:rPr>
          <w:sz w:val="19"/>
          <w:szCs w:val="19"/>
        </w:rPr>
      </w:pPr>
    </w:p>
    <w:p w:rsidR="00312C8E" w:rsidRDefault="00312C8E">
      <w:pPr>
        <w:spacing w:line="14" w:lineRule="exact"/>
        <w:sectPr w:rsidR="00312C8E">
          <w:type w:val="continuous"/>
          <w:pgSz w:w="11900" w:h="16840"/>
          <w:pgMar w:top="2165" w:right="0" w:bottom="1952" w:left="0" w:header="0" w:footer="3" w:gutter="0"/>
          <w:cols w:space="720"/>
          <w:noEndnote/>
          <w:docGrid w:linePitch="360"/>
        </w:sectPr>
      </w:pPr>
    </w:p>
    <w:p w:rsidR="00312C8E" w:rsidRDefault="0069327D">
      <w:pPr>
        <w:pStyle w:val="Zkladntext20"/>
        <w:shd w:val="clear" w:color="auto" w:fill="auto"/>
        <w:ind w:left="4020"/>
        <w:jc w:val="left"/>
        <w:sectPr w:rsidR="00312C8E">
          <w:type w:val="continuous"/>
          <w:pgSz w:w="11900" w:h="16840"/>
          <w:pgMar w:top="2165" w:right="1229" w:bottom="1952" w:left="1762" w:header="0" w:footer="3" w:gutter="0"/>
          <w:cols w:space="720"/>
          <w:noEndnote/>
          <w:docGrid w:linePitch="360"/>
        </w:sectPr>
      </w:pPr>
      <w:r>
        <w:lastRenderedPageBreak/>
        <w:t>Elektronický podpis oprávněné osoby dodavatele</w:t>
      </w:r>
    </w:p>
    <w:p w:rsidR="00312C8E" w:rsidRDefault="0069327D">
      <w:pPr>
        <w:pStyle w:val="Nadpis30"/>
        <w:keepNext/>
        <w:keepLines/>
        <w:shd w:val="clear" w:color="auto" w:fill="auto"/>
        <w:spacing w:before="840" w:after="180" w:line="240" w:lineRule="auto"/>
        <w:ind w:left="0" w:firstLine="0"/>
      </w:pPr>
      <w:bookmarkStart w:id="22" w:name="bookmark22"/>
      <w:r>
        <w:rPr>
          <w:rFonts w:ascii="Arial" w:eastAsia="Arial" w:hAnsi="Arial" w:cs="Arial"/>
          <w:color w:val="561E36"/>
          <w:sz w:val="22"/>
          <w:szCs w:val="22"/>
        </w:rPr>
        <w:lastRenderedPageBreak/>
        <w:t xml:space="preserve">Příloha č. </w:t>
      </w:r>
      <w:r>
        <w:rPr>
          <w:color w:val="561E36"/>
        </w:rPr>
        <w:t xml:space="preserve">2: </w:t>
      </w:r>
      <w:r>
        <w:t>Podmínky poskytování podpory</w:t>
      </w:r>
      <w:bookmarkEnd w:id="22"/>
    </w:p>
    <w:p w:rsidR="00312C8E" w:rsidRDefault="0069327D">
      <w:pPr>
        <w:pStyle w:val="Jin0"/>
        <w:numPr>
          <w:ilvl w:val="0"/>
          <w:numId w:val="15"/>
        </w:numPr>
        <w:pBdr>
          <w:top w:val="single" w:sz="4" w:space="0" w:color="auto"/>
        </w:pBdr>
        <w:shd w:val="clear" w:color="auto" w:fill="auto"/>
        <w:tabs>
          <w:tab w:val="left" w:pos="354"/>
        </w:tabs>
        <w:spacing w:after="120"/>
        <w:jc w:val="left"/>
        <w:rPr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Parametry Záručního servisu</w:t>
      </w:r>
    </w:p>
    <w:p w:rsidR="00312C8E" w:rsidRDefault="0069327D">
      <w:pPr>
        <w:pStyle w:val="Zkladntext20"/>
        <w:numPr>
          <w:ilvl w:val="1"/>
          <w:numId w:val="15"/>
        </w:numPr>
        <w:shd w:val="clear" w:color="auto" w:fill="auto"/>
        <w:tabs>
          <w:tab w:val="left" w:pos="1374"/>
        </w:tabs>
        <w:spacing w:after="180"/>
        <w:ind w:left="820" w:hanging="260"/>
        <w:jc w:val="left"/>
      </w:pPr>
      <w:r>
        <w:t>Podpora pro předmět Smlouvy uvedený v kapitole I. stanovuje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6989"/>
      </w:tblGrid>
      <w:tr w:rsidR="00312C8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Arial" w:eastAsia="Arial" w:hAnsi="Arial" w:cs="Arial"/>
                <w:b/>
                <w:bCs/>
                <w:color w:val="561E36"/>
              </w:rPr>
              <w:t>Kód služby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</w:pPr>
            <w:r>
              <w:rPr>
                <w:rFonts w:ascii="Arial" w:eastAsia="Arial" w:hAnsi="Arial" w:cs="Arial"/>
                <w:b/>
                <w:bCs/>
                <w:color w:val="561E36"/>
              </w:rPr>
              <w:t>Název služby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2C8E" w:rsidRDefault="00312C8E">
            <w:pPr>
              <w:rPr>
                <w:sz w:val="10"/>
                <w:szCs w:val="10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2C8E" w:rsidRDefault="00312C8E">
            <w:pPr>
              <w:rPr>
                <w:sz w:val="10"/>
                <w:szCs w:val="10"/>
              </w:rPr>
            </w:pP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before="100" w:after="0"/>
              <w:jc w:val="left"/>
            </w:pPr>
            <w:r>
              <w:rPr>
                <w:rFonts w:ascii="Arial" w:eastAsia="Arial" w:hAnsi="Arial" w:cs="Arial"/>
              </w:rPr>
              <w:t>D8x5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</w:pPr>
            <w:r>
              <w:rPr>
                <w:rFonts w:ascii="Arial" w:eastAsia="Arial" w:hAnsi="Arial" w:cs="Arial"/>
              </w:rPr>
              <w:t xml:space="preserve">Dostupnost 8x5 (8:00 - 16:00; Po-Pá) - viz kapitola II. Terminologie, odst. 2.6 této </w:t>
            </w:r>
            <w:r>
              <w:rPr>
                <w:rFonts w:ascii="Arial" w:eastAsia="Arial" w:hAnsi="Arial" w:cs="Arial"/>
              </w:rPr>
              <w:t>přílohy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Arial" w:eastAsia="Arial" w:hAnsi="Arial" w:cs="Arial"/>
              </w:rPr>
              <w:t>RD8H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</w:pPr>
            <w:r>
              <w:rPr>
                <w:rFonts w:ascii="Arial" w:eastAsia="Arial" w:hAnsi="Arial" w:cs="Arial"/>
              </w:rPr>
              <w:t>Reakční doba 8 hodin pro Chyby s vysokou prioritou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Arial" w:eastAsia="Arial" w:hAnsi="Arial" w:cs="Arial"/>
              </w:rPr>
              <w:t>DOZB36H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</w:pPr>
            <w:r>
              <w:rPr>
                <w:rFonts w:ascii="Arial" w:eastAsia="Arial" w:hAnsi="Arial" w:cs="Arial"/>
              </w:rPr>
              <w:t xml:space="preserve">Doba odstranění Chyby/závady - </w:t>
            </w:r>
            <w:proofErr w:type="spellStart"/>
            <w:r>
              <w:rPr>
                <w:rFonts w:ascii="Arial" w:eastAsia="Arial" w:hAnsi="Arial" w:cs="Arial"/>
              </w:rPr>
              <w:t>blocker</w:t>
            </w:r>
            <w:proofErr w:type="spellEnd"/>
            <w:r>
              <w:rPr>
                <w:rFonts w:ascii="Arial" w:eastAsia="Arial" w:hAnsi="Arial" w:cs="Arial"/>
              </w:rPr>
              <w:t xml:space="preserve"> 36 hodin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Arial" w:eastAsia="Arial" w:hAnsi="Arial" w:cs="Arial"/>
              </w:rPr>
              <w:t>DOZC56H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</w:pPr>
            <w:r>
              <w:rPr>
                <w:rFonts w:ascii="Arial" w:eastAsia="Arial" w:hAnsi="Arial" w:cs="Arial"/>
              </w:rPr>
              <w:t xml:space="preserve">Doba odstranění Chyby/závady - </w:t>
            </w:r>
            <w:proofErr w:type="spellStart"/>
            <w:r>
              <w:rPr>
                <w:rFonts w:ascii="Arial" w:eastAsia="Arial" w:hAnsi="Arial" w:cs="Arial"/>
              </w:rPr>
              <w:t>critical</w:t>
            </w:r>
            <w:proofErr w:type="spellEnd"/>
            <w:r>
              <w:rPr>
                <w:rFonts w:ascii="Arial" w:eastAsia="Arial" w:hAnsi="Arial" w:cs="Arial"/>
              </w:rPr>
              <w:t xml:space="preserve"> 56 hodin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Arial" w:eastAsia="Arial" w:hAnsi="Arial" w:cs="Arial"/>
              </w:rPr>
              <w:t>RD24H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</w:pPr>
            <w:r>
              <w:rPr>
                <w:rFonts w:ascii="Arial" w:eastAsia="Arial" w:hAnsi="Arial" w:cs="Arial"/>
              </w:rPr>
              <w:t>Reakční doba 24 hodin pro Chyby s nízkou prioritou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Arial" w:eastAsia="Arial" w:hAnsi="Arial" w:cs="Arial"/>
              </w:rPr>
              <w:t>DOZM240H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</w:pPr>
            <w:r>
              <w:rPr>
                <w:rFonts w:ascii="Arial" w:eastAsia="Arial" w:hAnsi="Arial" w:cs="Arial"/>
              </w:rPr>
              <w:t xml:space="preserve">Doba </w:t>
            </w:r>
            <w:r>
              <w:rPr>
                <w:rFonts w:ascii="Arial" w:eastAsia="Arial" w:hAnsi="Arial" w:cs="Arial"/>
              </w:rPr>
              <w:t>odstranění Chyby/závady - major 240 hodin (30 dnů)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Arial" w:eastAsia="Arial" w:hAnsi="Arial" w:cs="Arial"/>
              </w:rPr>
              <w:t>DOZT480H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</w:pPr>
            <w:r>
              <w:rPr>
                <w:rFonts w:ascii="Arial" w:eastAsia="Arial" w:hAnsi="Arial" w:cs="Arial"/>
              </w:rPr>
              <w:t xml:space="preserve">Doba odstranění Chyby/závady - minor a </w:t>
            </w:r>
            <w:proofErr w:type="spellStart"/>
            <w:r>
              <w:rPr>
                <w:rFonts w:ascii="Arial" w:eastAsia="Arial" w:hAnsi="Arial" w:cs="Arial"/>
              </w:rPr>
              <w:t>trivial</w:t>
            </w:r>
            <w:proofErr w:type="spellEnd"/>
            <w:r>
              <w:rPr>
                <w:rFonts w:ascii="Arial" w:eastAsia="Arial" w:hAnsi="Arial" w:cs="Arial"/>
              </w:rPr>
              <w:t xml:space="preserve"> v rámci další nasazované verze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Arial" w:eastAsia="Arial" w:hAnsi="Arial" w:cs="Arial"/>
              </w:rPr>
              <w:t>AKTUL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Hotfix</w:t>
            </w:r>
            <w:proofErr w:type="spellEnd"/>
            <w:r>
              <w:rPr>
                <w:rFonts w:ascii="Arial" w:eastAsia="Arial" w:hAnsi="Arial" w:cs="Arial"/>
              </w:rPr>
              <w:t xml:space="preserve"> aktualizace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Arial" w:eastAsia="Arial" w:hAnsi="Arial" w:cs="Arial"/>
              </w:rPr>
              <w:t>OBDSLF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after="0"/>
            </w:pPr>
            <w:r>
              <w:rPr>
                <w:rFonts w:ascii="Arial" w:eastAsia="Arial" w:hAnsi="Arial" w:cs="Arial"/>
              </w:rPr>
              <w:t>OBD správa číselníků forem RIV a literárních forem</w:t>
            </w:r>
          </w:p>
        </w:tc>
      </w:tr>
    </w:tbl>
    <w:p w:rsidR="00312C8E" w:rsidRDefault="00312C8E">
      <w:pPr>
        <w:spacing w:after="226" w:line="14" w:lineRule="exact"/>
      </w:pPr>
    </w:p>
    <w:p w:rsidR="00312C8E" w:rsidRDefault="0069327D">
      <w:pPr>
        <w:pStyle w:val="Zkladntext20"/>
        <w:numPr>
          <w:ilvl w:val="1"/>
          <w:numId w:val="15"/>
        </w:numPr>
        <w:shd w:val="clear" w:color="auto" w:fill="auto"/>
        <w:tabs>
          <w:tab w:val="left" w:pos="849"/>
        </w:tabs>
        <w:ind w:left="760" w:hanging="380"/>
      </w:pPr>
      <w:r>
        <w:t xml:space="preserve">Všechny chyby je Objednatel povinen hlásit prostřednictvím </w:t>
      </w:r>
      <w:proofErr w:type="spellStart"/>
      <w:r>
        <w:t>HelpDesku</w:t>
      </w:r>
      <w:proofErr w:type="spellEnd"/>
      <w:r>
        <w:t xml:space="preserve"> na </w:t>
      </w:r>
      <w:hyperlink r:id="rId22" w:history="1">
        <w:r>
          <w:rPr>
            <w:color w:val="1F467D"/>
            <w:u w:val="single"/>
            <w:lang w:val="en-US" w:eastAsia="en-US" w:bidi="en-US"/>
          </w:rPr>
          <w:t>http://jira.ders.cz/</w:t>
        </w:r>
        <w:r>
          <w:rPr>
            <w:color w:val="1F467D"/>
            <w:lang w:val="en-US" w:eastAsia="en-US" w:bidi="en-US"/>
          </w:rPr>
          <w:t xml:space="preserve"> </w:t>
        </w:r>
        <w:r>
          <w:t>a to klasifikací Chyba a určením její priority. Prioritu chyby je Zhotovitel oprávněn přezkoumat a v odůvodněných případně změnit</w:t>
        </w:r>
      </w:hyperlink>
      <w:r>
        <w:t>.</w:t>
      </w:r>
    </w:p>
    <w:p w:rsidR="00312C8E" w:rsidRDefault="0069327D">
      <w:pPr>
        <w:pStyle w:val="Zkladntext20"/>
        <w:numPr>
          <w:ilvl w:val="1"/>
          <w:numId w:val="15"/>
        </w:numPr>
        <w:shd w:val="clear" w:color="auto" w:fill="auto"/>
        <w:tabs>
          <w:tab w:val="left" w:pos="1374"/>
        </w:tabs>
        <w:ind w:left="820" w:hanging="260"/>
        <w:jc w:val="left"/>
      </w:pPr>
      <w:r>
        <w:t>RD a DOZ se vždy počítají a vztahují k dostupnosti.</w:t>
      </w:r>
    </w:p>
    <w:p w:rsidR="00312C8E" w:rsidRDefault="0069327D">
      <w:pPr>
        <w:pStyle w:val="Zkladntext20"/>
        <w:numPr>
          <w:ilvl w:val="1"/>
          <w:numId w:val="15"/>
        </w:numPr>
        <w:shd w:val="clear" w:color="auto" w:fill="auto"/>
        <w:tabs>
          <w:tab w:val="left" w:pos="1374"/>
        </w:tabs>
        <w:spacing w:after="180"/>
        <w:ind w:left="820" w:hanging="260"/>
        <w:jc w:val="left"/>
      </w:pPr>
      <w:r>
        <w:t>Pro</w:t>
      </w:r>
      <w:r>
        <w:t xml:space="preserve"> případ nutného zásahu s ohledem na udržení Produktu v chodu jsou stanoveny tyto osoby:</w:t>
      </w:r>
    </w:p>
    <w:p w:rsidR="00312C8E" w:rsidRDefault="0069327D">
      <w:pPr>
        <w:pStyle w:val="Titulektabulky0"/>
        <w:shd w:val="clear" w:color="auto" w:fill="auto"/>
      </w:pPr>
      <w:r>
        <w:t>Za Zhotovitele: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2232"/>
        <w:gridCol w:w="3466"/>
      </w:tblGrid>
      <w:tr w:rsidR="00312C8E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tabs>
                <w:tab w:val="left" w:pos="1757"/>
              </w:tabs>
              <w:spacing w:before="120" w:after="0"/>
              <w:ind w:left="700" w:firstLine="20"/>
            </w:pPr>
            <w:r>
              <w:rPr>
                <w:rFonts w:ascii="Arial" w:eastAsia="Arial" w:hAnsi="Arial" w:cs="Arial"/>
                <w:b/>
                <w:bCs/>
                <w:color w:val="561E36"/>
              </w:rPr>
              <w:t>Jméno</w:t>
            </w:r>
            <w:r>
              <w:rPr>
                <w:rFonts w:ascii="Arial" w:eastAsia="Arial" w:hAnsi="Arial" w:cs="Arial"/>
                <w:b/>
                <w:bCs/>
                <w:color w:val="561E36"/>
              </w:rPr>
              <w:tab/>
              <w:t>a</w:t>
            </w:r>
          </w:p>
          <w:p w:rsidR="00312C8E" w:rsidRDefault="0069327D">
            <w:pPr>
              <w:pStyle w:val="Jin0"/>
              <w:shd w:val="clear" w:color="auto" w:fill="auto"/>
              <w:spacing w:after="0"/>
              <w:ind w:left="700" w:firstLine="20"/>
            </w:pPr>
            <w:r>
              <w:rPr>
                <w:rFonts w:ascii="Arial" w:eastAsia="Arial" w:hAnsi="Arial" w:cs="Arial"/>
                <w:b/>
                <w:bCs/>
                <w:color w:val="561E36"/>
              </w:rPr>
              <w:t>příjmení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before="120" w:after="0"/>
              <w:ind w:left="700"/>
              <w:jc w:val="left"/>
            </w:pPr>
            <w:r>
              <w:rPr>
                <w:rFonts w:ascii="Arial" w:eastAsia="Arial" w:hAnsi="Arial" w:cs="Arial"/>
                <w:b/>
                <w:bCs/>
                <w:color w:val="561E36"/>
              </w:rPr>
              <w:t>Odpovědnost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before="120" w:after="0"/>
              <w:ind w:left="700" w:firstLine="20"/>
            </w:pPr>
            <w:r>
              <w:rPr>
                <w:rFonts w:ascii="Arial" w:eastAsia="Arial" w:hAnsi="Arial" w:cs="Arial"/>
                <w:b/>
                <w:bCs/>
                <w:color w:val="561E36"/>
              </w:rPr>
              <w:t>Kontakt a způsob hlášení požadavku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2C8E" w:rsidRDefault="00312C8E">
            <w:pPr>
              <w:pStyle w:val="Jin0"/>
              <w:shd w:val="clear" w:color="auto" w:fill="auto"/>
              <w:spacing w:after="0"/>
              <w:jc w:val="left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rPr>
                <w:rFonts w:ascii="Arial" w:eastAsia="Arial" w:hAnsi="Arial" w:cs="Arial"/>
              </w:rPr>
              <w:t>HelpDesk</w:t>
            </w:r>
            <w:proofErr w:type="spellEnd"/>
            <w:r>
              <w:rPr>
                <w:rFonts w:ascii="Arial" w:eastAsia="Arial" w:hAnsi="Arial" w:cs="Arial"/>
              </w:rPr>
              <w:t>, DODO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C8E" w:rsidRDefault="00312C8E">
            <w:pPr>
              <w:pStyle w:val="Jin0"/>
              <w:shd w:val="clear" w:color="auto" w:fill="auto"/>
              <w:spacing w:after="0"/>
              <w:jc w:val="left"/>
            </w:pP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C8E" w:rsidRDefault="00312C8E">
            <w:pPr>
              <w:pStyle w:val="Jin0"/>
              <w:shd w:val="clear" w:color="auto" w:fill="auto"/>
              <w:spacing w:before="80" w:after="0"/>
              <w:jc w:val="left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before="80" w:after="0"/>
              <w:jc w:val="left"/>
            </w:pPr>
            <w:r>
              <w:rPr>
                <w:rFonts w:ascii="Arial" w:eastAsia="Arial" w:hAnsi="Arial" w:cs="Arial"/>
              </w:rPr>
              <w:t>DODO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C8E" w:rsidRDefault="00312C8E">
            <w:pPr>
              <w:pStyle w:val="Jin0"/>
              <w:shd w:val="clear" w:color="auto" w:fill="auto"/>
              <w:spacing w:before="80" w:after="0"/>
              <w:jc w:val="left"/>
            </w:pPr>
          </w:p>
        </w:tc>
      </w:tr>
    </w:tbl>
    <w:p w:rsidR="00312C8E" w:rsidRDefault="00312C8E">
      <w:pPr>
        <w:spacing w:after="166" w:line="14" w:lineRule="exact"/>
      </w:pPr>
    </w:p>
    <w:p w:rsidR="00312C8E" w:rsidRDefault="00312C8E">
      <w:pPr>
        <w:spacing w:line="14" w:lineRule="exact"/>
      </w:pPr>
    </w:p>
    <w:p w:rsidR="00312C8E" w:rsidRDefault="0069327D">
      <w:pPr>
        <w:pStyle w:val="Titulektabulky0"/>
        <w:shd w:val="clear" w:color="auto" w:fill="auto"/>
      </w:pPr>
      <w:r>
        <w:t>Za Objednatele: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3"/>
        <w:gridCol w:w="2232"/>
        <w:gridCol w:w="3466"/>
      </w:tblGrid>
      <w:tr w:rsidR="00312C8E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2C8E" w:rsidRDefault="0069327D">
            <w:pPr>
              <w:pStyle w:val="Jin0"/>
              <w:shd w:val="clear" w:color="auto" w:fill="auto"/>
              <w:tabs>
                <w:tab w:val="left" w:pos="1762"/>
              </w:tabs>
              <w:spacing w:after="0"/>
              <w:ind w:left="700" w:firstLine="20"/>
            </w:pPr>
            <w:r>
              <w:rPr>
                <w:rFonts w:ascii="Arial" w:eastAsia="Arial" w:hAnsi="Arial" w:cs="Arial"/>
                <w:b/>
                <w:bCs/>
                <w:color w:val="561E36"/>
              </w:rPr>
              <w:t>Jméno</w:t>
            </w:r>
            <w:r>
              <w:rPr>
                <w:rFonts w:ascii="Arial" w:eastAsia="Arial" w:hAnsi="Arial" w:cs="Arial"/>
                <w:b/>
                <w:bCs/>
                <w:color w:val="561E36"/>
              </w:rPr>
              <w:tab/>
              <w:t>a</w:t>
            </w:r>
          </w:p>
          <w:p w:rsidR="00312C8E" w:rsidRDefault="0069327D">
            <w:pPr>
              <w:pStyle w:val="Jin0"/>
              <w:shd w:val="clear" w:color="auto" w:fill="auto"/>
              <w:spacing w:after="0"/>
              <w:ind w:left="700" w:firstLine="20"/>
            </w:pPr>
            <w:r>
              <w:rPr>
                <w:rFonts w:ascii="Arial" w:eastAsia="Arial" w:hAnsi="Arial" w:cs="Arial"/>
                <w:b/>
                <w:bCs/>
                <w:color w:val="561E36"/>
              </w:rPr>
              <w:t>příjmení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2C8E" w:rsidRDefault="0069327D">
            <w:pPr>
              <w:pStyle w:val="Jin0"/>
              <w:shd w:val="clear" w:color="auto" w:fill="auto"/>
              <w:spacing w:after="0"/>
              <w:ind w:left="700"/>
              <w:jc w:val="left"/>
            </w:pPr>
            <w:r>
              <w:rPr>
                <w:rFonts w:ascii="Arial" w:eastAsia="Arial" w:hAnsi="Arial" w:cs="Arial"/>
                <w:b/>
                <w:bCs/>
                <w:color w:val="561E36"/>
              </w:rPr>
              <w:t>Odpovědnost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C8E" w:rsidRDefault="0069327D">
            <w:pPr>
              <w:pStyle w:val="Jin0"/>
              <w:shd w:val="clear" w:color="auto" w:fill="auto"/>
              <w:spacing w:after="0"/>
              <w:ind w:left="700"/>
            </w:pPr>
            <w:r>
              <w:rPr>
                <w:rFonts w:ascii="Arial" w:eastAsia="Arial" w:hAnsi="Arial" w:cs="Arial"/>
                <w:b/>
                <w:bCs/>
                <w:color w:val="561E36"/>
              </w:rPr>
              <w:t>Kontakt a způsob hlášení požadavku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C8E" w:rsidRDefault="00312C8E" w:rsidP="005E0977">
            <w:pPr>
              <w:pStyle w:val="Jin0"/>
              <w:shd w:val="clear" w:color="auto" w:fill="auto"/>
              <w:tabs>
                <w:tab w:val="left" w:pos="1066"/>
              </w:tabs>
              <w:spacing w:before="80" w:after="0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before="80" w:after="0"/>
              <w:jc w:val="left"/>
            </w:pPr>
            <w:r>
              <w:rPr>
                <w:rFonts w:ascii="Arial" w:eastAsia="Arial" w:hAnsi="Arial" w:cs="Arial"/>
              </w:rPr>
              <w:t>Kontaktní osoba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C8E" w:rsidRDefault="00312C8E">
            <w:pPr>
              <w:pStyle w:val="Jin0"/>
              <w:shd w:val="clear" w:color="auto" w:fill="auto"/>
              <w:spacing w:before="80" w:after="0"/>
            </w:pPr>
          </w:p>
        </w:tc>
      </w:tr>
    </w:tbl>
    <w:p w:rsidR="00312C8E" w:rsidRDefault="00312C8E">
      <w:pPr>
        <w:spacing w:after="166" w:line="14" w:lineRule="exact"/>
      </w:pPr>
    </w:p>
    <w:p w:rsidR="00312C8E" w:rsidRDefault="0069327D">
      <w:pPr>
        <w:pStyle w:val="Zkladntext20"/>
        <w:numPr>
          <w:ilvl w:val="1"/>
          <w:numId w:val="15"/>
        </w:numPr>
        <w:shd w:val="clear" w:color="auto" w:fill="auto"/>
        <w:tabs>
          <w:tab w:val="left" w:pos="854"/>
        </w:tabs>
        <w:spacing w:after="180"/>
        <w:ind w:left="760" w:hanging="380"/>
      </w:pPr>
      <w:r>
        <w:t>Tuto osobu bude Zhotovitel v případě potřeby kontaktovat a Objednatel se zavazuje zajistit její plnou součinnost.</w:t>
      </w:r>
      <w:r>
        <w:br w:type="page"/>
      </w:r>
    </w:p>
    <w:p w:rsidR="00312C8E" w:rsidRDefault="0069327D">
      <w:pPr>
        <w:pStyle w:val="Nadpis60"/>
        <w:keepNext/>
        <w:keepLines/>
        <w:shd w:val="clear" w:color="auto" w:fill="auto"/>
        <w:spacing w:after="52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410" behindDoc="0" locked="0" layoutInCell="1" allowOverlap="1">
                <wp:simplePos x="0" y="0"/>
                <wp:positionH relativeFrom="page">
                  <wp:posOffset>1031875</wp:posOffset>
                </wp:positionH>
                <wp:positionV relativeFrom="paragraph">
                  <wp:posOffset>25400</wp:posOffset>
                </wp:positionV>
                <wp:extent cx="213360" cy="140335"/>
                <wp:effectExtent l="0" t="0" r="0" b="0"/>
                <wp:wrapSquare wrapText="bothSides"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2C8E" w:rsidRDefault="0069327D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•5*5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81.25pt;margin-top:2.pt;width:16.800000000000001pt;height:11.050000000000001pt;z-index:-12582934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•5*5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23" w:name="bookmark23"/>
      <w:r>
        <w:t>Smlouva o dílo</w:t>
      </w:r>
      <w:bookmarkEnd w:id="23"/>
    </w:p>
    <w:p w:rsidR="00312C8E" w:rsidRDefault="0069327D">
      <w:pPr>
        <w:pStyle w:val="Jin0"/>
        <w:numPr>
          <w:ilvl w:val="0"/>
          <w:numId w:val="15"/>
        </w:numPr>
        <w:shd w:val="clear" w:color="auto" w:fill="auto"/>
        <w:tabs>
          <w:tab w:val="left" w:pos="322"/>
        </w:tabs>
        <w:spacing w:after="120"/>
        <w:jc w:val="left"/>
        <w:rPr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>Terminologie</w:t>
      </w:r>
    </w:p>
    <w:p w:rsidR="00312C8E" w:rsidRDefault="0069327D">
      <w:pPr>
        <w:pStyle w:val="Zkladntext20"/>
        <w:numPr>
          <w:ilvl w:val="1"/>
          <w:numId w:val="15"/>
        </w:numPr>
        <w:shd w:val="clear" w:color="auto" w:fill="auto"/>
        <w:tabs>
          <w:tab w:val="left" w:pos="1326"/>
        </w:tabs>
        <w:ind w:left="780" w:hanging="260"/>
      </w:pPr>
      <w:proofErr w:type="spellStart"/>
      <w:r>
        <w:rPr>
          <w:b/>
          <w:bCs/>
        </w:rPr>
        <w:t>HelpDesk</w:t>
      </w:r>
      <w:proofErr w:type="spellEnd"/>
      <w:r>
        <w:rPr>
          <w:b/>
          <w:bCs/>
        </w:rPr>
        <w:t xml:space="preserve"> </w:t>
      </w:r>
      <w:r>
        <w:t xml:space="preserve">je aplikace Zhotovitele, která slouží pro evidenci a řešení Incidentů (hlášení chyb, dotazy, </w:t>
      </w:r>
      <w:proofErr w:type="gramStart"/>
      <w:r>
        <w:t>požadavky, ...) vzniklých</w:t>
      </w:r>
      <w:proofErr w:type="gramEnd"/>
      <w:r>
        <w:t xml:space="preserve"> v rámci používání předmětu Smlouvy. </w:t>
      </w:r>
      <w:proofErr w:type="spellStart"/>
      <w:r>
        <w:t>HelpDesk</w:t>
      </w:r>
      <w:proofErr w:type="spellEnd"/>
      <w:r>
        <w:t xml:space="preserve"> je hlavním oficiálním komunikačním kanálem mezi Zhotovitele a Objednatele. Zhotovitel si vyh</w:t>
      </w:r>
      <w:r>
        <w:t xml:space="preserve">razuje právo nereagovat na Incidenty, které nejsou evidovány v </w:t>
      </w:r>
      <w:proofErr w:type="spellStart"/>
      <w:r>
        <w:t>HelpDesku</w:t>
      </w:r>
      <w:proofErr w:type="spellEnd"/>
      <w:r>
        <w:t xml:space="preserve">. </w:t>
      </w:r>
      <w:proofErr w:type="spellStart"/>
      <w:r>
        <w:t>HelpDesk</w:t>
      </w:r>
      <w:proofErr w:type="spellEnd"/>
      <w:r>
        <w:t xml:space="preserve"> Zhotovitele je provozován prostřednictvím JÍRA na </w:t>
      </w:r>
      <w:hyperlink r:id="rId23" w:history="1">
        <w:r>
          <w:rPr>
            <w:lang w:val="en-US" w:eastAsia="en-US" w:bidi="en-US"/>
          </w:rPr>
          <w:t>https://jira.ders.cz</w:t>
        </w:r>
      </w:hyperlink>
      <w:r>
        <w:rPr>
          <w:lang w:val="en-US" w:eastAsia="en-US" w:bidi="en-US"/>
        </w:rPr>
        <w:t xml:space="preserve"> </w:t>
      </w:r>
      <w:r>
        <w:t>a je Objednateli dostupný 24hodin denně 7 dnů v týdnu mimo oznámené</w:t>
      </w:r>
      <w:r>
        <w:t xml:space="preserve"> výpadky na webových stránkách Zhotovitele nebo výpadky, které nemůže Zhotovitel ovlivnit.</w:t>
      </w:r>
    </w:p>
    <w:p w:rsidR="00312C8E" w:rsidRDefault="0069327D">
      <w:pPr>
        <w:pStyle w:val="Zkladntext20"/>
        <w:numPr>
          <w:ilvl w:val="1"/>
          <w:numId w:val="15"/>
        </w:numPr>
        <w:shd w:val="clear" w:color="auto" w:fill="auto"/>
        <w:tabs>
          <w:tab w:val="left" w:pos="1326"/>
        </w:tabs>
        <w:ind w:left="780" w:hanging="260"/>
      </w:pPr>
      <w:r>
        <w:rPr>
          <w:b/>
          <w:bCs/>
        </w:rPr>
        <w:t xml:space="preserve">Záruční podpora </w:t>
      </w:r>
      <w:r>
        <w:t>je definována v rámci Smlouvy v kapitole II. odst. 1.4 této Smlouvy.</w:t>
      </w:r>
    </w:p>
    <w:p w:rsidR="00312C8E" w:rsidRDefault="0069327D">
      <w:pPr>
        <w:pStyle w:val="Zkladntext20"/>
        <w:numPr>
          <w:ilvl w:val="1"/>
          <w:numId w:val="15"/>
        </w:numPr>
        <w:shd w:val="clear" w:color="auto" w:fill="auto"/>
        <w:tabs>
          <w:tab w:val="left" w:pos="1326"/>
        </w:tabs>
        <w:ind w:left="780" w:hanging="260"/>
      </w:pPr>
      <w:r>
        <w:rPr>
          <w:b/>
          <w:bCs/>
        </w:rPr>
        <w:t xml:space="preserve">Mimozáruční servisní podporou </w:t>
      </w:r>
      <w:r>
        <w:t>se rozumí veškeré služby, které časově nebo rozsah</w:t>
      </w:r>
      <w:r>
        <w:t>em/kvalitou překračují podporu v Záruční době.</w:t>
      </w:r>
    </w:p>
    <w:p w:rsidR="00312C8E" w:rsidRDefault="0069327D">
      <w:pPr>
        <w:pStyle w:val="Zkladntext20"/>
        <w:numPr>
          <w:ilvl w:val="1"/>
          <w:numId w:val="15"/>
        </w:numPr>
        <w:shd w:val="clear" w:color="auto" w:fill="auto"/>
        <w:tabs>
          <w:tab w:val="left" w:pos="1326"/>
        </w:tabs>
        <w:ind w:left="780" w:hanging="260"/>
      </w:pPr>
      <w:r>
        <w:t xml:space="preserve">Incident je záznam v </w:t>
      </w:r>
      <w:proofErr w:type="spellStart"/>
      <w:r>
        <w:t>HelpDesku</w:t>
      </w:r>
      <w:proofErr w:type="spellEnd"/>
      <w:r>
        <w:t>.</w:t>
      </w:r>
    </w:p>
    <w:p w:rsidR="00312C8E" w:rsidRDefault="0069327D">
      <w:pPr>
        <w:pStyle w:val="Zkladntext20"/>
        <w:numPr>
          <w:ilvl w:val="1"/>
          <w:numId w:val="15"/>
        </w:numPr>
        <w:shd w:val="clear" w:color="auto" w:fill="auto"/>
        <w:tabs>
          <w:tab w:val="left" w:pos="1326"/>
        </w:tabs>
        <w:ind w:left="780" w:hanging="260"/>
      </w:pPr>
      <w:r>
        <w:t>Klasifikace Incidentu je ohodnocení Incidentu Objednatelem pomocí typu a priority, v odůvodněných případech i následná změna Zhotovitelem.</w:t>
      </w:r>
    </w:p>
    <w:p w:rsidR="00312C8E" w:rsidRDefault="0069327D">
      <w:pPr>
        <w:pStyle w:val="Zkladntext20"/>
        <w:numPr>
          <w:ilvl w:val="1"/>
          <w:numId w:val="15"/>
        </w:numPr>
        <w:shd w:val="clear" w:color="auto" w:fill="auto"/>
        <w:tabs>
          <w:tab w:val="left" w:pos="1326"/>
        </w:tabs>
        <w:ind w:left="780" w:hanging="260"/>
      </w:pPr>
      <w:r>
        <w:rPr>
          <w:b/>
          <w:bCs/>
        </w:rPr>
        <w:t xml:space="preserve">Dostupnost </w:t>
      </w:r>
      <w:r>
        <w:t>je časové období, během kte</w:t>
      </w:r>
      <w:r>
        <w:t xml:space="preserve">rého jsou k dispozici zaměstnanci Zhotovitele prostřednictvím </w:t>
      </w:r>
      <w:proofErr w:type="spellStart"/>
      <w:r>
        <w:t>HelpDesku</w:t>
      </w:r>
      <w:proofErr w:type="spellEnd"/>
      <w:r>
        <w:t xml:space="preserve"> nebo telefonicky. Aplikace </w:t>
      </w:r>
      <w:proofErr w:type="spellStart"/>
      <w:r>
        <w:t>HelpDesk</w:t>
      </w:r>
      <w:proofErr w:type="spellEnd"/>
      <w:r>
        <w:t xml:space="preserve"> je dostupná vždy nepřetržitě, stejně tak i webová Aplikace; dostupnost se týká konkrétních osob, nikoliv technologií. V době garantované dostupností</w:t>
      </w:r>
      <w:r>
        <w:t xml:space="preserve"> se tedy Objednatel může spolehnout na to, že bude moci svůj problém řešit s pracovníkem odpovědným za servisní podporu. Dostupnost je dána počtem dní v týdnu a počtem hodin v každém dni. Zapisuje se jako Počet hodin v každém dni x Počet dnů v týdnu. Napří</w:t>
      </w:r>
      <w:r>
        <w:t>klad dostupnost 9x5 znamená, že pracovníci Zhotovitele jsou Objednateli k dispozici každý pracovní den od 8:00 do 17:00 hodin.</w:t>
      </w:r>
    </w:p>
    <w:p w:rsidR="00312C8E" w:rsidRDefault="0069327D">
      <w:pPr>
        <w:pStyle w:val="Zkladntext20"/>
        <w:numPr>
          <w:ilvl w:val="1"/>
          <w:numId w:val="15"/>
        </w:numPr>
        <w:shd w:val="clear" w:color="auto" w:fill="auto"/>
        <w:tabs>
          <w:tab w:val="left" w:pos="1326"/>
        </w:tabs>
        <w:ind w:left="780" w:hanging="260"/>
      </w:pPr>
      <w:r>
        <w:rPr>
          <w:b/>
          <w:bCs/>
        </w:rPr>
        <w:t xml:space="preserve">Odstranění Chyby </w:t>
      </w:r>
      <w:r>
        <w:t>je její kompletní odstraněni anebo vytvoření alternativního řešení, kterým bude Chyba překlenuta a nedojde k fun</w:t>
      </w:r>
      <w:r>
        <w:t>kčnímu omezení systému.</w:t>
      </w:r>
    </w:p>
    <w:p w:rsidR="00312C8E" w:rsidRDefault="0069327D">
      <w:pPr>
        <w:pStyle w:val="Zkladntext20"/>
        <w:numPr>
          <w:ilvl w:val="1"/>
          <w:numId w:val="15"/>
        </w:numPr>
        <w:shd w:val="clear" w:color="auto" w:fill="auto"/>
        <w:tabs>
          <w:tab w:val="left" w:pos="1326"/>
        </w:tabs>
        <w:ind w:left="780" w:hanging="260"/>
      </w:pPr>
      <w:r>
        <w:rPr>
          <w:b/>
          <w:bCs/>
        </w:rPr>
        <w:t xml:space="preserve">Reakční doba </w:t>
      </w:r>
      <w:r>
        <w:t xml:space="preserve">(také RD) je lhůta, do které bude Objednatel informován o zahájení jednání Zhotovitele směřujícího k vyřešení Incidentu typu Chyba. Reakční doba je odvislá od priority (závažnosti) Chyby. Pro RD jsou uvažovány dvě </w:t>
      </w:r>
      <w:r>
        <w:t>skupiny Chyb - Chyby s vysokou prioritou (</w:t>
      </w:r>
      <w:proofErr w:type="spellStart"/>
      <w:r>
        <w:t>blocker</w:t>
      </w:r>
      <w:proofErr w:type="spellEnd"/>
      <w:r>
        <w:t>) a Ostatní chyby (</w:t>
      </w:r>
      <w:proofErr w:type="spellStart"/>
      <w:r>
        <w:t>critical</w:t>
      </w:r>
      <w:proofErr w:type="spellEnd"/>
      <w:r>
        <w:t xml:space="preserve">, major, minor a </w:t>
      </w:r>
      <w:proofErr w:type="spellStart"/>
      <w:r>
        <w:t>trivial</w:t>
      </w:r>
      <w:proofErr w:type="spellEnd"/>
      <w:r>
        <w:t xml:space="preserve">). Začátek reakční doby je stanoven přijetím Hlášení Incidentu, které se v případě použití </w:t>
      </w:r>
      <w:proofErr w:type="spellStart"/>
      <w:r>
        <w:t>HelpDesku</w:t>
      </w:r>
      <w:proofErr w:type="spellEnd"/>
      <w:r>
        <w:t xml:space="preserve"> rovná automaticky zaznamenanému datu a času vzniku Inci</w:t>
      </w:r>
      <w:r>
        <w:t xml:space="preserve">dentu (tyto údaje jsou snadno dostupné i pro Objednatele). Reakční doba se vztahuje k Dostupnosti, která je definována výše. Příklad výpočtu RD: Nahlášení Incidentu </w:t>
      </w:r>
      <w:proofErr w:type="gramStart"/>
      <w:r>
        <w:t>ve</w:t>
      </w:r>
      <w:proofErr w:type="gramEnd"/>
      <w:r>
        <w:t xml:space="preserve"> 14:00, smluvní Dostupnost je 8x5 (8:00-16:00), smluvní RD 8 hodin pro Chyby s vysokou pr</w:t>
      </w:r>
      <w:r>
        <w:t>ioritou, Zhotovitel musí reagovat nejpozději do 14:00 druhého pracovního dne.</w:t>
      </w:r>
    </w:p>
    <w:p w:rsidR="00312C8E" w:rsidRDefault="0069327D">
      <w:pPr>
        <w:pStyle w:val="Zkladntext20"/>
        <w:numPr>
          <w:ilvl w:val="1"/>
          <w:numId w:val="15"/>
        </w:numPr>
        <w:shd w:val="clear" w:color="auto" w:fill="auto"/>
        <w:tabs>
          <w:tab w:val="left" w:pos="1326"/>
        </w:tabs>
        <w:ind w:left="780" w:hanging="260"/>
      </w:pPr>
      <w:r>
        <w:rPr>
          <w:b/>
          <w:bCs/>
        </w:rPr>
        <w:t xml:space="preserve">Doba odstranění Závady </w:t>
      </w:r>
      <w:r>
        <w:t>(také DOZ) je doba, za kterou má být daná Chyba či jiná závada odstraněna či vytvořeno alternativní řešení. DOZ je specifikovaná vždy zvlášť pro každou pri</w:t>
      </w:r>
      <w:r>
        <w:t xml:space="preserve">oritu (závažnost) Chyby. Chyba je odstraněna v </w:t>
      </w:r>
      <w:proofErr w:type="spellStart"/>
      <w:r>
        <w:t>nejkratšfm</w:t>
      </w:r>
      <w:proofErr w:type="spellEnd"/>
      <w:r>
        <w:t xml:space="preserve"> možném termínu. DOZ však definují maximální dobu, za kterou je Zhotovitel povinen Chybu odstranit. Doba odstranění Chyby se počítá od okamžiku nahlášení Chyby Zhotoviteli ve vztahu k Dostupnosti. Př</w:t>
      </w:r>
      <w:r>
        <w:t>íklad výpočtu DOZ: Nahlášení Incidentu v 14:00, smluvní Dostupnost je 5x8 (8:00 - 16:00), smluvní DOZ 32 hodin, Poskytovatel musí odstranit Chybu nejpozději do 14:00 pátého pracovního dne.</w:t>
      </w:r>
    </w:p>
    <w:p w:rsidR="00312C8E" w:rsidRDefault="0069327D">
      <w:pPr>
        <w:pStyle w:val="Zkladntext20"/>
        <w:numPr>
          <w:ilvl w:val="1"/>
          <w:numId w:val="15"/>
        </w:numPr>
        <w:shd w:val="clear" w:color="auto" w:fill="auto"/>
        <w:tabs>
          <w:tab w:val="left" w:pos="1326"/>
        </w:tabs>
        <w:spacing w:after="200"/>
        <w:ind w:left="780" w:hanging="260"/>
      </w:pPr>
      <w:r>
        <w:t xml:space="preserve">Typ Incidentu je základní Klasifikací Incidentu. Objednatel může v </w:t>
      </w:r>
      <w:r>
        <w:t>rámci záruky použít pouze typ Chyba.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7397"/>
      </w:tblGrid>
      <w:tr w:rsidR="00312C8E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before="100" w:after="0"/>
              <w:jc w:val="left"/>
            </w:pPr>
            <w:r>
              <w:rPr>
                <w:rFonts w:ascii="Arial" w:eastAsia="Arial" w:hAnsi="Arial" w:cs="Arial"/>
                <w:b/>
                <w:bCs/>
              </w:rPr>
              <w:t>Typ Incidentu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before="120" w:after="0"/>
              <w:jc w:val="left"/>
            </w:pPr>
            <w:r>
              <w:rPr>
                <w:rFonts w:ascii="Arial" w:eastAsia="Arial" w:hAnsi="Arial" w:cs="Arial"/>
                <w:b/>
                <w:bCs/>
              </w:rPr>
              <w:t>Popis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before="80" w:after="0"/>
              <w:jc w:val="left"/>
            </w:pPr>
            <w:r>
              <w:rPr>
                <w:rFonts w:ascii="Arial" w:eastAsia="Arial" w:hAnsi="Arial" w:cs="Arial"/>
              </w:rPr>
              <w:t>Chyba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Arial" w:eastAsia="Arial" w:hAnsi="Arial" w:cs="Arial"/>
              </w:rPr>
              <w:t xml:space="preserve">Nesprávné provádění nebo ztráta již existující funkcionality Produktu. Za správné se považuje pouze takové chování, které je v souladu s popisem uvedeným v Dokumentaci Produktu resp. takové, </w:t>
            </w:r>
            <w:r>
              <w:rPr>
                <w:rFonts w:ascii="Arial" w:eastAsia="Arial" w:hAnsi="Arial" w:cs="Arial"/>
              </w:rPr>
              <w:t>které je uvedeno ve Smlouvě o dílo jako závazný požadavek. Chybou není neznalost Objednatele a jeho uživatelů týkající se funkcionality popsané v Dokumentaci Produktu.</w:t>
            </w:r>
          </w:p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Arial" w:eastAsia="Arial" w:hAnsi="Arial" w:cs="Arial"/>
              </w:rPr>
              <w:t>Zhotovitel neodpovídá za Chyby způsobené třetí stranou s výjimkou třetích osob na straně</w:t>
            </w:r>
            <w:r>
              <w:rPr>
                <w:rFonts w:ascii="Arial" w:eastAsia="Arial" w:hAnsi="Arial" w:cs="Arial"/>
              </w:rPr>
              <w:t xml:space="preserve"> Zhotovitele.</w:t>
            </w:r>
          </w:p>
        </w:tc>
      </w:tr>
    </w:tbl>
    <w:p w:rsidR="00312C8E" w:rsidRDefault="0069327D">
      <w:pPr>
        <w:spacing w:line="1" w:lineRule="exact"/>
        <w:rPr>
          <w:sz w:val="2"/>
          <w:szCs w:val="2"/>
        </w:rPr>
      </w:pPr>
      <w:r>
        <w:br w:type="page"/>
      </w:r>
    </w:p>
    <w:p w:rsidR="00312C8E" w:rsidRDefault="0069327D">
      <w:pPr>
        <w:pStyle w:val="Nadpis60"/>
        <w:keepNext/>
        <w:keepLines/>
        <w:shd w:val="clear" w:color="auto" w:fill="auto"/>
        <w:spacing w:after="54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412" behindDoc="0" locked="0" layoutInCell="1" allowOverlap="1">
                <wp:simplePos x="0" y="0"/>
                <wp:positionH relativeFrom="page">
                  <wp:posOffset>946785</wp:posOffset>
                </wp:positionH>
                <wp:positionV relativeFrom="margin">
                  <wp:posOffset>-18415</wp:posOffset>
                </wp:positionV>
                <wp:extent cx="326390" cy="213360"/>
                <wp:effectExtent l="0" t="0" r="0" b="0"/>
                <wp:wrapSquare wrapText="bothSides"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2C8E" w:rsidRDefault="0069327D">
                            <w:pPr>
                              <w:pStyle w:val="Zkladntext30"/>
                              <w:shd w:val="clear" w:color="auto" w:fill="auto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ders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74.549999999999997pt;margin-top:-1.45pt;width:25.699999999999999pt;height:16.800000000000001pt;z-index:-125829341;mso-wrap-distance-left:9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ders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24" w:name="bookmark24"/>
      <w:r>
        <w:t>Smlouva o dílo</w:t>
      </w:r>
      <w:bookmarkEnd w:id="24"/>
    </w:p>
    <w:p w:rsidR="00312C8E" w:rsidRDefault="0069327D">
      <w:pPr>
        <w:pStyle w:val="Zkladntext20"/>
        <w:numPr>
          <w:ilvl w:val="1"/>
          <w:numId w:val="15"/>
        </w:numPr>
        <w:shd w:val="clear" w:color="auto" w:fill="auto"/>
        <w:tabs>
          <w:tab w:val="left" w:pos="1311"/>
        </w:tabs>
        <w:spacing w:after="200"/>
        <w:ind w:left="780" w:hanging="280"/>
        <w:jc w:val="left"/>
      </w:pPr>
      <w:r>
        <w:rPr>
          <w:b/>
          <w:bCs/>
        </w:rPr>
        <w:t xml:space="preserve">Priority Incidentů </w:t>
      </w:r>
      <w:r>
        <w:t>je klasifikací Incidentu, od které je odvislá Reakční doba a Doba odstranění chyby.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1354"/>
        <w:gridCol w:w="6096"/>
      </w:tblGrid>
      <w:tr w:rsidR="00312C8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Arial" w:eastAsia="Arial" w:hAnsi="Arial" w:cs="Arial"/>
                <w:b/>
                <w:bCs/>
              </w:rPr>
              <w:t>Kategorie Chyby pro</w:t>
            </w:r>
          </w:p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Arial" w:eastAsia="Arial" w:hAnsi="Arial" w:cs="Arial"/>
                <w:b/>
                <w:bCs/>
              </w:rPr>
              <w:t>RD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Arial" w:eastAsia="Arial" w:hAnsi="Arial" w:cs="Arial"/>
                <w:b/>
                <w:bCs/>
              </w:rPr>
              <w:t>Priorita Incidentu pro DOZ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Arial" w:eastAsia="Arial" w:hAnsi="Arial" w:cs="Arial"/>
                <w:b/>
                <w:bCs/>
              </w:rPr>
              <w:t>Popis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after="0"/>
              <w:ind w:right="620"/>
            </w:pPr>
            <w:r>
              <w:rPr>
                <w:rFonts w:ascii="Arial" w:eastAsia="Arial" w:hAnsi="Arial" w:cs="Arial"/>
              </w:rPr>
              <w:t>Chyby s vysokou prioritou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rPr>
                <w:rFonts w:ascii="Arial" w:eastAsia="Arial" w:hAnsi="Arial" w:cs="Arial"/>
              </w:rPr>
              <w:t>Blocker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Arial" w:eastAsia="Arial" w:hAnsi="Arial" w:cs="Arial"/>
              </w:rPr>
              <w:t>Blokuje práci (Produkt</w:t>
            </w:r>
            <w:r>
              <w:rPr>
                <w:rFonts w:ascii="Arial" w:eastAsia="Arial" w:hAnsi="Arial" w:cs="Arial"/>
              </w:rPr>
              <w:t xml:space="preserve"> nelze spustit nebo nefunguje jeho klíčová funkcionalita - nelze úspěšně projít celým procesem). Chyba neumožňuje ani omezený provoz programových prostředků.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2C8E" w:rsidRDefault="00312C8E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rPr>
                <w:rFonts w:ascii="Arial" w:eastAsia="Arial" w:hAnsi="Arial" w:cs="Arial"/>
              </w:rPr>
              <w:t>Critical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Arial" w:eastAsia="Arial" w:hAnsi="Arial" w:cs="Arial"/>
              </w:rPr>
              <w:t xml:space="preserve">Znemožňuje informační podporu hlavních procesů Uživatele. Chyba znemožňuje běžný </w:t>
            </w:r>
            <w:r>
              <w:rPr>
                <w:rFonts w:ascii="Arial" w:eastAsia="Arial" w:hAnsi="Arial" w:cs="Arial"/>
              </w:rPr>
              <w:t>provoz, ale umožňuje provoz v omezené míře.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after="40"/>
              <w:jc w:val="left"/>
            </w:pPr>
            <w:r>
              <w:rPr>
                <w:rFonts w:ascii="Arial" w:eastAsia="Arial" w:hAnsi="Arial" w:cs="Arial"/>
              </w:rPr>
              <w:t>Chyby s</w:t>
            </w:r>
          </w:p>
          <w:p w:rsidR="00312C8E" w:rsidRDefault="0069327D">
            <w:pPr>
              <w:pStyle w:val="Jin0"/>
              <w:shd w:val="clear" w:color="auto" w:fill="auto"/>
              <w:spacing w:after="40"/>
              <w:jc w:val="left"/>
            </w:pPr>
            <w:r>
              <w:rPr>
                <w:rFonts w:ascii="Arial" w:eastAsia="Arial" w:hAnsi="Arial" w:cs="Arial"/>
              </w:rPr>
              <w:t>nízkou</w:t>
            </w:r>
          </w:p>
          <w:p w:rsidR="00312C8E" w:rsidRDefault="0069327D">
            <w:pPr>
              <w:pStyle w:val="Jin0"/>
              <w:shd w:val="clear" w:color="auto" w:fill="auto"/>
              <w:spacing w:after="40"/>
              <w:jc w:val="left"/>
            </w:pPr>
            <w:r>
              <w:rPr>
                <w:rFonts w:ascii="Arial" w:eastAsia="Arial" w:hAnsi="Arial" w:cs="Arial"/>
              </w:rPr>
              <w:t>prioritou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Arial" w:eastAsia="Arial" w:hAnsi="Arial" w:cs="Arial"/>
              </w:rPr>
              <w:t>Major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Arial" w:eastAsia="Arial" w:hAnsi="Arial" w:cs="Arial"/>
              </w:rPr>
              <w:t>Znesnadňuje práci, lze však obejít za cenu přiměřených nároků na Uživatele poté, co Poskytovatel doporučí nebo aplikuje náhradní řešení.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2C8E" w:rsidRDefault="00312C8E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Arial" w:eastAsia="Arial" w:hAnsi="Arial" w:cs="Arial"/>
              </w:rPr>
              <w:t>Minor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Arial" w:eastAsia="Arial" w:hAnsi="Arial" w:cs="Arial"/>
              </w:rPr>
              <w:t xml:space="preserve">Znepříjemňuje práci, lze snadno </w:t>
            </w:r>
            <w:r>
              <w:rPr>
                <w:rFonts w:ascii="Arial" w:eastAsia="Arial" w:hAnsi="Arial" w:cs="Arial"/>
              </w:rPr>
              <w:t>obejít.</w:t>
            </w:r>
          </w:p>
        </w:tc>
      </w:tr>
      <w:tr w:rsidR="00312C8E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C8E" w:rsidRDefault="00312C8E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rPr>
                <w:rFonts w:ascii="Arial" w:eastAsia="Arial" w:hAnsi="Arial" w:cs="Arial"/>
              </w:rPr>
              <w:t>Trivial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C8E" w:rsidRDefault="0069327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Arial" w:eastAsia="Arial" w:hAnsi="Arial" w:cs="Arial"/>
              </w:rPr>
              <w:t>Ostatní drobné vady kosmetického charakteru, např. přejmenování položek apod.</w:t>
            </w:r>
          </w:p>
        </w:tc>
      </w:tr>
    </w:tbl>
    <w:p w:rsidR="00312C8E" w:rsidRDefault="00312C8E">
      <w:pPr>
        <w:spacing w:line="14" w:lineRule="exact"/>
        <w:sectPr w:rsidR="00312C8E">
          <w:headerReference w:type="default" r:id="rId24"/>
          <w:footerReference w:type="default" r:id="rId25"/>
          <w:headerReference w:type="first" r:id="rId26"/>
          <w:footerReference w:type="first" r:id="rId27"/>
          <w:pgSz w:w="11900" w:h="16840"/>
          <w:pgMar w:top="1553" w:right="1202" w:bottom="2228" w:left="1798" w:header="0" w:footer="3" w:gutter="0"/>
          <w:pgNumType w:start="1"/>
          <w:cols w:space="720"/>
          <w:noEndnote/>
          <w:titlePg/>
          <w:docGrid w:linePitch="360"/>
        </w:sectPr>
      </w:pPr>
    </w:p>
    <w:p w:rsidR="00312C8E" w:rsidRDefault="0069327D">
      <w:pPr>
        <w:pStyle w:val="Nadpis30"/>
        <w:keepNext/>
        <w:keepLines/>
        <w:framePr w:w="5491" w:h="955" w:wrap="none" w:vAnchor="text" w:hAnchor="page" w:x="3685" w:y="284"/>
        <w:shd w:val="clear" w:color="auto" w:fill="auto"/>
        <w:spacing w:after="0" w:line="276" w:lineRule="auto"/>
        <w:ind w:left="1480" w:hanging="1480"/>
      </w:pPr>
      <w:bookmarkStart w:id="25" w:name="bookmark25"/>
      <w:r>
        <w:lastRenderedPageBreak/>
        <w:t xml:space="preserve">Výzkumný ústav rostlinné </w:t>
      </w:r>
      <w:r>
        <w:t xml:space="preserve">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Praha - Ruzyně</w:t>
      </w:r>
      <w:bookmarkEnd w:id="25"/>
    </w:p>
    <w:p w:rsidR="00312C8E" w:rsidRDefault="0069327D">
      <w:pPr>
        <w:pStyle w:val="Zkladntext20"/>
        <w:framePr w:w="3538" w:h="787" w:wrap="none" w:vAnchor="text" w:hAnchor="page" w:x="2025" w:y="1647"/>
        <w:shd w:val="clear" w:color="auto" w:fill="auto"/>
        <w:spacing w:line="290" w:lineRule="auto"/>
        <w:jc w:val="left"/>
      </w:pPr>
      <w:r>
        <w:t xml:space="preserve">Drnovská 507/73,16106 Praha 6 - Ruzyně IČO/DIČ: 000 27 006 / CZ00027006 E-mail: </w:t>
      </w:r>
      <w:hyperlink r:id="rId28" w:history="1">
        <w:r>
          <w:rPr>
            <w:color w:val="1F467D"/>
            <w:u w:val="single"/>
            <w:lang w:val="en-US" w:eastAsia="en-US" w:bidi="en-US"/>
          </w:rPr>
          <w:t>cropscience@vurv.cz</w:t>
        </w:r>
      </w:hyperlink>
    </w:p>
    <w:p w:rsidR="00312C8E" w:rsidRDefault="0069327D">
      <w:pPr>
        <w:pStyle w:val="Zkladntext20"/>
        <w:framePr w:w="2966" w:h="499" w:wrap="none" w:vAnchor="text" w:hAnchor="page" w:x="6969" w:y="1662"/>
        <w:shd w:val="clear" w:color="auto" w:fill="auto"/>
        <w:tabs>
          <w:tab w:val="left" w:pos="600"/>
        </w:tabs>
      </w:pPr>
      <w:r>
        <w:t>Tel.:</w:t>
      </w:r>
      <w:r>
        <w:tab/>
        <w:t>+420 233022211 (ústředna)</w:t>
      </w:r>
    </w:p>
    <w:p w:rsidR="00312C8E" w:rsidRDefault="0069327D">
      <w:pPr>
        <w:pStyle w:val="Zkladntext20"/>
        <w:framePr w:w="2966" w:h="499" w:wrap="none" w:vAnchor="text" w:hAnchor="page" w:x="6969" w:y="1662"/>
        <w:shd w:val="clear" w:color="auto" w:fill="auto"/>
        <w:tabs>
          <w:tab w:val="left" w:pos="600"/>
        </w:tabs>
      </w:pPr>
      <w:r>
        <w:t>Tel.:</w:t>
      </w:r>
      <w:r>
        <w:tab/>
        <w:t>+420 233311499 (ředitel)</w:t>
      </w:r>
    </w:p>
    <w:p w:rsidR="00312C8E" w:rsidRDefault="0069327D">
      <w:pPr>
        <w:pStyle w:val="Jin0"/>
        <w:framePr w:w="5453" w:h="504" w:wrap="none" w:vAnchor="text" w:hAnchor="page" w:x="3561" w:y="3054"/>
        <w:shd w:val="clear" w:color="auto" w:fill="auto"/>
        <w:spacing w:after="0"/>
        <w:jc w:val="left"/>
        <w:rPr>
          <w:sz w:val="36"/>
          <w:szCs w:val="36"/>
        </w:rPr>
      </w:pPr>
      <w:r>
        <w:rPr>
          <w:rFonts w:ascii="Verdana" w:eastAsia="Verdana" w:hAnsi="Verdana" w:cs="Verdana"/>
          <w:b/>
          <w:bCs/>
          <w:sz w:val="36"/>
          <w:szCs w:val="36"/>
        </w:rPr>
        <w:t>ZADÁVACÍ DOKUMENTACE</w:t>
      </w:r>
    </w:p>
    <w:p w:rsidR="00312C8E" w:rsidRDefault="0069327D">
      <w:pPr>
        <w:pStyle w:val="Nadpis70"/>
        <w:keepNext/>
        <w:keepLines/>
        <w:framePr w:w="6994" w:h="595" w:wrap="none" w:vAnchor="text" w:hAnchor="page" w:x="2471" w:y="3745"/>
        <w:shd w:val="clear" w:color="auto" w:fill="auto"/>
        <w:spacing w:after="100"/>
      </w:pPr>
      <w:bookmarkStart w:id="26" w:name="bookmark26"/>
      <w:r>
        <w:t>Z</w:t>
      </w:r>
      <w:r>
        <w:t>ADÁVACÍ PODMÍNKY VEŘEJNÉ ZAKÁZKY MALÉHO ROZSAHU NA DODÁVKY</w:t>
      </w:r>
      <w:bookmarkEnd w:id="26"/>
    </w:p>
    <w:p w:rsidR="00312C8E" w:rsidRDefault="0069327D">
      <w:pPr>
        <w:pStyle w:val="Zkladntext20"/>
        <w:framePr w:w="6994" w:h="595" w:wrap="none" w:vAnchor="text" w:hAnchor="page" w:x="2471" w:y="3745"/>
        <w:pBdr>
          <w:bottom w:val="single" w:sz="4" w:space="0" w:color="auto"/>
        </w:pBdr>
        <w:shd w:val="clear" w:color="auto" w:fill="auto"/>
        <w:ind w:left="280"/>
        <w:jc w:val="left"/>
      </w:pPr>
      <w:r>
        <w:t>dle zákona č. 134/2016 Sb., o zadávání veřejných zakázek (dále jen „ZZVZ")</w:t>
      </w:r>
    </w:p>
    <w:p w:rsidR="00312C8E" w:rsidRDefault="0069327D">
      <w:pPr>
        <w:pStyle w:val="Zkladntext20"/>
        <w:framePr w:w="8362" w:h="955" w:wrap="none" w:vAnchor="text" w:hAnchor="page" w:x="1789" w:y="4907"/>
        <w:shd w:val="clear" w:color="auto" w:fill="auto"/>
        <w:spacing w:line="266" w:lineRule="auto"/>
      </w:pPr>
      <w:r>
        <w:t>Tato zadávací dokumentace je vypracována jako platnou právní úpravou vyžadovaný podklad pro podání nabídek na uzavření kupní smlouvy na základě veřejné zakázky malého rozsahu na dodávky ve smyslu ustanovení § 27, písm. a) a § 31 zákona č. 134/2016 Sb., o z</w:t>
      </w:r>
      <w:r>
        <w:t xml:space="preserve">adávání veřejných zakázek (dále jen </w:t>
      </w:r>
      <w:r>
        <w:rPr>
          <w:b/>
          <w:bCs/>
        </w:rPr>
        <w:t>„ZZVZ").</w:t>
      </w:r>
    </w:p>
    <w:p w:rsidR="00312C8E" w:rsidRDefault="0069327D">
      <w:pPr>
        <w:pStyle w:val="Nadpis70"/>
        <w:keepNext/>
        <w:keepLines/>
        <w:framePr w:w="2218" w:h="254" w:wrap="none" w:vAnchor="text" w:hAnchor="page" w:x="1804" w:y="6179"/>
        <w:shd w:val="clear" w:color="auto" w:fill="auto"/>
        <w:spacing w:after="0"/>
      </w:pPr>
      <w:bookmarkStart w:id="27" w:name="bookmark27"/>
      <w:r>
        <w:t>Název veřejné zakázky:</w:t>
      </w:r>
      <w:bookmarkEnd w:id="27"/>
    </w:p>
    <w:p w:rsidR="00312C8E" w:rsidRDefault="0069327D">
      <w:pPr>
        <w:pStyle w:val="Nadpis60"/>
        <w:keepNext/>
        <w:keepLines/>
        <w:framePr w:w="4963" w:h="960" w:wrap="none" w:vAnchor="text" w:hAnchor="page" w:x="5029" w:y="6145"/>
        <w:shd w:val="clear" w:color="auto" w:fill="auto"/>
        <w:spacing w:line="271" w:lineRule="auto"/>
        <w:jc w:val="both"/>
      </w:pPr>
      <w:bookmarkStart w:id="28" w:name="bookmark28"/>
      <w:r>
        <w:t xml:space="preserve">Informační systém pro evidenci a zpracování výsledků vědy a výzkumu pro 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Praha - Ruzyně II.</w:t>
      </w:r>
      <w:bookmarkEnd w:id="28"/>
    </w:p>
    <w:p w:rsidR="00312C8E" w:rsidRDefault="0069327D">
      <w:pPr>
        <w:pStyle w:val="Nadpis70"/>
        <w:keepNext/>
        <w:keepLines/>
        <w:framePr w:w="2107" w:h="254" w:wrap="none" w:vAnchor="text" w:hAnchor="page" w:x="1809" w:y="7950"/>
        <w:shd w:val="clear" w:color="auto" w:fill="auto"/>
        <w:spacing w:after="0"/>
      </w:pPr>
      <w:bookmarkStart w:id="29" w:name="bookmark29"/>
      <w:r>
        <w:t>Druh veřejné zakázky:</w:t>
      </w:r>
      <w:bookmarkEnd w:id="29"/>
    </w:p>
    <w:p w:rsidR="00312C8E" w:rsidRDefault="0069327D">
      <w:pPr>
        <w:pStyle w:val="Zkladntext20"/>
        <w:framePr w:w="5117" w:h="845" w:wrap="none" w:vAnchor="text" w:hAnchor="page" w:x="5034" w:y="7959"/>
        <w:shd w:val="clear" w:color="auto" w:fill="auto"/>
        <w:spacing w:line="233" w:lineRule="auto"/>
      </w:pPr>
      <w:r>
        <w:t xml:space="preserve">zakázka malého rozsahu na dodávky ve smyslu § 27, písm. a) a § 31 zákona č. 134/2016 Sb., o zadávání veřejných zakázek (dále jen </w:t>
      </w:r>
      <w:r>
        <w:rPr>
          <w:b/>
          <w:bCs/>
        </w:rPr>
        <w:t xml:space="preserve">„ZZVZ") </w:t>
      </w:r>
      <w:r>
        <w:t xml:space="preserve">a dle Směrnice ředitele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č. 2/2020</w:t>
      </w:r>
    </w:p>
    <w:p w:rsidR="00312C8E" w:rsidRDefault="0069327D">
      <w:pPr>
        <w:pStyle w:val="Nadpis70"/>
        <w:keepNext/>
        <w:keepLines/>
        <w:framePr w:w="2918" w:h="1848" w:wrap="none" w:vAnchor="text" w:hAnchor="page" w:x="1804" w:y="8963"/>
        <w:shd w:val="clear" w:color="auto" w:fill="auto"/>
        <w:spacing w:after="180"/>
      </w:pPr>
      <w:bookmarkStart w:id="30" w:name="bookmark30"/>
      <w:r>
        <w:t>Identifikační údaje zadavatele:</w:t>
      </w:r>
      <w:bookmarkEnd w:id="30"/>
    </w:p>
    <w:p w:rsidR="00312C8E" w:rsidRDefault="0069327D">
      <w:pPr>
        <w:pStyle w:val="Zkladntext20"/>
        <w:framePr w:w="2918" w:h="1848" w:wrap="none" w:vAnchor="text" w:hAnchor="page" w:x="1804" w:y="8963"/>
        <w:shd w:val="clear" w:color="auto" w:fill="auto"/>
        <w:spacing w:after="180"/>
        <w:jc w:val="left"/>
      </w:pPr>
      <w:r>
        <w:t>název zadavatele:</w:t>
      </w:r>
    </w:p>
    <w:p w:rsidR="00312C8E" w:rsidRDefault="0069327D">
      <w:pPr>
        <w:pStyle w:val="Zkladntext20"/>
        <w:framePr w:w="2918" w:h="1848" w:wrap="none" w:vAnchor="text" w:hAnchor="page" w:x="1804" w:y="8963"/>
        <w:shd w:val="clear" w:color="auto" w:fill="auto"/>
        <w:jc w:val="left"/>
      </w:pPr>
      <w:r>
        <w:t xml:space="preserve">sídlo, místo </w:t>
      </w:r>
      <w:r>
        <w:t>podnikání:</w:t>
      </w:r>
    </w:p>
    <w:p w:rsidR="00312C8E" w:rsidRDefault="0069327D">
      <w:pPr>
        <w:pStyle w:val="Zkladntext20"/>
        <w:framePr w:w="2918" w:h="1848" w:wrap="none" w:vAnchor="text" w:hAnchor="page" w:x="1804" w:y="8963"/>
        <w:shd w:val="clear" w:color="auto" w:fill="auto"/>
        <w:spacing w:line="233" w:lineRule="auto"/>
        <w:jc w:val="left"/>
      </w:pPr>
      <w:r>
        <w:t>IČO:</w:t>
      </w:r>
    </w:p>
    <w:p w:rsidR="00312C8E" w:rsidRDefault="0069327D">
      <w:pPr>
        <w:pStyle w:val="Zkladntext20"/>
        <w:framePr w:w="2918" w:h="1848" w:wrap="none" w:vAnchor="text" w:hAnchor="page" w:x="1804" w:y="8963"/>
        <w:shd w:val="clear" w:color="auto" w:fill="auto"/>
        <w:spacing w:line="233" w:lineRule="auto"/>
        <w:jc w:val="left"/>
      </w:pPr>
      <w:r>
        <w:t>DIČ:</w:t>
      </w:r>
    </w:p>
    <w:p w:rsidR="00312C8E" w:rsidRDefault="0069327D">
      <w:pPr>
        <w:pStyle w:val="Zkladntext20"/>
        <w:framePr w:w="2918" w:h="1848" w:wrap="none" w:vAnchor="text" w:hAnchor="page" w:x="1804" w:y="8963"/>
        <w:shd w:val="clear" w:color="auto" w:fill="auto"/>
        <w:spacing w:line="233" w:lineRule="auto"/>
        <w:jc w:val="left"/>
      </w:pPr>
      <w:r>
        <w:t>stát:</w:t>
      </w:r>
    </w:p>
    <w:p w:rsidR="00312C8E" w:rsidRDefault="0069327D">
      <w:pPr>
        <w:pStyle w:val="Zkladntext20"/>
        <w:framePr w:w="2918" w:h="1848" w:wrap="none" w:vAnchor="text" w:hAnchor="page" w:x="1804" w:y="8963"/>
        <w:shd w:val="clear" w:color="auto" w:fill="auto"/>
        <w:spacing w:after="180" w:line="233" w:lineRule="auto"/>
        <w:jc w:val="left"/>
      </w:pPr>
      <w:r>
        <w:t>právní forma zadavatele:</w:t>
      </w:r>
    </w:p>
    <w:p w:rsidR="00312C8E" w:rsidRDefault="0069327D">
      <w:pPr>
        <w:pStyle w:val="Zkladntext20"/>
        <w:framePr w:w="3706" w:h="1459" w:wrap="none" w:vAnchor="text" w:hAnchor="page" w:x="5039" w:y="9356"/>
        <w:shd w:val="clear" w:color="auto" w:fill="auto"/>
        <w:spacing w:after="180"/>
        <w:jc w:val="left"/>
      </w:pPr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312C8E" w:rsidRDefault="0069327D">
      <w:pPr>
        <w:pStyle w:val="Zkladntext20"/>
        <w:framePr w:w="3706" w:h="1459" w:wrap="none" w:vAnchor="text" w:hAnchor="page" w:x="5039" w:y="9356"/>
        <w:shd w:val="clear" w:color="auto" w:fill="auto"/>
        <w:jc w:val="left"/>
      </w:pPr>
      <w:r>
        <w:t>Drnovská 507/73, 161 06 Praha 6 - Ruzyně 00027006 CZ00027006 CZ 661</w:t>
      </w:r>
    </w:p>
    <w:p w:rsidR="00312C8E" w:rsidRDefault="0069327D">
      <w:pPr>
        <w:pStyle w:val="Zkladntext20"/>
        <w:framePr w:w="1699" w:h="442" w:wrap="none" w:vAnchor="text" w:hAnchor="page" w:x="1809" w:y="10974"/>
        <w:shd w:val="clear" w:color="auto" w:fill="auto"/>
        <w:spacing w:line="233" w:lineRule="auto"/>
      </w:pPr>
      <w:r>
        <w:t>osoba oprávněná za zadavatele jednat:</w:t>
      </w:r>
    </w:p>
    <w:p w:rsidR="00312C8E" w:rsidRDefault="0069327D">
      <w:pPr>
        <w:pStyle w:val="Zkladntext20"/>
        <w:framePr w:w="4306" w:h="250" w:wrap="none" w:vAnchor="text" w:hAnchor="page" w:x="5049" w:y="11171"/>
        <w:shd w:val="clear" w:color="auto" w:fill="auto"/>
        <w:jc w:val="left"/>
      </w:pPr>
      <w:r>
        <w:rPr>
          <w:b/>
          <w:bCs/>
        </w:rPr>
        <w:t xml:space="preserve">Ing. František Brožík, </w:t>
      </w:r>
      <w:r>
        <w:t>pověřený řízením instituce</w:t>
      </w:r>
    </w:p>
    <w:p w:rsidR="00312C8E" w:rsidRDefault="0069327D">
      <w:pPr>
        <w:pStyle w:val="Zkladntext20"/>
        <w:framePr w:w="2357" w:h="245" w:wrap="none" w:vAnchor="text" w:hAnchor="page" w:x="1818" w:y="11564"/>
        <w:shd w:val="clear" w:color="auto" w:fill="auto"/>
        <w:jc w:val="left"/>
      </w:pPr>
      <w:r>
        <w:t>kontaktní osoba zadavatele:</w:t>
      </w:r>
    </w:p>
    <w:p w:rsidR="00312C8E" w:rsidRDefault="00312C8E">
      <w:pPr>
        <w:pStyle w:val="Zkladntext20"/>
        <w:framePr w:w="2261" w:h="653" w:wrap="none" w:vAnchor="text" w:hAnchor="page" w:x="5049" w:y="11569"/>
        <w:shd w:val="clear" w:color="auto" w:fill="auto"/>
        <w:tabs>
          <w:tab w:val="left" w:pos="658"/>
        </w:tabs>
        <w:jc w:val="left"/>
      </w:pPr>
      <w:bookmarkStart w:id="31" w:name="_GoBack"/>
      <w:bookmarkEnd w:id="31"/>
    </w:p>
    <w:p w:rsidR="00312C8E" w:rsidRDefault="0069327D">
      <w:pPr>
        <w:pStyle w:val="Zkladntext20"/>
        <w:framePr w:w="2280" w:h="254" w:wrap="none" w:vAnchor="text" w:hAnchor="page" w:x="1813" w:y="12371"/>
        <w:shd w:val="clear" w:color="auto" w:fill="auto"/>
        <w:jc w:val="left"/>
      </w:pPr>
      <w:r>
        <w:t>v době jeho nepřítomnosti:</w:t>
      </w:r>
    </w:p>
    <w:p w:rsidR="00312C8E" w:rsidRDefault="00312C8E">
      <w:pPr>
        <w:pStyle w:val="Zkladntext20"/>
        <w:framePr w:w="2251" w:h="638" w:wrap="none" w:vAnchor="text" w:hAnchor="page" w:x="5053" w:y="12380"/>
        <w:shd w:val="clear" w:color="auto" w:fill="auto"/>
        <w:spacing w:line="230" w:lineRule="auto"/>
        <w:jc w:val="left"/>
      </w:pPr>
    </w:p>
    <w:p w:rsidR="00312C8E" w:rsidRDefault="0069327D">
      <w:pPr>
        <w:pStyle w:val="Zkladntext20"/>
        <w:framePr w:w="8357" w:h="547" w:wrap="none" w:vAnchor="text" w:hAnchor="page" w:x="1813" w:y="13230"/>
        <w:shd w:val="clear" w:color="auto" w:fill="auto"/>
        <w:spacing w:line="290" w:lineRule="auto"/>
      </w:pPr>
      <w:r>
        <w:t xml:space="preserve">Zadavatel vydává v souladu se Směrnicí ředitele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č. 2/2020 v rámci výše uvedené veřejné zakázky tuto zadávací dokumentaci.</w:t>
      </w:r>
    </w:p>
    <w:p w:rsidR="00312C8E" w:rsidRDefault="006932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1254760</wp:posOffset>
            </wp:positionH>
            <wp:positionV relativeFrom="paragraph">
              <wp:posOffset>12700</wp:posOffset>
            </wp:positionV>
            <wp:extent cx="628015" cy="755650"/>
            <wp:effectExtent l="0" t="0" r="0" b="0"/>
            <wp:wrapNone/>
            <wp:docPr id="63" name="Shap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62801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line="360" w:lineRule="exact"/>
      </w:pPr>
    </w:p>
    <w:p w:rsidR="00312C8E" w:rsidRDefault="00312C8E">
      <w:pPr>
        <w:spacing w:after="442" w:line="14" w:lineRule="exact"/>
      </w:pPr>
    </w:p>
    <w:p w:rsidR="00312C8E" w:rsidRDefault="00312C8E">
      <w:pPr>
        <w:spacing w:line="14" w:lineRule="exact"/>
        <w:sectPr w:rsidR="00312C8E">
          <w:headerReference w:type="default" r:id="rId30"/>
          <w:footerReference w:type="default" r:id="rId31"/>
          <w:pgSz w:w="11900" w:h="16840"/>
          <w:pgMar w:top="1182" w:right="1730" w:bottom="1182" w:left="1788" w:header="754" w:footer="754" w:gutter="0"/>
          <w:pgNumType w:start="14"/>
          <w:cols w:space="720"/>
          <w:noEndnote/>
          <w:docGrid w:linePitch="360"/>
        </w:sectPr>
      </w:pPr>
    </w:p>
    <w:p w:rsidR="00312C8E" w:rsidRDefault="0069327D">
      <w:pPr>
        <w:pStyle w:val="Zkladntext20"/>
        <w:shd w:val="clear" w:color="auto" w:fill="auto"/>
        <w:spacing w:after="260" w:line="230" w:lineRule="auto"/>
        <w:ind w:right="380" w:firstLine="160"/>
      </w:pPr>
      <w:r>
        <w:lastRenderedPageBreak/>
        <w:t>Tato veřejná zakázka malého rozsahu je zadávána v</w:t>
      </w:r>
      <w:r>
        <w:t xml:space="preserve"> souladu s ustanovením § 31 zákona č. 134/2016 Sb., o zadávání veřejných zakázek, postupem, na nějž se neaplikují ustanovení zákona, avšak za dodržení zásad vymezených v ustanovení § 6 zákona, v souladu s postupem stanoveným interní směrnicí zadavatele o z</w:t>
      </w:r>
      <w:r>
        <w:t>adávání veřejných zakázek.</w:t>
      </w:r>
    </w:p>
    <w:p w:rsidR="00312C8E" w:rsidRDefault="0069327D">
      <w:pPr>
        <w:pStyle w:val="Zkladntext20"/>
        <w:shd w:val="clear" w:color="auto" w:fill="auto"/>
        <w:spacing w:after="440" w:line="288" w:lineRule="auto"/>
        <w:ind w:right="380" w:firstLine="160"/>
      </w:pPr>
      <w:r>
        <w:t>Zadavatel současně upozorňuje dodavatele na skutečnost, že zadávací dokumentace je souhrnem požadavků zadavatele a nikoliv souhrnem veškerých požadavků vyplývajících z obecně platných norem, na které zadávací dokumentace odkazuje</w:t>
      </w:r>
      <w:r>
        <w:t>, neboť jsou obecně známé. Dodavatel se tak musí při zpracování své nabídky vždy řídit nejen požadavky obsaženými v zadávací dokumentaci, ale též ustanoveními příslušných obecně závazných právních norem.</w:t>
      </w:r>
    </w:p>
    <w:p w:rsidR="00312C8E" w:rsidRDefault="0069327D">
      <w:pPr>
        <w:pStyle w:val="Jin0"/>
        <w:shd w:val="clear" w:color="auto" w:fill="auto"/>
        <w:spacing w:after="440"/>
        <w:ind w:left="240"/>
        <w:jc w:val="center"/>
        <w:rPr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OBSAH:</w:t>
      </w:r>
    </w:p>
    <w:p w:rsidR="00312C8E" w:rsidRDefault="0069327D">
      <w:pPr>
        <w:pStyle w:val="Zkladntext20"/>
        <w:numPr>
          <w:ilvl w:val="0"/>
          <w:numId w:val="16"/>
        </w:numPr>
        <w:shd w:val="clear" w:color="auto" w:fill="auto"/>
        <w:tabs>
          <w:tab w:val="left" w:pos="490"/>
        </w:tabs>
        <w:spacing w:after="80"/>
        <w:ind w:firstLine="160"/>
      </w:pPr>
      <w:r>
        <w:t>Klasifikace předmětu veřejné zakázky</w:t>
      </w:r>
    </w:p>
    <w:p w:rsidR="00312C8E" w:rsidRDefault="0069327D">
      <w:pPr>
        <w:pStyle w:val="Zkladntext20"/>
        <w:numPr>
          <w:ilvl w:val="0"/>
          <w:numId w:val="16"/>
        </w:numPr>
        <w:shd w:val="clear" w:color="auto" w:fill="auto"/>
        <w:tabs>
          <w:tab w:val="left" w:pos="499"/>
        </w:tabs>
        <w:spacing w:after="80"/>
        <w:ind w:firstLine="160"/>
      </w:pPr>
      <w:r>
        <w:t>Vymezení</w:t>
      </w:r>
      <w:r>
        <w:t xml:space="preserve"> předmětu veřejné zakázky</w:t>
      </w:r>
    </w:p>
    <w:p w:rsidR="00312C8E" w:rsidRDefault="0069327D">
      <w:pPr>
        <w:pStyle w:val="Zkladntext20"/>
        <w:numPr>
          <w:ilvl w:val="0"/>
          <w:numId w:val="16"/>
        </w:numPr>
        <w:shd w:val="clear" w:color="auto" w:fill="auto"/>
        <w:tabs>
          <w:tab w:val="left" w:pos="499"/>
        </w:tabs>
        <w:spacing w:after="80"/>
        <w:ind w:firstLine="160"/>
      </w:pPr>
      <w:r>
        <w:t>Specifikace, technické podmínky</w:t>
      </w:r>
    </w:p>
    <w:p w:rsidR="00312C8E" w:rsidRDefault="0069327D">
      <w:pPr>
        <w:pStyle w:val="Zkladntext20"/>
        <w:numPr>
          <w:ilvl w:val="0"/>
          <w:numId w:val="16"/>
        </w:numPr>
        <w:shd w:val="clear" w:color="auto" w:fill="auto"/>
        <w:tabs>
          <w:tab w:val="left" w:pos="504"/>
        </w:tabs>
        <w:spacing w:after="80"/>
        <w:ind w:firstLine="160"/>
      </w:pPr>
      <w:r>
        <w:t>Poskytnutí zadávací dokumentace</w:t>
      </w:r>
    </w:p>
    <w:p w:rsidR="00312C8E" w:rsidRDefault="0069327D">
      <w:pPr>
        <w:pStyle w:val="Zkladntext20"/>
        <w:numPr>
          <w:ilvl w:val="0"/>
          <w:numId w:val="16"/>
        </w:numPr>
        <w:shd w:val="clear" w:color="auto" w:fill="auto"/>
        <w:tabs>
          <w:tab w:val="left" w:pos="504"/>
        </w:tabs>
        <w:spacing w:after="80"/>
        <w:ind w:firstLine="160"/>
      </w:pPr>
      <w:r>
        <w:t>Požadavky na varianty nabídek</w:t>
      </w:r>
    </w:p>
    <w:p w:rsidR="00312C8E" w:rsidRDefault="0069327D">
      <w:pPr>
        <w:pStyle w:val="Zkladntext20"/>
        <w:numPr>
          <w:ilvl w:val="0"/>
          <w:numId w:val="16"/>
        </w:numPr>
        <w:shd w:val="clear" w:color="auto" w:fill="auto"/>
        <w:tabs>
          <w:tab w:val="left" w:pos="504"/>
        </w:tabs>
        <w:spacing w:after="80"/>
        <w:ind w:firstLine="160"/>
      </w:pPr>
      <w:r>
        <w:t>Termíny plnění</w:t>
      </w:r>
    </w:p>
    <w:p w:rsidR="00312C8E" w:rsidRDefault="0069327D">
      <w:pPr>
        <w:pStyle w:val="Zkladntext20"/>
        <w:numPr>
          <w:ilvl w:val="0"/>
          <w:numId w:val="16"/>
        </w:numPr>
        <w:shd w:val="clear" w:color="auto" w:fill="auto"/>
        <w:tabs>
          <w:tab w:val="left" w:pos="504"/>
        </w:tabs>
        <w:spacing w:after="80"/>
        <w:ind w:firstLine="160"/>
      </w:pPr>
      <w:r>
        <w:t>Místo plnění</w:t>
      </w:r>
    </w:p>
    <w:p w:rsidR="00312C8E" w:rsidRDefault="0069327D">
      <w:pPr>
        <w:pStyle w:val="Zkladntext20"/>
        <w:numPr>
          <w:ilvl w:val="0"/>
          <w:numId w:val="16"/>
        </w:numPr>
        <w:shd w:val="clear" w:color="auto" w:fill="auto"/>
        <w:tabs>
          <w:tab w:val="left" w:pos="504"/>
        </w:tabs>
        <w:spacing w:after="80"/>
        <w:ind w:firstLine="160"/>
      </w:pPr>
      <w:r>
        <w:t>Vysvětlení, změna nebo doplnění zadávací dokumentace</w:t>
      </w:r>
    </w:p>
    <w:p w:rsidR="00312C8E" w:rsidRDefault="0069327D">
      <w:pPr>
        <w:pStyle w:val="Zkladntext20"/>
        <w:numPr>
          <w:ilvl w:val="0"/>
          <w:numId w:val="16"/>
        </w:numPr>
        <w:shd w:val="clear" w:color="auto" w:fill="auto"/>
        <w:tabs>
          <w:tab w:val="left" w:pos="504"/>
        </w:tabs>
        <w:spacing w:after="80"/>
        <w:ind w:firstLine="160"/>
      </w:pPr>
      <w:r>
        <w:t>Požadavky na způsob zpracování nabídkové ceny</w:t>
      </w:r>
    </w:p>
    <w:p w:rsidR="00312C8E" w:rsidRDefault="0069327D">
      <w:pPr>
        <w:pStyle w:val="Zkladntext20"/>
        <w:numPr>
          <w:ilvl w:val="0"/>
          <w:numId w:val="16"/>
        </w:numPr>
        <w:shd w:val="clear" w:color="auto" w:fill="auto"/>
        <w:tabs>
          <w:tab w:val="left" w:pos="595"/>
        </w:tabs>
        <w:spacing w:after="80"/>
        <w:ind w:firstLine="160"/>
      </w:pPr>
      <w:r>
        <w:t xml:space="preserve">Obchodní </w:t>
      </w:r>
      <w:r>
        <w:t>podmínky</w:t>
      </w:r>
    </w:p>
    <w:p w:rsidR="00312C8E" w:rsidRDefault="0069327D">
      <w:pPr>
        <w:pStyle w:val="Zkladntext20"/>
        <w:numPr>
          <w:ilvl w:val="0"/>
          <w:numId w:val="16"/>
        </w:numPr>
        <w:shd w:val="clear" w:color="auto" w:fill="auto"/>
        <w:tabs>
          <w:tab w:val="left" w:pos="595"/>
        </w:tabs>
        <w:spacing w:after="80"/>
        <w:ind w:firstLine="160"/>
      </w:pPr>
      <w:r>
        <w:t>Stanovené obchodní a platební podmínky</w:t>
      </w:r>
    </w:p>
    <w:p w:rsidR="00312C8E" w:rsidRDefault="0069327D">
      <w:pPr>
        <w:pStyle w:val="Zkladntext20"/>
        <w:numPr>
          <w:ilvl w:val="0"/>
          <w:numId w:val="16"/>
        </w:numPr>
        <w:shd w:val="clear" w:color="auto" w:fill="auto"/>
        <w:tabs>
          <w:tab w:val="left" w:pos="595"/>
        </w:tabs>
        <w:spacing w:after="80"/>
        <w:ind w:firstLine="160"/>
      </w:pPr>
      <w:r>
        <w:t>Jistota</w:t>
      </w:r>
    </w:p>
    <w:p w:rsidR="00312C8E" w:rsidRDefault="0069327D">
      <w:pPr>
        <w:pStyle w:val="Zkladntext20"/>
        <w:numPr>
          <w:ilvl w:val="0"/>
          <w:numId w:val="16"/>
        </w:numPr>
        <w:shd w:val="clear" w:color="auto" w:fill="auto"/>
        <w:tabs>
          <w:tab w:val="left" w:pos="595"/>
        </w:tabs>
        <w:spacing w:after="80"/>
        <w:ind w:firstLine="160"/>
      </w:pPr>
      <w:r>
        <w:t>Způsob hodnocení nabídek</w:t>
      </w:r>
    </w:p>
    <w:p w:rsidR="00312C8E" w:rsidRDefault="0069327D">
      <w:pPr>
        <w:pStyle w:val="Zkladntext20"/>
        <w:numPr>
          <w:ilvl w:val="0"/>
          <w:numId w:val="16"/>
        </w:numPr>
        <w:shd w:val="clear" w:color="auto" w:fill="auto"/>
        <w:tabs>
          <w:tab w:val="left" w:pos="595"/>
        </w:tabs>
        <w:spacing w:after="80"/>
        <w:ind w:firstLine="160"/>
      </w:pPr>
      <w:r>
        <w:t>Požadavky na prokázání kvalifikace</w:t>
      </w:r>
    </w:p>
    <w:p w:rsidR="00312C8E" w:rsidRDefault="0069327D">
      <w:pPr>
        <w:pStyle w:val="Zkladntext20"/>
        <w:numPr>
          <w:ilvl w:val="0"/>
          <w:numId w:val="16"/>
        </w:numPr>
        <w:shd w:val="clear" w:color="auto" w:fill="auto"/>
        <w:tabs>
          <w:tab w:val="left" w:pos="595"/>
        </w:tabs>
        <w:spacing w:after="80"/>
        <w:ind w:firstLine="160"/>
      </w:pPr>
      <w:r>
        <w:t>Podmínky a požadavky na zpracování nabídky</w:t>
      </w:r>
    </w:p>
    <w:p w:rsidR="00312C8E" w:rsidRDefault="0069327D">
      <w:pPr>
        <w:pStyle w:val="Zkladntext20"/>
        <w:numPr>
          <w:ilvl w:val="0"/>
          <w:numId w:val="16"/>
        </w:numPr>
        <w:shd w:val="clear" w:color="auto" w:fill="auto"/>
        <w:tabs>
          <w:tab w:val="left" w:pos="595"/>
        </w:tabs>
        <w:spacing w:after="80"/>
        <w:ind w:firstLine="160"/>
      </w:pPr>
      <w:r>
        <w:t>Obsah, závazná struktura nabídky</w:t>
      </w:r>
    </w:p>
    <w:p w:rsidR="00312C8E" w:rsidRDefault="0069327D">
      <w:pPr>
        <w:pStyle w:val="Zkladntext20"/>
        <w:numPr>
          <w:ilvl w:val="0"/>
          <w:numId w:val="16"/>
        </w:numPr>
        <w:shd w:val="clear" w:color="auto" w:fill="auto"/>
        <w:tabs>
          <w:tab w:val="left" w:pos="595"/>
        </w:tabs>
        <w:spacing w:after="80"/>
        <w:ind w:firstLine="160"/>
      </w:pPr>
      <w:r>
        <w:t>Lhůta a místo pro podání nabídek</w:t>
      </w:r>
    </w:p>
    <w:p w:rsidR="00312C8E" w:rsidRDefault="0069327D">
      <w:pPr>
        <w:pStyle w:val="Zkladntext20"/>
        <w:numPr>
          <w:ilvl w:val="0"/>
          <w:numId w:val="16"/>
        </w:numPr>
        <w:shd w:val="clear" w:color="auto" w:fill="auto"/>
        <w:tabs>
          <w:tab w:val="left" w:pos="595"/>
        </w:tabs>
        <w:spacing w:after="80"/>
        <w:ind w:firstLine="160"/>
      </w:pPr>
      <w:r>
        <w:t>Zadávací lhůta</w:t>
      </w:r>
    </w:p>
    <w:p w:rsidR="00312C8E" w:rsidRDefault="0069327D">
      <w:pPr>
        <w:pStyle w:val="Zkladntext20"/>
        <w:numPr>
          <w:ilvl w:val="0"/>
          <w:numId w:val="16"/>
        </w:numPr>
        <w:shd w:val="clear" w:color="auto" w:fill="auto"/>
        <w:tabs>
          <w:tab w:val="left" w:pos="595"/>
        </w:tabs>
        <w:spacing w:after="700"/>
        <w:ind w:firstLine="160"/>
      </w:pPr>
      <w:r>
        <w:t>Ostatní podmínky</w:t>
      </w:r>
      <w:r>
        <w:t xml:space="preserve"> zadávacího řízení</w:t>
      </w:r>
    </w:p>
    <w:p w:rsidR="00312C8E" w:rsidRDefault="0069327D">
      <w:pPr>
        <w:pStyle w:val="Nadpis70"/>
        <w:keepNext/>
        <w:keepLines/>
        <w:shd w:val="clear" w:color="auto" w:fill="auto"/>
        <w:spacing w:after="220"/>
        <w:ind w:firstLine="160"/>
        <w:jc w:val="both"/>
      </w:pPr>
      <w:bookmarkStart w:id="32" w:name="bookmark31"/>
      <w:r>
        <w:t>Přílohy:</w:t>
      </w:r>
      <w:bookmarkEnd w:id="32"/>
    </w:p>
    <w:p w:rsidR="00312C8E" w:rsidRDefault="0069327D">
      <w:pPr>
        <w:pStyle w:val="Zkladntext20"/>
        <w:numPr>
          <w:ilvl w:val="0"/>
          <w:numId w:val="17"/>
        </w:numPr>
        <w:shd w:val="clear" w:color="auto" w:fill="auto"/>
        <w:tabs>
          <w:tab w:val="left" w:pos="485"/>
        </w:tabs>
        <w:ind w:firstLine="160"/>
      </w:pPr>
      <w:r>
        <w:t>Krycí list nabídky</w:t>
      </w:r>
    </w:p>
    <w:p w:rsidR="00312C8E" w:rsidRDefault="0069327D">
      <w:pPr>
        <w:pStyle w:val="Zkladntext20"/>
        <w:numPr>
          <w:ilvl w:val="0"/>
          <w:numId w:val="17"/>
        </w:numPr>
        <w:shd w:val="clear" w:color="auto" w:fill="auto"/>
        <w:tabs>
          <w:tab w:val="left" w:pos="499"/>
        </w:tabs>
        <w:spacing w:line="233" w:lineRule="auto"/>
        <w:ind w:firstLine="160"/>
      </w:pPr>
      <w:r>
        <w:t>Vzory čestných prohlášení</w:t>
      </w:r>
    </w:p>
    <w:p w:rsidR="00312C8E" w:rsidRDefault="0069327D">
      <w:pPr>
        <w:pStyle w:val="Zkladntext20"/>
        <w:numPr>
          <w:ilvl w:val="0"/>
          <w:numId w:val="17"/>
        </w:numPr>
        <w:shd w:val="clear" w:color="auto" w:fill="auto"/>
        <w:tabs>
          <w:tab w:val="left" w:pos="499"/>
        </w:tabs>
        <w:spacing w:after="600" w:line="233" w:lineRule="auto"/>
        <w:ind w:firstLine="160"/>
      </w:pPr>
      <w:r>
        <w:t>Technické specifikace a cenová nabídka</w:t>
      </w:r>
    </w:p>
    <w:p w:rsidR="00312C8E" w:rsidRDefault="0069327D">
      <w:pPr>
        <w:pStyle w:val="Zkladntext20"/>
        <w:shd w:val="clear" w:color="auto" w:fill="auto"/>
        <w:spacing w:after="80" w:line="228" w:lineRule="auto"/>
        <w:ind w:right="380" w:firstLine="160"/>
      </w:pPr>
      <w:r>
        <w:t xml:space="preserve">Kompletní zadávací dokumentace včetně těchto zadávacích podmínek je umístěna na profilu zadavatele: </w:t>
      </w:r>
      <w:hyperlink r:id="rId32" w:history="1">
        <w:r>
          <w:rPr>
            <w:lang w:val="en-US" w:eastAsia="en-US" w:bidi="en-US"/>
          </w:rPr>
          <w:t>https://zakazky.eagri.cz/profile_display_1067.html</w:t>
        </w:r>
      </w:hyperlink>
    </w:p>
    <w:sectPr w:rsidR="00312C8E">
      <w:headerReference w:type="default" r:id="rId33"/>
      <w:footerReference w:type="default" r:id="rId34"/>
      <w:pgSz w:w="11900" w:h="16840"/>
      <w:pgMar w:top="1768" w:right="1364" w:bottom="1772" w:left="1685" w:header="134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7D" w:rsidRDefault="0069327D">
      <w:r>
        <w:separator/>
      </w:r>
    </w:p>
  </w:endnote>
  <w:endnote w:type="continuationSeparator" w:id="0">
    <w:p w:rsidR="0069327D" w:rsidRDefault="0069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E" w:rsidRDefault="0069327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3632" behindDoc="1" locked="0" layoutInCell="1" allowOverlap="1">
              <wp:simplePos x="0" y="0"/>
              <wp:positionH relativeFrom="page">
                <wp:posOffset>6106160</wp:posOffset>
              </wp:positionH>
              <wp:positionV relativeFrom="page">
                <wp:posOffset>9782175</wp:posOffset>
              </wp:positionV>
              <wp:extent cx="722630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63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2C8E" w:rsidRDefault="0069327D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8C3" w:rsidRPr="00B428C3">
                            <w:rPr>
                              <w:rFonts w:ascii="Calibri" w:eastAsia="Calibri" w:hAnsi="Calibri" w:cs="Calibri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 xml:space="preserve"> (celkem 8)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45" type="#_x0000_t202" style="position:absolute;margin-left:480.8pt;margin-top:770.25pt;width:56.9pt;height:6.25pt;z-index:-2516628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" filled="f" stroked="f">
              <v:textbox style="mso-fit-shape-to-text:t" inset="0,0,0,0">
                <w:txbxContent>
                  <w:p w:rsidR="00312C8E" w:rsidRDefault="0069327D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8C3" w:rsidRPr="00B428C3">
                      <w:rPr>
                        <w:rFonts w:ascii="Calibri" w:eastAsia="Calibri" w:hAnsi="Calibri" w:cs="Calibri"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 xml:space="preserve"> (celkem 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E" w:rsidRDefault="00312C8E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E" w:rsidRDefault="0069327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5836920</wp:posOffset>
              </wp:positionH>
              <wp:positionV relativeFrom="page">
                <wp:posOffset>9568180</wp:posOffset>
              </wp:positionV>
              <wp:extent cx="615950" cy="6985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2C8E" w:rsidRDefault="0069327D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 xml:space="preserve">Stránka </w:t>
                          </w: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2 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 xml:space="preserve">z </w:t>
                          </w: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459.60000000000002pt;margin-top:753.39999999999998pt;width:48.5pt;height:5.5pt;z-index:-18874403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2 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E" w:rsidRDefault="0069327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6121400</wp:posOffset>
              </wp:positionH>
              <wp:positionV relativeFrom="page">
                <wp:posOffset>9652000</wp:posOffset>
              </wp:positionV>
              <wp:extent cx="722630" cy="850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6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2C8E" w:rsidRDefault="0069327D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8C3" w:rsidRPr="00B428C3">
                            <w:rPr>
                              <w:rFonts w:ascii="Calibri" w:eastAsia="Calibri" w:hAnsi="Calibri" w:cs="Calibri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 xml:space="preserve"> (celkem 8)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47" type="#_x0000_t202" style="position:absolute;margin-left:482pt;margin-top:760pt;width:56.9pt;height:6.7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" filled="f" stroked="f">
              <v:textbox style="mso-fit-shape-to-text:t" inset="0,0,0,0">
                <w:txbxContent>
                  <w:p w:rsidR="00312C8E" w:rsidRDefault="0069327D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8C3" w:rsidRPr="00B428C3">
                      <w:rPr>
                        <w:rFonts w:ascii="Calibri" w:eastAsia="Calibri" w:hAnsi="Calibri" w:cs="Calibri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 xml:space="preserve"> (celkem 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E" w:rsidRDefault="0069327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6131560</wp:posOffset>
              </wp:positionH>
              <wp:positionV relativeFrom="page">
                <wp:posOffset>9735185</wp:posOffset>
              </wp:positionV>
              <wp:extent cx="722630" cy="8255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6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2C8E" w:rsidRDefault="0069327D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E0977" w:rsidRPr="005E0977">
                            <w:rPr>
                              <w:rFonts w:ascii="Calibri" w:eastAsia="Calibri" w:hAnsi="Calibri" w:cs="Calibri"/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 xml:space="preserve"> (celkem 8)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48" type="#_x0000_t202" style="position:absolute;margin-left:482.8pt;margin-top:766.55pt;width:56.9pt;height:6.5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" filled="f" stroked="f">
              <v:textbox style="mso-fit-shape-to-text:t" inset="0,0,0,0">
                <w:txbxContent>
                  <w:p w:rsidR="00312C8E" w:rsidRDefault="0069327D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E0977" w:rsidRPr="005E0977">
                      <w:rPr>
                        <w:rFonts w:ascii="Calibri" w:eastAsia="Calibri" w:hAnsi="Calibri" w:cs="Calibri"/>
                        <w:noProof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 xml:space="preserve"> (celkem 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E" w:rsidRDefault="0069327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6083935</wp:posOffset>
              </wp:positionH>
              <wp:positionV relativeFrom="page">
                <wp:posOffset>9692640</wp:posOffset>
              </wp:positionV>
              <wp:extent cx="725170" cy="8509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2C8E" w:rsidRDefault="0069327D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8C3" w:rsidRPr="00B428C3">
                            <w:rPr>
                              <w:rFonts w:ascii="Calibri" w:eastAsia="Calibri" w:hAnsi="Calibri" w:cs="Calibri"/>
                              <w:noProof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 xml:space="preserve"> (celkem 8)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50" type="#_x0000_t202" style="position:absolute;margin-left:479.05pt;margin-top:763.2pt;width:57.1pt;height:6.7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" filled="f" stroked="f">
              <v:textbox style="mso-fit-shape-to-text:t" inset="0,0,0,0">
                <w:txbxContent>
                  <w:p w:rsidR="00312C8E" w:rsidRDefault="0069327D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8C3" w:rsidRPr="00B428C3">
                      <w:rPr>
                        <w:rFonts w:ascii="Calibri" w:eastAsia="Calibri" w:hAnsi="Calibri" w:cs="Calibri"/>
                        <w:noProof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 xml:space="preserve"> (celkem 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E" w:rsidRDefault="0069327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6131560</wp:posOffset>
              </wp:positionH>
              <wp:positionV relativeFrom="page">
                <wp:posOffset>9735185</wp:posOffset>
              </wp:positionV>
              <wp:extent cx="722630" cy="8255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6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2C8E" w:rsidRDefault="0069327D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E0977" w:rsidRPr="005E0977">
                            <w:rPr>
                              <w:rFonts w:ascii="Calibri" w:eastAsia="Calibri" w:hAnsi="Calibri" w:cs="Calibri"/>
                              <w:noProof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 xml:space="preserve"> (celkem 8)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51" type="#_x0000_t202" style="position:absolute;margin-left:482.8pt;margin-top:766.55pt;width:56.9pt;height:6.5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" filled="f" stroked="f">
              <v:textbox style="mso-fit-shape-to-text:t" inset="0,0,0,0">
                <w:txbxContent>
                  <w:p w:rsidR="00312C8E" w:rsidRDefault="0069327D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E0977" w:rsidRPr="005E0977">
                      <w:rPr>
                        <w:rFonts w:ascii="Calibri" w:eastAsia="Calibri" w:hAnsi="Calibri" w:cs="Calibri"/>
                        <w:noProof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 xml:space="preserve"> (celkem 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E" w:rsidRDefault="0069327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6372225</wp:posOffset>
              </wp:positionH>
              <wp:positionV relativeFrom="page">
                <wp:posOffset>9497060</wp:posOffset>
              </wp:positionV>
              <wp:extent cx="54610" cy="8509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2C8E" w:rsidRDefault="0069327D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501.75pt;margin-top:747.79999999999995pt;width:4.2999999999999998pt;height:6.7000000000000002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E" w:rsidRDefault="0069327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6400165</wp:posOffset>
              </wp:positionH>
              <wp:positionV relativeFrom="page">
                <wp:posOffset>9554845</wp:posOffset>
              </wp:positionV>
              <wp:extent cx="48895" cy="8255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2C8E" w:rsidRDefault="0069327D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503.94999999999999pt;margin-top:752.35000000000002pt;width:3.8500000000000001pt;height:6.5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E" w:rsidRDefault="0069327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6052185</wp:posOffset>
              </wp:positionH>
              <wp:positionV relativeFrom="page">
                <wp:posOffset>9706610</wp:posOffset>
              </wp:positionV>
              <wp:extent cx="722630" cy="8255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6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2C8E" w:rsidRDefault="0069327D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E0977" w:rsidRPr="005E0977">
                            <w:rPr>
                              <w:rFonts w:ascii="Calibri" w:eastAsia="Calibri" w:hAnsi="Calibri" w:cs="Calibri"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 xml:space="preserve"> (celkem 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54" type="#_x0000_t202" style="position:absolute;margin-left:476.55pt;margin-top:764.3pt;width:56.9pt;height:6.5pt;z-index:-2516536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" filled="f" stroked="f">
              <v:textbox style="mso-fit-shape-to-text:t" inset="0,0,0,0">
                <w:txbxContent>
                  <w:p w:rsidR="00312C8E" w:rsidRDefault="0069327D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E0977" w:rsidRPr="005E0977">
                      <w:rPr>
                        <w:rFonts w:ascii="Calibri" w:eastAsia="Calibri" w:hAnsi="Calibri" w:cs="Calibri"/>
                        <w:noProof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 xml:space="preserve"> (celkem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1156970</wp:posOffset>
              </wp:positionH>
              <wp:positionV relativeFrom="page">
                <wp:posOffset>9669780</wp:posOffset>
              </wp:positionV>
              <wp:extent cx="5638800" cy="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1.099999999999994pt;margin-top:761.39999999999998pt;width:444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E" w:rsidRDefault="0069327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6061075</wp:posOffset>
              </wp:positionH>
              <wp:positionV relativeFrom="page">
                <wp:posOffset>9703435</wp:posOffset>
              </wp:positionV>
              <wp:extent cx="725170" cy="82550"/>
              <wp:effectExtent l="0" t="0" r="0" b="0"/>
              <wp:wrapNone/>
              <wp:docPr id="60" name="Shap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2C8E" w:rsidRDefault="0069327D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E0977" w:rsidRPr="005E0977">
                            <w:rPr>
                              <w:rFonts w:ascii="Calibri" w:eastAsia="Calibri" w:hAnsi="Calibri" w:cs="Calibri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 xml:space="preserve"> (celtem 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0" o:spid="_x0000_s1055" type="#_x0000_t202" style="position:absolute;margin-left:477.25pt;margin-top:764.05pt;width:57.1pt;height:6.5pt;z-index:-2516526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" filled="f" stroked="f">
              <v:textbox style="mso-fit-shape-to-text:t" inset="0,0,0,0">
                <w:txbxContent>
                  <w:p w:rsidR="00312C8E" w:rsidRDefault="0069327D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E0977" w:rsidRPr="005E0977">
                      <w:rPr>
                        <w:rFonts w:ascii="Calibri" w:eastAsia="Calibri" w:hAnsi="Calibri" w:cs="Calibri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 xml:space="preserve"> (celtem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1166495</wp:posOffset>
              </wp:positionH>
              <wp:positionV relativeFrom="page">
                <wp:posOffset>9665335</wp:posOffset>
              </wp:positionV>
              <wp:extent cx="5632450" cy="0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24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1.849999999999994pt;margin-top:761.04999999999995pt;width:443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7D" w:rsidRDefault="0069327D"/>
  </w:footnote>
  <w:footnote w:type="continuationSeparator" w:id="0">
    <w:p w:rsidR="0069327D" w:rsidRDefault="006932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E" w:rsidRDefault="0069327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1018540</wp:posOffset>
              </wp:positionH>
              <wp:positionV relativeFrom="page">
                <wp:posOffset>1113790</wp:posOffset>
              </wp:positionV>
              <wp:extent cx="5791200" cy="977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2C8E" w:rsidRDefault="0069327D">
                          <w:pPr>
                            <w:pStyle w:val="Zhlavnebozpat20"/>
                            <w:shd w:val="clear" w:color="auto" w:fill="auto"/>
                            <w:tabs>
                              <w:tab w:val="right" w:pos="912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cers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Smlouva o dílo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80.200000000000003pt;margin-top:87.700000000000003pt;width:456.pt;height:7.70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2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cers</w:t>
                      <w:tab/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E" w:rsidRDefault="00312C8E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E" w:rsidRDefault="00312C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E" w:rsidRDefault="0069327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6535420</wp:posOffset>
              </wp:positionH>
              <wp:positionV relativeFrom="page">
                <wp:posOffset>638810</wp:posOffset>
              </wp:positionV>
              <wp:extent cx="365760" cy="5092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" cy="509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2C8E" w:rsidRDefault="0069327D">
                          <w:pPr>
                            <w:pStyle w:val="Zhlavnebozpat20"/>
                            <w:shd w:val="clear" w:color="auto" w:fill="auto"/>
                            <w:rPr>
                              <w:sz w:val="66"/>
                              <w:szCs w:val="6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963155"/>
                              <w:sz w:val="66"/>
                              <w:szCs w:val="66"/>
                            </w:rPr>
                            <w:t>O</w:t>
                          </w:r>
                        </w:p>
                        <w:p w:rsidR="00312C8E" w:rsidRDefault="0069327D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  <w:t>ders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514.60000000000002pt;margin-top:50.299999999999997pt;width:28.800000000000001pt;height:40.1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66"/>
                        <w:szCs w:val="66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963155"/>
                        <w:spacing w:val="0"/>
                        <w:w w:val="100"/>
                        <w:position w:val="0"/>
                        <w:sz w:val="66"/>
                        <w:szCs w:val="66"/>
                        <w:shd w:val="clear" w:color="auto" w:fill="auto"/>
                        <w:lang w:val="cs-CZ" w:eastAsia="cs-CZ" w:bidi="cs-CZ"/>
                      </w:rPr>
                      <w:t>O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ders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E" w:rsidRDefault="00312C8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E" w:rsidRDefault="0069327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1002665</wp:posOffset>
              </wp:positionV>
              <wp:extent cx="5794375" cy="12192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43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2C8E" w:rsidRDefault="0069327D">
                          <w:pPr>
                            <w:pStyle w:val="Zhlavnebozpat20"/>
                            <w:shd w:val="clear" w:color="auto" w:fill="auto"/>
                            <w:tabs>
                              <w:tab w:val="right" w:pos="9125"/>
                            </w:tabs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ders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Smlouva o dílo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78.pt;margin-top:78.950000000000003pt;width:456.25pt;height:9.5999999999999996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2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ders</w:t>
                      <w:tab/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E" w:rsidRDefault="00312C8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E" w:rsidRDefault="00312C8E">
    <w:pPr>
      <w:spacing w:line="14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E" w:rsidRDefault="00312C8E">
    <w:pPr>
      <w:spacing w:line="14" w:lineRule="exac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E" w:rsidRDefault="00312C8E">
    <w:pPr>
      <w:spacing w:line="14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E" w:rsidRDefault="00312C8E">
    <w:pPr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51F"/>
    <w:multiLevelType w:val="multilevel"/>
    <w:tmpl w:val="046E733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53BA8"/>
    <w:multiLevelType w:val="multilevel"/>
    <w:tmpl w:val="A12CC26A"/>
    <w:lvl w:ilvl="0">
      <w:start w:val="4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37C29"/>
    <w:multiLevelType w:val="multilevel"/>
    <w:tmpl w:val="1F729D32"/>
    <w:lvl w:ilvl="0">
      <w:start w:val="9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B1610C"/>
    <w:multiLevelType w:val="multilevel"/>
    <w:tmpl w:val="B21A0A18"/>
    <w:lvl w:ilvl="0">
      <w:start w:val="4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022422"/>
    <w:multiLevelType w:val="multilevel"/>
    <w:tmpl w:val="A6C45C6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963155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A210DC"/>
    <w:multiLevelType w:val="multilevel"/>
    <w:tmpl w:val="E9E495D6"/>
    <w:lvl w:ilvl="0">
      <w:start w:val="4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8B5514"/>
    <w:multiLevelType w:val="multilevel"/>
    <w:tmpl w:val="3B9AD14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1302A6"/>
    <w:multiLevelType w:val="multilevel"/>
    <w:tmpl w:val="9882495C"/>
    <w:lvl w:ilvl="0">
      <w:start w:val="1"/>
      <w:numFmt w:val="decimal"/>
      <w:lvlText w:val="11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022BF5"/>
    <w:multiLevelType w:val="multilevel"/>
    <w:tmpl w:val="FCAE5690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8B72BE"/>
    <w:multiLevelType w:val="multilevel"/>
    <w:tmpl w:val="45986A90"/>
    <w:lvl w:ilvl="0">
      <w:start w:val="1"/>
      <w:numFmt w:val="decimal"/>
      <w:lvlText w:val="1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035236"/>
    <w:multiLevelType w:val="multilevel"/>
    <w:tmpl w:val="4994094E"/>
    <w:lvl w:ilvl="0">
      <w:start w:val="9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8B4753"/>
    <w:multiLevelType w:val="multilevel"/>
    <w:tmpl w:val="FA7269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174849"/>
    <w:multiLevelType w:val="multilevel"/>
    <w:tmpl w:val="D430C698"/>
    <w:lvl w:ilvl="0">
      <w:start w:val="4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6592C"/>
    <w:multiLevelType w:val="multilevel"/>
    <w:tmpl w:val="8F5E9E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81749C"/>
    <w:multiLevelType w:val="multilevel"/>
    <w:tmpl w:val="9676B8E2"/>
    <w:lvl w:ilvl="0">
      <w:start w:val="4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D025E7"/>
    <w:multiLevelType w:val="multilevel"/>
    <w:tmpl w:val="8550B26E"/>
    <w:lvl w:ilvl="0">
      <w:start w:val="9"/>
      <w:numFmt w:val="upperRoman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A918FF"/>
    <w:multiLevelType w:val="multilevel"/>
    <w:tmpl w:val="2F32DD76"/>
    <w:lvl w:ilvl="0">
      <w:start w:val="2"/>
      <w:numFmt w:val="upperRoman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9"/>
  </w:num>
  <w:num w:numId="5">
    <w:abstractNumId w:val="7"/>
  </w:num>
  <w:num w:numId="6">
    <w:abstractNumId w:val="12"/>
  </w:num>
  <w:num w:numId="7">
    <w:abstractNumId w:val="3"/>
  </w:num>
  <w:num w:numId="8">
    <w:abstractNumId w:val="5"/>
  </w:num>
  <w:num w:numId="9">
    <w:abstractNumId w:val="14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0"/>
  </w:num>
  <w:num w:numId="15">
    <w:abstractNumId w:val="6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12C8E"/>
    <w:rsid w:val="001E5132"/>
    <w:rsid w:val="00312C8E"/>
    <w:rsid w:val="005E0977"/>
    <w:rsid w:val="0069327D"/>
    <w:rsid w:val="00B4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6">
    <w:name w:val="Nadpis #6_"/>
    <w:basedOn w:val="Standardnpsmoodstavce"/>
    <w:link w:val="Nadpis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 w:val="0"/>
      <w:bCs w:val="0"/>
      <w:i w:val="0"/>
      <w:iCs w:val="0"/>
      <w:smallCaps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color w:val="963155"/>
      <w:sz w:val="60"/>
      <w:szCs w:val="6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70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90" w:line="257" w:lineRule="auto"/>
      <w:ind w:left="740" w:hanging="740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60">
    <w:name w:val="Nadpis #6"/>
    <w:basedOn w:val="Normln"/>
    <w:link w:val="Nadpis6"/>
    <w:pPr>
      <w:shd w:val="clear" w:color="auto" w:fill="FFFFFF"/>
      <w:outlineLvl w:val="5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</w:pPr>
    <w:rPr>
      <w:rFonts w:ascii="Calibri" w:eastAsia="Calibri" w:hAnsi="Calibri" w:cs="Calibri"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200"/>
      <w:ind w:left="880" w:hanging="510"/>
      <w:jc w:val="both"/>
      <w:outlineLvl w:val="4"/>
    </w:pPr>
    <w:rPr>
      <w:rFonts w:ascii="Calibri" w:eastAsia="Calibri" w:hAnsi="Calibri" w:cs="Calibri"/>
      <w:smallCaps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i/>
      <w:iCs/>
      <w:color w:val="963155"/>
      <w:sz w:val="60"/>
      <w:szCs w:val="6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Segoe UI" w:eastAsia="Segoe UI" w:hAnsi="Segoe UI" w:cs="Segoe UI"/>
      <w:sz w:val="34"/>
      <w:szCs w:val="3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after="140"/>
      <w:outlineLvl w:val="6"/>
    </w:pPr>
    <w:rPr>
      <w:rFonts w:ascii="Arial" w:eastAsia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6">
    <w:name w:val="Nadpis #6_"/>
    <w:basedOn w:val="Standardnpsmoodstavce"/>
    <w:link w:val="Nadpis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 w:val="0"/>
      <w:bCs w:val="0"/>
      <w:i w:val="0"/>
      <w:iCs w:val="0"/>
      <w:smallCaps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color w:val="963155"/>
      <w:sz w:val="60"/>
      <w:szCs w:val="6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70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90" w:line="257" w:lineRule="auto"/>
      <w:ind w:left="740" w:hanging="740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60">
    <w:name w:val="Nadpis #6"/>
    <w:basedOn w:val="Normln"/>
    <w:link w:val="Nadpis6"/>
    <w:pPr>
      <w:shd w:val="clear" w:color="auto" w:fill="FFFFFF"/>
      <w:outlineLvl w:val="5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</w:pPr>
    <w:rPr>
      <w:rFonts w:ascii="Calibri" w:eastAsia="Calibri" w:hAnsi="Calibri" w:cs="Calibri"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200"/>
      <w:ind w:left="880" w:hanging="510"/>
      <w:jc w:val="both"/>
      <w:outlineLvl w:val="4"/>
    </w:pPr>
    <w:rPr>
      <w:rFonts w:ascii="Calibri" w:eastAsia="Calibri" w:hAnsi="Calibri" w:cs="Calibri"/>
      <w:smallCaps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i/>
      <w:iCs/>
      <w:color w:val="963155"/>
      <w:sz w:val="60"/>
      <w:szCs w:val="6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Segoe UI" w:eastAsia="Segoe UI" w:hAnsi="Segoe UI" w:cs="Segoe UI"/>
      <w:sz w:val="34"/>
      <w:szCs w:val="3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after="140"/>
      <w:outlineLvl w:val="6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34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33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hyperlink" Target="https://zakazky.eagri.cz/profile_display_1067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jira.ders.cz" TargetMode="External"/><Relationship Id="rId28" Type="http://schemas.openxmlformats.org/officeDocument/2006/relationships/hyperlink" Target="mailto:cropscience@vurv.cz" TargetMode="Externa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http://jira.ders.cz/_a_toklasifikac%c3%ad_Chyba_a_ur%c4%8den%c3%adm_jej%c3%ad_priority._Prioritu_chyby_je_Zhotovitel_opr%c3%a1vn%c4%9bn_p%c5%99ezkoumat_a_vod%c5%afvodn%c4%9bn%c3%bdch_p%c5%99%c3%adpadn%c4%9b_zm%c4%9bnit" TargetMode="External"/><Relationship Id="rId27" Type="http://schemas.openxmlformats.org/officeDocument/2006/relationships/footer" Target="footer9.xml"/><Relationship Id="rId30" Type="http://schemas.openxmlformats.org/officeDocument/2006/relationships/header" Target="header10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5682</Words>
  <Characters>33526</Characters>
  <Application>Microsoft Office Word</Application>
  <DocSecurity>0</DocSecurity>
  <Lines>279</Lines>
  <Paragraphs>78</Paragraphs>
  <ScaleCrop>false</ScaleCrop>
  <Company/>
  <LinksUpToDate>false</LinksUpToDate>
  <CharactersWithSpaces>39130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2020-11-04T12:44:00Z</dcterms:created>
  <dcterms:modified xsi:type="dcterms:W3CDTF">2020-11-04T12:50:00Z</dcterms:modified>
</cp:coreProperties>
</file>