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B9" w:rsidRDefault="00C127B9">
      <w:pPr>
        <w:rPr>
          <w:bCs/>
        </w:rPr>
      </w:pPr>
    </w:p>
    <w:p w:rsidR="00C127B9" w:rsidRDefault="0051247B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kupn</w:t>
      </w:r>
      <w:bookmarkStart w:id="0" w:name="_GoBack"/>
      <w:bookmarkEnd w:id="0"/>
      <w:r>
        <w:rPr>
          <w:b/>
          <w:caps/>
          <w:sz w:val="40"/>
          <w:szCs w:val="40"/>
        </w:rPr>
        <w:t>í smlouva</w:t>
      </w:r>
    </w:p>
    <w:p w:rsidR="00C127B9" w:rsidRDefault="00C127B9">
      <w:pPr>
        <w:jc w:val="center"/>
        <w:rPr>
          <w:b/>
        </w:rPr>
      </w:pPr>
    </w:p>
    <w:p w:rsidR="00C127B9" w:rsidRDefault="0051247B">
      <w:pPr>
        <w:jc w:val="center"/>
        <w:rPr>
          <w:bCs/>
        </w:rPr>
      </w:pPr>
      <w:r>
        <w:rPr>
          <w:bCs/>
        </w:rPr>
        <w:t xml:space="preserve">dle § 2079 a násl. zákona č. 89/2012 Sb., občanský zákoník, ve znění pozdějších předpisů </w:t>
      </w:r>
    </w:p>
    <w:p w:rsidR="00C127B9" w:rsidRDefault="0051247B">
      <w:pPr>
        <w:jc w:val="center"/>
        <w:rPr>
          <w:bCs/>
        </w:rPr>
      </w:pPr>
      <w:r>
        <w:rPr>
          <w:bCs/>
        </w:rPr>
        <w:t>(dále jen „občanský zákoník“)</w:t>
      </w:r>
    </w:p>
    <w:p w:rsidR="00C127B9" w:rsidRDefault="00C127B9"/>
    <w:p w:rsidR="00C127B9" w:rsidRDefault="00C127B9"/>
    <w:p w:rsidR="00C127B9" w:rsidRDefault="00C127B9"/>
    <w:p w:rsidR="00C127B9" w:rsidRDefault="0051247B">
      <w:r>
        <w:t>Smluvní strany:</w:t>
      </w:r>
    </w:p>
    <w:p w:rsidR="00C127B9" w:rsidRDefault="00C127B9">
      <w:pPr>
        <w:rPr>
          <w:u w:val="single"/>
        </w:rPr>
      </w:pPr>
    </w:p>
    <w:p w:rsidR="00C127B9" w:rsidRDefault="0051247B">
      <w:r>
        <w:rPr>
          <w:u w:val="single"/>
        </w:rPr>
        <w:t>prodávající</w:t>
      </w:r>
      <w:r>
        <w:t>:</w:t>
      </w:r>
    </w:p>
    <w:p w:rsidR="00C127B9" w:rsidRDefault="00C127B9">
      <w:pPr>
        <w:rPr>
          <w:b/>
        </w:rPr>
      </w:pPr>
    </w:p>
    <w:p w:rsidR="00687E92" w:rsidRDefault="00075AF8" w:rsidP="00687E92">
      <w:pPr>
        <w:rPr>
          <w:b/>
        </w:rPr>
      </w:pPr>
      <w:r>
        <w:rPr>
          <w:b/>
        </w:rPr>
        <w:t>Nábytek Jelen</w:t>
      </w:r>
      <w:r w:rsidR="00CC792C">
        <w:rPr>
          <w:b/>
        </w:rPr>
        <w:t xml:space="preserve"> s.r.o.</w:t>
      </w:r>
    </w:p>
    <w:p w:rsidR="00687E92" w:rsidRDefault="00687E92" w:rsidP="00687E92">
      <w:pPr>
        <w:rPr>
          <w:b/>
        </w:rPr>
      </w:pPr>
      <w:r>
        <w:rPr>
          <w:b/>
        </w:rPr>
        <w:t>Skuhrov 76</w:t>
      </w:r>
    </w:p>
    <w:p w:rsidR="00687E92" w:rsidRDefault="00687E92" w:rsidP="00687E92">
      <w:pPr>
        <w:rPr>
          <w:b/>
        </w:rPr>
      </w:pPr>
      <w:r>
        <w:rPr>
          <w:b/>
        </w:rPr>
        <w:t>582 41 Skuhrov</w:t>
      </w:r>
    </w:p>
    <w:p w:rsidR="00687E92" w:rsidRDefault="00687E92" w:rsidP="00687E92">
      <w:pPr>
        <w:rPr>
          <w:b/>
        </w:rPr>
      </w:pPr>
      <w:r>
        <w:rPr>
          <w:b/>
        </w:rPr>
        <w:t xml:space="preserve">IČ: </w:t>
      </w:r>
      <w:r w:rsidR="00CC792C">
        <w:rPr>
          <w:b/>
        </w:rPr>
        <w:t>08785198</w:t>
      </w:r>
    </w:p>
    <w:p w:rsidR="00687E92" w:rsidRPr="00C22EE3" w:rsidRDefault="00687E92" w:rsidP="00687E92">
      <w:r>
        <w:rPr>
          <w:b/>
        </w:rPr>
        <w:t>DIČ: CZ</w:t>
      </w:r>
      <w:r w:rsidR="00CC792C">
        <w:rPr>
          <w:b/>
        </w:rPr>
        <w:t>08785198</w:t>
      </w:r>
      <w:r w:rsidRPr="00C22EE3">
        <w:rPr>
          <w:b/>
        </w:rPr>
        <w:t xml:space="preserve"> </w:t>
      </w:r>
    </w:p>
    <w:p w:rsidR="00687E92" w:rsidRDefault="00687E92" w:rsidP="00687E92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r w:rsidR="00CC792C">
        <w:t>232833992/0600</w:t>
      </w:r>
    </w:p>
    <w:p w:rsidR="00687E92" w:rsidRDefault="007327F0" w:rsidP="00687E92">
      <w:proofErr w:type="spellStart"/>
      <w:r>
        <w:t>zstoupená</w:t>
      </w:r>
      <w:proofErr w:type="spellEnd"/>
      <w:r>
        <w:t xml:space="preserve"> Petrem </w:t>
      </w:r>
      <w:proofErr w:type="gramStart"/>
      <w:r>
        <w:t>Jelenem , jednatelem</w:t>
      </w:r>
      <w:proofErr w:type="gramEnd"/>
    </w:p>
    <w:p w:rsidR="007327F0" w:rsidRDefault="007327F0" w:rsidP="00687E92"/>
    <w:p w:rsidR="00687E92" w:rsidRDefault="00687E92" w:rsidP="00687E92">
      <w:r>
        <w:t xml:space="preserve">e-mail kontaktní osoby pro zakázku: </w:t>
      </w:r>
      <w:r w:rsidR="00075AF8">
        <w:t>loznice</w:t>
      </w:r>
      <w:r>
        <w:t>@nabytekjelen.cz</w:t>
      </w:r>
    </w:p>
    <w:p w:rsidR="00C127B9" w:rsidRDefault="00C127B9"/>
    <w:p w:rsidR="00C127B9" w:rsidRDefault="00C127B9">
      <w:pPr>
        <w:rPr>
          <w:b/>
          <w:u w:val="single"/>
        </w:rPr>
      </w:pPr>
    </w:p>
    <w:p w:rsidR="00C127B9" w:rsidRDefault="0051247B">
      <w:r>
        <w:rPr>
          <w:u w:val="single"/>
        </w:rPr>
        <w:t>kupující</w:t>
      </w:r>
      <w:r>
        <w:t>:</w:t>
      </w:r>
    </w:p>
    <w:p w:rsidR="00C127B9" w:rsidRDefault="00C127B9"/>
    <w:p w:rsidR="00C127B9" w:rsidRDefault="0051247B">
      <w:pPr>
        <w:rPr>
          <w:b/>
        </w:rPr>
      </w:pPr>
      <w:r>
        <w:rPr>
          <w:b/>
        </w:rPr>
        <w:t>Obchodní akademie a Hotelová škola Havlíčkův Brod</w:t>
      </w:r>
    </w:p>
    <w:p w:rsidR="00C127B9" w:rsidRDefault="0051247B">
      <w:pPr>
        <w:rPr>
          <w:b/>
        </w:rPr>
      </w:pPr>
      <w:r>
        <w:rPr>
          <w:b/>
        </w:rPr>
        <w:t>Bratříků 851</w:t>
      </w:r>
    </w:p>
    <w:p w:rsidR="00C127B9" w:rsidRDefault="0051247B">
      <w:r>
        <w:rPr>
          <w:b/>
        </w:rPr>
        <w:t>580 02 Havlíčkův Brod</w:t>
      </w:r>
    </w:p>
    <w:p w:rsidR="00C127B9" w:rsidRDefault="0051247B">
      <w:r>
        <w:t>IČ: 60126817</w:t>
      </w:r>
    </w:p>
    <w:p w:rsidR="00C127B9" w:rsidRDefault="0051247B">
      <w:r>
        <w:t xml:space="preserve">Komerční banka, </w:t>
      </w:r>
      <w:proofErr w:type="gramStart"/>
      <w:r>
        <w:t>as., Havlíčkův</w:t>
      </w:r>
      <w:proofErr w:type="gramEnd"/>
      <w:r>
        <w:t xml:space="preserve"> Brod, č. účtu: 16732521/0100</w:t>
      </w:r>
    </w:p>
    <w:p w:rsidR="00C127B9" w:rsidRDefault="0051247B">
      <w:r>
        <w:t>Tel.: +420 569 421 182 e-mail: oahshb@oahshb.cz</w:t>
      </w:r>
    </w:p>
    <w:p w:rsidR="00C127B9" w:rsidRDefault="0051247B">
      <w:pPr>
        <w:rPr>
          <w:b/>
        </w:rPr>
      </w:pPr>
      <w:r>
        <w:t>zastoupená Mgr. Jiřím Formanem, ředitelem</w:t>
      </w:r>
    </w:p>
    <w:p w:rsidR="00C127B9" w:rsidRDefault="00C127B9">
      <w:pPr>
        <w:keepNext/>
        <w:jc w:val="center"/>
        <w:rPr>
          <w:b/>
          <w:bCs/>
        </w:rPr>
      </w:pPr>
    </w:p>
    <w:p w:rsidR="00C127B9" w:rsidRDefault="00C127B9">
      <w:pPr>
        <w:keepNext/>
        <w:jc w:val="center"/>
        <w:rPr>
          <w:b/>
          <w:bCs/>
        </w:rPr>
      </w:pPr>
    </w:p>
    <w:p w:rsidR="00C127B9" w:rsidRDefault="00C127B9">
      <w:pPr>
        <w:keepNext/>
        <w:jc w:val="center"/>
        <w:rPr>
          <w:b/>
          <w:bCs/>
        </w:rPr>
      </w:pPr>
    </w:p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Článek první</w:t>
      </w:r>
    </w:p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C127B9" w:rsidRDefault="00C127B9"/>
    <w:p w:rsidR="00C127B9" w:rsidRDefault="0051247B" w:rsidP="00A635E5">
      <w:pPr>
        <w:numPr>
          <w:ilvl w:val="1"/>
          <w:numId w:val="7"/>
        </w:numPr>
        <w:suppressAutoHyphens/>
        <w:ind w:left="510" w:hanging="510"/>
        <w:jc w:val="both"/>
      </w:pPr>
      <w:r>
        <w:t xml:space="preserve">  </w:t>
      </w:r>
      <w:r w:rsidRPr="00687E92">
        <w:rPr>
          <w:rFonts w:asciiTheme="minorHAnsi" w:hAnsiTheme="minorHAnsi"/>
        </w:rPr>
        <w:t xml:space="preserve">Předmětem plnění </w:t>
      </w:r>
      <w:r w:rsidRPr="00687E92">
        <w:rPr>
          <w:rFonts w:asciiTheme="minorHAnsi" w:hAnsiTheme="minorHAnsi"/>
          <w:sz w:val="24"/>
          <w:szCs w:val="24"/>
        </w:rPr>
        <w:t xml:space="preserve">je dodávka </w:t>
      </w:r>
      <w:r w:rsidR="00FA125F">
        <w:rPr>
          <w:rFonts w:asciiTheme="minorHAnsi" w:hAnsiTheme="minorHAnsi"/>
          <w:b/>
          <w:sz w:val="24"/>
          <w:szCs w:val="24"/>
        </w:rPr>
        <w:t>24</w:t>
      </w:r>
      <w:r w:rsidR="00D96434" w:rsidRPr="00687E92">
        <w:rPr>
          <w:rFonts w:asciiTheme="minorHAnsi" w:hAnsiTheme="minorHAnsi"/>
          <w:b/>
          <w:sz w:val="24"/>
          <w:szCs w:val="24"/>
        </w:rPr>
        <w:t xml:space="preserve"> ks válend Ondra </w:t>
      </w:r>
      <w:r w:rsidR="00687E92" w:rsidRPr="00687E92">
        <w:rPr>
          <w:rFonts w:asciiTheme="minorHAnsi" w:hAnsiTheme="minorHAnsi"/>
          <w:b/>
          <w:sz w:val="24"/>
          <w:szCs w:val="24"/>
        </w:rPr>
        <w:t xml:space="preserve">senior </w:t>
      </w:r>
      <w:r w:rsidR="00687E92">
        <w:rPr>
          <w:rFonts w:asciiTheme="minorHAnsi" w:hAnsiTheme="minorHAnsi"/>
          <w:b/>
          <w:sz w:val="24"/>
          <w:szCs w:val="24"/>
        </w:rPr>
        <w:t>lux, rozměr 90x200 cm, korpus lamino – buk, výška lehací plochy 50 cm, bez nožiček. Matrace pružinová s kokosovou deskou, nosnost 120 kg</w:t>
      </w:r>
      <w:r w:rsidR="004D3B93">
        <w:rPr>
          <w:rFonts w:asciiTheme="minorHAnsi" w:hAnsiTheme="minorHAnsi"/>
          <w:b/>
          <w:sz w:val="24"/>
          <w:szCs w:val="24"/>
        </w:rPr>
        <w:t>, l</w:t>
      </w:r>
      <w:r w:rsidR="00FA125F">
        <w:rPr>
          <w:rFonts w:asciiTheme="minorHAnsi" w:hAnsiTheme="minorHAnsi"/>
          <w:b/>
          <w:sz w:val="24"/>
          <w:szCs w:val="24"/>
        </w:rPr>
        <w:t xml:space="preserve">átka </w:t>
      </w:r>
      <w:proofErr w:type="gramStart"/>
      <w:r w:rsidR="00FA125F">
        <w:rPr>
          <w:rFonts w:asciiTheme="minorHAnsi" w:hAnsiTheme="minorHAnsi"/>
          <w:b/>
          <w:sz w:val="24"/>
          <w:szCs w:val="24"/>
        </w:rPr>
        <w:t>ze</w:t>
      </w:r>
      <w:proofErr w:type="gramEnd"/>
      <w:r w:rsidR="00FA125F">
        <w:rPr>
          <w:rFonts w:asciiTheme="minorHAnsi" w:hAnsiTheme="minorHAnsi"/>
          <w:b/>
          <w:sz w:val="24"/>
          <w:szCs w:val="24"/>
        </w:rPr>
        <w:t xml:space="preserve"> </w:t>
      </w:r>
      <w:r w:rsidR="009255E5">
        <w:rPr>
          <w:rFonts w:asciiTheme="minorHAnsi" w:hAnsiTheme="minorHAnsi"/>
          <w:b/>
          <w:sz w:val="24"/>
          <w:szCs w:val="24"/>
        </w:rPr>
        <w:t>3</w:t>
      </w:r>
      <w:r w:rsidR="004D3B93">
        <w:rPr>
          <w:rFonts w:asciiTheme="minorHAnsi" w:hAnsiTheme="minorHAnsi"/>
          <w:b/>
          <w:sz w:val="24"/>
          <w:szCs w:val="24"/>
        </w:rPr>
        <w:t>.</w:t>
      </w:r>
      <w:r w:rsidR="00FA125F">
        <w:rPr>
          <w:rFonts w:asciiTheme="minorHAnsi" w:hAnsiTheme="minorHAnsi"/>
          <w:b/>
          <w:sz w:val="24"/>
          <w:szCs w:val="24"/>
        </w:rPr>
        <w:t xml:space="preserve"> skupiny č. </w:t>
      </w:r>
      <w:r w:rsidR="009255E5">
        <w:rPr>
          <w:rFonts w:asciiTheme="minorHAnsi" w:hAnsiTheme="minorHAnsi"/>
          <w:b/>
          <w:sz w:val="24"/>
          <w:szCs w:val="24"/>
        </w:rPr>
        <w:t>247</w:t>
      </w:r>
      <w:r w:rsidR="00FA125F">
        <w:rPr>
          <w:rFonts w:asciiTheme="minorHAnsi" w:hAnsiTheme="minorHAnsi"/>
          <w:b/>
          <w:sz w:val="24"/>
          <w:szCs w:val="24"/>
        </w:rPr>
        <w:t>.</w:t>
      </w:r>
      <w:r w:rsidR="00687E92">
        <w:rPr>
          <w:rFonts w:asciiTheme="minorHAnsi" w:hAnsiTheme="minorHAnsi"/>
          <w:b/>
          <w:sz w:val="24"/>
          <w:szCs w:val="24"/>
        </w:rPr>
        <w:t xml:space="preserve"> </w:t>
      </w:r>
      <w:r>
        <w:t xml:space="preserve"> Podkladem pro uzavření této smlouvy je nabídka prodávajícího ze dne </w:t>
      </w:r>
      <w:r w:rsidR="00FA125F">
        <w:t>27</w:t>
      </w:r>
      <w:r w:rsidR="00451197">
        <w:t>. 1</w:t>
      </w:r>
      <w:r w:rsidR="00FA125F">
        <w:t>0. 2020</w:t>
      </w:r>
      <w:r>
        <w:t>.</w:t>
      </w:r>
    </w:p>
    <w:p w:rsidR="00C127B9" w:rsidRDefault="0051247B">
      <w:pPr>
        <w:numPr>
          <w:ilvl w:val="1"/>
          <w:numId w:val="7"/>
        </w:numPr>
        <w:suppressAutoHyphens/>
        <w:ind w:left="510" w:hanging="510"/>
        <w:jc w:val="both"/>
      </w:pPr>
      <w:r>
        <w:t xml:space="preserve">   Prodávající se touto smlouvou zavazuje dodat kupujícímu předmět plnění dle této smlouvy a převést na něj vlastnické právo k tomuto předmětu plnění a kupující se zavazuje zaplatit kupní cenu. </w:t>
      </w:r>
    </w:p>
    <w:p w:rsidR="00C127B9" w:rsidRDefault="00C127B9">
      <w:pPr>
        <w:ind w:left="539" w:hanging="539"/>
      </w:pPr>
    </w:p>
    <w:p w:rsidR="00C127B9" w:rsidRDefault="0051247B">
      <w:pPr>
        <w:keepNext/>
        <w:jc w:val="center"/>
        <w:rPr>
          <w:b/>
          <w:bCs/>
        </w:rPr>
      </w:pPr>
      <w:r>
        <w:t xml:space="preserve">  </w:t>
      </w:r>
      <w:r>
        <w:rPr>
          <w:b/>
          <w:bCs/>
        </w:rPr>
        <w:t>Článek druhý</w:t>
      </w:r>
    </w:p>
    <w:p w:rsidR="00C127B9" w:rsidRDefault="0051247B">
      <w:pPr>
        <w:keepNext/>
        <w:jc w:val="center"/>
        <w:rPr>
          <w:b/>
        </w:rPr>
      </w:pPr>
      <w:r>
        <w:rPr>
          <w:b/>
        </w:rPr>
        <w:t>Kupní cena, platební podmínky</w:t>
      </w:r>
    </w:p>
    <w:p w:rsidR="00C127B9" w:rsidRDefault="00C127B9">
      <w:pPr>
        <w:keepNext/>
        <w:jc w:val="center"/>
        <w:rPr>
          <w:b/>
          <w:bCs/>
        </w:rPr>
      </w:pPr>
    </w:p>
    <w:p w:rsidR="00C127B9" w:rsidRPr="00D02461" w:rsidRDefault="0051247B">
      <w:pPr>
        <w:numPr>
          <w:ilvl w:val="1"/>
          <w:numId w:val="8"/>
        </w:numPr>
        <w:tabs>
          <w:tab w:val="left" w:pos="540"/>
        </w:tabs>
        <w:suppressAutoHyphens/>
        <w:ind w:left="539" w:hanging="53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Kupní cena zboží bez DPH je </w:t>
      </w:r>
      <w:r w:rsidR="009255E5">
        <w:rPr>
          <w:b/>
          <w:sz w:val="24"/>
          <w:szCs w:val="24"/>
        </w:rPr>
        <w:t>89.752,-</w:t>
      </w:r>
      <w:r w:rsidRPr="00D024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Kč</w:t>
      </w:r>
    </w:p>
    <w:p w:rsidR="00C127B9" w:rsidRDefault="0051247B">
      <w:pPr>
        <w:ind w:firstLine="539"/>
      </w:pPr>
      <w:r>
        <w:rPr>
          <w:sz w:val="24"/>
          <w:szCs w:val="24"/>
        </w:rPr>
        <w:lastRenderedPageBreak/>
        <w:t xml:space="preserve">DPH ve výši </w:t>
      </w:r>
      <w:r>
        <w:rPr>
          <w:b/>
          <w:sz w:val="24"/>
          <w:szCs w:val="24"/>
        </w:rPr>
        <w:t>21%</w:t>
      </w:r>
      <w:r>
        <w:rPr>
          <w:sz w:val="24"/>
          <w:szCs w:val="24"/>
        </w:rPr>
        <w:t xml:space="preserve"> činí </w:t>
      </w:r>
      <w:r w:rsidR="009255E5">
        <w:rPr>
          <w:b/>
          <w:sz w:val="24"/>
          <w:szCs w:val="24"/>
        </w:rPr>
        <w:t>18.848,-</w:t>
      </w:r>
      <w:r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>.</w:t>
      </w:r>
    </w:p>
    <w:p w:rsidR="00C127B9" w:rsidRDefault="0051247B">
      <w:pPr>
        <w:ind w:left="539"/>
        <w:rPr>
          <w:b/>
          <w:sz w:val="24"/>
          <w:szCs w:val="24"/>
        </w:rPr>
      </w:pPr>
      <w:r>
        <w:rPr>
          <w:sz w:val="24"/>
          <w:szCs w:val="24"/>
        </w:rPr>
        <w:t xml:space="preserve">Celková cena včetně DPH ve výši </w:t>
      </w:r>
      <w:r>
        <w:rPr>
          <w:b/>
          <w:sz w:val="24"/>
          <w:szCs w:val="24"/>
        </w:rPr>
        <w:t>21</w:t>
      </w:r>
      <w:r>
        <w:rPr>
          <w:sz w:val="24"/>
          <w:szCs w:val="24"/>
        </w:rPr>
        <w:t xml:space="preserve">% </w:t>
      </w:r>
      <w:proofErr w:type="spellStart"/>
      <w:r>
        <w:rPr>
          <w:sz w:val="24"/>
          <w:szCs w:val="24"/>
        </w:rPr>
        <w:t>zaokr</w:t>
      </w:r>
      <w:proofErr w:type="spellEnd"/>
      <w:r>
        <w:rPr>
          <w:sz w:val="24"/>
          <w:szCs w:val="24"/>
        </w:rPr>
        <w:t xml:space="preserve">. činí </w:t>
      </w:r>
      <w:r w:rsidR="009255E5">
        <w:rPr>
          <w:b/>
          <w:sz w:val="24"/>
          <w:szCs w:val="24"/>
        </w:rPr>
        <w:t>108.600</w:t>
      </w:r>
      <w:r>
        <w:rPr>
          <w:b/>
          <w:sz w:val="24"/>
          <w:szCs w:val="24"/>
        </w:rPr>
        <w:t xml:space="preserve">,- Kč (slovy  </w:t>
      </w:r>
      <w:proofErr w:type="spellStart"/>
      <w:r w:rsidR="009255E5">
        <w:rPr>
          <w:b/>
          <w:sz w:val="24"/>
          <w:szCs w:val="24"/>
        </w:rPr>
        <w:t>Jednostoosmtisícšestsetkorunčeských</w:t>
      </w:r>
      <w:proofErr w:type="spellEnd"/>
      <w:r w:rsidR="009255E5">
        <w:rPr>
          <w:b/>
          <w:sz w:val="24"/>
          <w:szCs w:val="24"/>
        </w:rPr>
        <w:t>).</w:t>
      </w:r>
    </w:p>
    <w:p w:rsidR="009255E5" w:rsidRDefault="009255E5">
      <w:pPr>
        <w:ind w:left="539"/>
        <w:rPr>
          <w:sz w:val="24"/>
          <w:szCs w:val="24"/>
        </w:rPr>
      </w:pPr>
    </w:p>
    <w:p w:rsidR="00C127B9" w:rsidRDefault="0051247B">
      <w:pPr>
        <w:tabs>
          <w:tab w:val="left" w:pos="540"/>
        </w:tabs>
        <w:ind w:left="539" w:hanging="539"/>
      </w:pPr>
      <w:r>
        <w:tab/>
        <w:t>DPH bude účtována dle platných pravidel. V této ceně jsou vedle dodání předmětu plnění zahrnuty balné, pojištění předmětu plnění dle této smlouvy a doprava až na místo dodání.  Sjednaná cena celkem může být změněna pouze a jen, pokud po podpisu smlouvy a před dodáním dojde ke změnám sazeb DPH předmětu dodávky dle této smlouvy.</w:t>
      </w:r>
    </w:p>
    <w:p w:rsidR="00C127B9" w:rsidRDefault="0051247B">
      <w:pPr>
        <w:numPr>
          <w:ilvl w:val="1"/>
          <w:numId w:val="8"/>
        </w:numPr>
        <w:tabs>
          <w:tab w:val="left" w:pos="540"/>
        </w:tabs>
        <w:suppressAutoHyphens/>
        <w:ind w:left="539" w:hanging="539"/>
        <w:jc w:val="both"/>
      </w:pPr>
      <w:r>
        <w:t xml:space="preserve">  </w:t>
      </w:r>
      <w:r>
        <w:tab/>
        <w:t xml:space="preserve">Kupní cena je stanovena jako nejvýše přípustná a konečná a zahrnuje celý předmět plnění  včetně dopravy dle této smlouvy. </w:t>
      </w:r>
    </w:p>
    <w:p w:rsidR="00C127B9" w:rsidRDefault="0051247B">
      <w:pPr>
        <w:numPr>
          <w:ilvl w:val="1"/>
          <w:numId w:val="8"/>
        </w:numPr>
        <w:tabs>
          <w:tab w:val="left" w:pos="540"/>
          <w:tab w:val="left" w:pos="2340"/>
        </w:tabs>
        <w:suppressAutoHyphens/>
        <w:ind w:left="539" w:hanging="539"/>
        <w:jc w:val="both"/>
      </w:pPr>
      <w:r>
        <w:t xml:space="preserve">   Celková kupní cena bude uhrazena po dodání předmětu plnění dle této smlouvy. </w:t>
      </w:r>
    </w:p>
    <w:p w:rsidR="00C127B9" w:rsidRDefault="0051247B">
      <w:pPr>
        <w:numPr>
          <w:ilvl w:val="1"/>
          <w:numId w:val="8"/>
        </w:numPr>
        <w:tabs>
          <w:tab w:val="left" w:pos="540"/>
          <w:tab w:val="left" w:pos="2340"/>
        </w:tabs>
        <w:suppressAutoHyphens/>
        <w:ind w:left="539" w:hanging="539"/>
        <w:jc w:val="both"/>
      </w:pPr>
      <w:r>
        <w:t xml:space="preserve">   Daňový doklad (faktura) vystavený prodávajícím v souladu s touto smlouvou musí být vystaven v korunách českých a být doručen na adresu kupujícího uvedenou v záhlaví této smlouvy. Daňový doklad musí mít náležitosti stanovené platnými obecně závaznými právními předpisy. Daňový doklad, který nebude mít požadované náležitosti je kupující oprávněn vrátit ve lhůtě splatnosti prodávajícímu k opravě. V takovém případě není kupující v prodlení s úhradou daňového dokladu.</w:t>
      </w:r>
    </w:p>
    <w:p w:rsidR="00C127B9" w:rsidRDefault="0051247B">
      <w:pPr>
        <w:numPr>
          <w:ilvl w:val="1"/>
          <w:numId w:val="8"/>
        </w:numPr>
        <w:tabs>
          <w:tab w:val="left" w:pos="540"/>
          <w:tab w:val="left" w:pos="2340"/>
        </w:tabs>
        <w:suppressAutoHyphens/>
        <w:ind w:left="539" w:hanging="539"/>
        <w:jc w:val="both"/>
      </w:pPr>
      <w:r>
        <w:t xml:space="preserve">   Splatnost daňového dokladu je 14  dní od jeho doručení kupujícímu na adresu uvedenou v záhlaví této smlouvy.  Fakturovaná částka je uhrazena dnem odepsání částky z účtu kupujícího.</w:t>
      </w:r>
    </w:p>
    <w:p w:rsidR="00C127B9" w:rsidRDefault="00C127B9">
      <w:bookmarkStart w:id="1" w:name="OLE_LINK1"/>
      <w:bookmarkEnd w:id="1"/>
    </w:p>
    <w:p w:rsidR="00C127B9" w:rsidRDefault="00C127B9">
      <w:pPr>
        <w:keepNext/>
        <w:jc w:val="center"/>
        <w:rPr>
          <w:b/>
          <w:bCs/>
        </w:rPr>
      </w:pPr>
    </w:p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Článek třetí</w:t>
      </w:r>
    </w:p>
    <w:p w:rsidR="00C127B9" w:rsidRDefault="0051247B">
      <w:pPr>
        <w:jc w:val="center"/>
        <w:rPr>
          <w:b/>
        </w:rPr>
      </w:pPr>
      <w:r>
        <w:rPr>
          <w:b/>
        </w:rPr>
        <w:t>Povinnosti prodávajícího</w:t>
      </w:r>
    </w:p>
    <w:p w:rsidR="00C127B9" w:rsidRDefault="00C127B9"/>
    <w:p w:rsidR="00C127B9" w:rsidRDefault="0051247B">
      <w:pPr>
        <w:numPr>
          <w:ilvl w:val="0"/>
          <w:numId w:val="5"/>
        </w:numPr>
        <w:tabs>
          <w:tab w:val="left" w:pos="540"/>
        </w:tabs>
        <w:suppressAutoHyphens/>
        <w:ind w:left="540" w:hanging="540"/>
        <w:jc w:val="both"/>
        <w:rPr>
          <w:b/>
        </w:rPr>
      </w:pPr>
      <w:r>
        <w:rPr>
          <w:b/>
        </w:rPr>
        <w:t xml:space="preserve">Předmět plnění uvedený v článku č. 1 této smlouvy prodávající dodá po dohodě s kupujícím nejdéle do </w:t>
      </w:r>
      <w:r w:rsidR="00957EA8">
        <w:rPr>
          <w:b/>
        </w:rPr>
        <w:t>15</w:t>
      </w:r>
      <w:r>
        <w:rPr>
          <w:b/>
        </w:rPr>
        <w:t xml:space="preserve">. </w:t>
      </w:r>
      <w:r w:rsidR="00957EA8">
        <w:rPr>
          <w:b/>
        </w:rPr>
        <w:t>prosince 2020</w:t>
      </w:r>
      <w:r>
        <w:rPr>
          <w:b/>
        </w:rPr>
        <w:t xml:space="preserve">. </w:t>
      </w:r>
    </w:p>
    <w:p w:rsidR="00C127B9" w:rsidRDefault="0051247B">
      <w:pPr>
        <w:numPr>
          <w:ilvl w:val="0"/>
          <w:numId w:val="5"/>
        </w:numPr>
        <w:tabs>
          <w:tab w:val="left" w:pos="540"/>
        </w:tabs>
        <w:suppressAutoHyphens/>
        <w:ind w:left="540" w:hanging="540"/>
        <w:jc w:val="both"/>
        <w:rPr>
          <w:b/>
        </w:rPr>
      </w:pPr>
      <w:r>
        <w:t xml:space="preserve">Místem dodání předmětu plnění dle této smlouvy je pracoviště kupujícího: </w:t>
      </w:r>
      <w:r w:rsidR="00957EA8">
        <w:rPr>
          <w:b/>
        </w:rPr>
        <w:t>Kyjovská 3187</w:t>
      </w:r>
      <w:r>
        <w:rPr>
          <w:b/>
        </w:rPr>
        <w:t>, Havlíčkův Brod</w:t>
      </w:r>
    </w:p>
    <w:p w:rsidR="00C127B9" w:rsidRDefault="0051247B">
      <w:pPr>
        <w:numPr>
          <w:ilvl w:val="0"/>
          <w:numId w:val="5"/>
        </w:numPr>
        <w:tabs>
          <w:tab w:val="left" w:pos="540"/>
        </w:tabs>
        <w:suppressAutoHyphens/>
        <w:ind w:left="540" w:hanging="540"/>
        <w:jc w:val="both"/>
      </w:pPr>
      <w:r>
        <w:t>Dodávka se považuje podle této smlouvy za splněnou, pokud zboží bylo řádně předáno včetně dodacího listu, na kterém kupující potvrdí převzetí zboží v rozsahu dle této kupní smlouvy,</w:t>
      </w:r>
    </w:p>
    <w:p w:rsidR="00C127B9" w:rsidRDefault="0051247B">
      <w:pPr>
        <w:numPr>
          <w:ilvl w:val="0"/>
          <w:numId w:val="5"/>
        </w:numPr>
        <w:tabs>
          <w:tab w:val="left" w:pos="540"/>
        </w:tabs>
        <w:suppressAutoHyphens/>
        <w:ind w:left="540" w:hanging="540"/>
        <w:jc w:val="both"/>
        <w:rPr>
          <w:iCs/>
        </w:rPr>
      </w:pPr>
      <w:r>
        <w:t xml:space="preserve">Osobou oprávněnou k převzetí na straně kupujícího je </w:t>
      </w:r>
      <w:r>
        <w:rPr>
          <w:b/>
        </w:rPr>
        <w:t xml:space="preserve">správce budovy </w:t>
      </w:r>
      <w:r w:rsidR="00957EA8">
        <w:rPr>
          <w:b/>
        </w:rPr>
        <w:t>Kyjovská Josef Nový</w:t>
      </w:r>
      <w:r>
        <w:t>.</w:t>
      </w:r>
    </w:p>
    <w:p w:rsidR="00C127B9" w:rsidRDefault="0051247B">
      <w:pPr>
        <w:numPr>
          <w:ilvl w:val="0"/>
          <w:numId w:val="5"/>
        </w:numPr>
        <w:tabs>
          <w:tab w:val="left" w:pos="540"/>
        </w:tabs>
        <w:suppressAutoHyphens/>
        <w:ind w:left="540" w:hanging="540"/>
        <w:jc w:val="both"/>
        <w:rPr>
          <w:b/>
          <w:bCs/>
        </w:rPr>
      </w:pPr>
      <w:r>
        <w:t xml:space="preserve">Prodávající je povinen spolupůsobit při výkonu finanční kontroly dle § 2e) zákona č. 320/2001 Sb., o finanční kontrole, ve znění pozdějších předpisů. </w:t>
      </w:r>
    </w:p>
    <w:p w:rsidR="00C127B9" w:rsidRDefault="00C127B9">
      <w:pPr>
        <w:keepNext/>
        <w:jc w:val="center"/>
        <w:rPr>
          <w:b/>
          <w:bCs/>
        </w:rPr>
      </w:pPr>
    </w:p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Článek čtvrtý</w:t>
      </w:r>
    </w:p>
    <w:p w:rsidR="00C127B9" w:rsidRDefault="0051247B">
      <w:pPr>
        <w:jc w:val="center"/>
        <w:rPr>
          <w:b/>
        </w:rPr>
      </w:pPr>
      <w:r>
        <w:rPr>
          <w:b/>
        </w:rPr>
        <w:t>Povinnosti kupujícího</w:t>
      </w:r>
    </w:p>
    <w:p w:rsidR="00C127B9" w:rsidRDefault="00C127B9"/>
    <w:p w:rsidR="00C127B9" w:rsidRDefault="0051247B">
      <w:pPr>
        <w:numPr>
          <w:ilvl w:val="1"/>
          <w:numId w:val="4"/>
        </w:numPr>
        <w:tabs>
          <w:tab w:val="left" w:pos="540"/>
        </w:tabs>
        <w:suppressAutoHyphens/>
        <w:jc w:val="both"/>
      </w:pPr>
      <w:r>
        <w:t>Kupující je povinen zaplatit kupní cenu podle článku II. této smlouvy a převzít předmět plnění dle článku prvního této smlouvy.</w:t>
      </w:r>
    </w:p>
    <w:p w:rsidR="00C127B9" w:rsidRDefault="0051247B">
      <w:pPr>
        <w:numPr>
          <w:ilvl w:val="1"/>
          <w:numId w:val="4"/>
        </w:numPr>
        <w:tabs>
          <w:tab w:val="left" w:pos="540"/>
        </w:tabs>
        <w:suppressAutoHyphens/>
        <w:jc w:val="both"/>
      </w:pPr>
      <w:r>
        <w:t>Kupující není povinen převzít zboží, pokud bude poškozené.</w:t>
      </w:r>
    </w:p>
    <w:p w:rsidR="00C127B9" w:rsidRDefault="0051247B">
      <w:pPr>
        <w:tabs>
          <w:tab w:val="left" w:pos="540"/>
        </w:tabs>
        <w:ind w:left="540" w:hanging="540"/>
      </w:pPr>
      <w:r>
        <w:t xml:space="preserve">  </w:t>
      </w:r>
    </w:p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Článek pátý</w:t>
      </w:r>
    </w:p>
    <w:p w:rsidR="00C127B9" w:rsidRDefault="0051247B">
      <w:pPr>
        <w:jc w:val="center"/>
        <w:rPr>
          <w:b/>
        </w:rPr>
      </w:pPr>
      <w:r>
        <w:rPr>
          <w:b/>
        </w:rPr>
        <w:t>Odstoupení od smlouvy</w:t>
      </w:r>
    </w:p>
    <w:p w:rsidR="00C127B9" w:rsidRDefault="00C127B9">
      <w:pPr>
        <w:tabs>
          <w:tab w:val="left" w:pos="540"/>
        </w:tabs>
        <w:ind w:left="540" w:hanging="540"/>
      </w:pPr>
    </w:p>
    <w:p w:rsidR="00C127B9" w:rsidRDefault="0051247B">
      <w:pPr>
        <w:numPr>
          <w:ilvl w:val="0"/>
          <w:numId w:val="3"/>
        </w:numPr>
        <w:suppressAutoHyphens/>
        <w:jc w:val="both"/>
      </w:pPr>
      <w:r>
        <w:t>Kupující má právo odstoupit od smlouvy v případě, že:</w:t>
      </w:r>
    </w:p>
    <w:p w:rsidR="00C127B9" w:rsidRDefault="0051247B">
      <w:pPr>
        <w:ind w:left="1080" w:hanging="540"/>
      </w:pPr>
      <w:r>
        <w:t>a)</w:t>
      </w:r>
      <w:r>
        <w:tab/>
        <w:t xml:space="preserve">předmět této smlouvy není dodán v takovém provedení, tak jak je uvedeno v této smlouvě, </w:t>
      </w:r>
    </w:p>
    <w:p w:rsidR="00C127B9" w:rsidRDefault="0051247B">
      <w:pPr>
        <w:ind w:left="1080" w:hanging="540"/>
      </w:pPr>
      <w:r>
        <w:t xml:space="preserve">b) </w:t>
      </w:r>
      <w:r>
        <w:tab/>
        <w:t>prodávající překročí dodací lhůtu uvedenou v čl. III., odst. 3.2 o více jak 5 pracovních dní.</w:t>
      </w:r>
    </w:p>
    <w:p w:rsidR="00C127B9" w:rsidRDefault="0051247B">
      <w:pPr>
        <w:numPr>
          <w:ilvl w:val="0"/>
          <w:numId w:val="3"/>
        </w:numPr>
        <w:suppressAutoHyphens/>
        <w:jc w:val="both"/>
      </w:pPr>
      <w:r>
        <w:t xml:space="preserve">Prodávající má právo odstoupit od této smlouvy v případě, že kupující překročí lhůtu splatnosti, uvedenou v čl. II., odst. 2.5 této smlouvy, o více jak čtyři týdny. V tomto případě se celý předmět </w:t>
      </w:r>
      <w:r>
        <w:lastRenderedPageBreak/>
        <w:t>této smlouvy stává vlastnictvím prodávajícího a kupující je povinen zajistit přístup pracovníkům prodávajícího do prostor, ve kterých je předmět této smlouvy, aby jej bylo možno odebrat.</w:t>
      </w:r>
    </w:p>
    <w:p w:rsidR="00C127B9" w:rsidRDefault="00C127B9"/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Článek šestý</w:t>
      </w:r>
    </w:p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Odpovědnost za vady, záruka za jakost</w:t>
      </w:r>
    </w:p>
    <w:p w:rsidR="00C127B9" w:rsidRDefault="00C127B9">
      <w:pPr>
        <w:keepNext/>
        <w:jc w:val="center"/>
        <w:rPr>
          <w:b/>
          <w:bCs/>
        </w:rPr>
      </w:pPr>
    </w:p>
    <w:p w:rsidR="00C127B9" w:rsidRDefault="0051247B">
      <w:pPr>
        <w:numPr>
          <w:ilvl w:val="0"/>
          <w:numId w:val="1"/>
        </w:numPr>
        <w:tabs>
          <w:tab w:val="left" w:pos="540"/>
        </w:tabs>
        <w:suppressAutoHyphens/>
        <w:ind w:left="540" w:hanging="540"/>
        <w:jc w:val="both"/>
        <w:rPr>
          <w:b/>
        </w:rPr>
      </w:pPr>
      <w:r>
        <w:t xml:space="preserve">Prodávající přejímá níže uvedenou záruku za jakost předmětu plnění dodaného podle této smlouvy. </w:t>
      </w:r>
      <w:r>
        <w:rPr>
          <w:b/>
        </w:rPr>
        <w:t xml:space="preserve">Záruční doba na celý předmět plnění činí 24 měsíců ode dne předání a převzetí dodávky. </w:t>
      </w:r>
    </w:p>
    <w:p w:rsidR="00C127B9" w:rsidRDefault="0051247B">
      <w:pPr>
        <w:numPr>
          <w:ilvl w:val="0"/>
          <w:numId w:val="1"/>
        </w:numPr>
        <w:tabs>
          <w:tab w:val="left" w:pos="540"/>
        </w:tabs>
        <w:suppressAutoHyphens/>
        <w:spacing w:before="120"/>
        <w:ind w:left="539" w:hanging="539"/>
        <w:jc w:val="both"/>
      </w:pPr>
      <w:r>
        <w:t>Záruka se nevztahuje  na vady způsobené zaviněným jednáním kupujícího anebo způsobené vyšší mocí.</w:t>
      </w:r>
    </w:p>
    <w:p w:rsidR="00C127B9" w:rsidRDefault="00C127B9"/>
    <w:p w:rsidR="00C127B9" w:rsidRDefault="00C127B9"/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Článek sedmý</w:t>
      </w:r>
    </w:p>
    <w:p w:rsidR="00C127B9" w:rsidRDefault="0051247B">
      <w:pPr>
        <w:jc w:val="center"/>
        <w:rPr>
          <w:b/>
        </w:rPr>
      </w:pPr>
      <w:r>
        <w:rPr>
          <w:b/>
        </w:rPr>
        <w:t>Sankční ujednání</w:t>
      </w:r>
    </w:p>
    <w:p w:rsidR="00C127B9" w:rsidRDefault="00C127B9">
      <w:pPr>
        <w:tabs>
          <w:tab w:val="left" w:pos="540"/>
        </w:tabs>
        <w:ind w:left="540" w:hanging="540"/>
        <w:rPr>
          <w:rFonts w:cs="Calibri"/>
        </w:rPr>
      </w:pPr>
    </w:p>
    <w:p w:rsidR="00C127B9" w:rsidRDefault="0051247B">
      <w:pPr>
        <w:pStyle w:val="Zkladntext"/>
        <w:numPr>
          <w:ilvl w:val="0"/>
          <w:numId w:val="6"/>
        </w:numPr>
        <w:tabs>
          <w:tab w:val="left" w:pos="540"/>
        </w:tabs>
        <w:suppressAutoHyphens/>
        <w:spacing w:after="120"/>
        <w:ind w:left="540" w:hanging="5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Smluvními stranami bylo ujednáno, že pokud bude kupující v prodlení s úhradou ceny plnění ujednané podle této smlouvy, je kupující povinen zaplatit smluvní pokutu ve výši 0,05 % z dlužné částky za každý byť započatý kalendářní den prodlení.</w:t>
      </w:r>
    </w:p>
    <w:p w:rsidR="00C127B9" w:rsidRDefault="0051247B">
      <w:pPr>
        <w:pStyle w:val="Zkladntext"/>
        <w:numPr>
          <w:ilvl w:val="0"/>
          <w:numId w:val="6"/>
        </w:numPr>
        <w:tabs>
          <w:tab w:val="left" w:pos="540"/>
        </w:tabs>
        <w:suppressAutoHyphens/>
        <w:spacing w:after="120"/>
        <w:ind w:left="540" w:hanging="5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Ocitne-li se prodávající v prodlení s plněním podle této smlouvy, je povinen zaplatit kupujícímu smluvní pokutu ve výši 0,05 % z celkové kupní ceny za každý byť započatý kalendářní den prodlení se splněním dodávky,</w:t>
      </w:r>
    </w:p>
    <w:p w:rsidR="00C127B9" w:rsidRDefault="0051247B">
      <w:pPr>
        <w:pStyle w:val="Zkladntext"/>
        <w:numPr>
          <w:ilvl w:val="0"/>
          <w:numId w:val="6"/>
        </w:numPr>
        <w:tabs>
          <w:tab w:val="left" w:pos="540"/>
        </w:tabs>
        <w:suppressAutoHyphens/>
        <w:spacing w:after="120"/>
        <w:ind w:left="540" w:hanging="54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Zaplacením smluvní pokuty prodávajícím není dotčeno právo kupujícího uplatňovat nárok na náhradu škody způsobené prodávajícím.</w:t>
      </w:r>
    </w:p>
    <w:p w:rsidR="00C127B9" w:rsidRDefault="00C127B9">
      <w:pPr>
        <w:pStyle w:val="Zkladntext"/>
        <w:tabs>
          <w:tab w:val="left" w:pos="540"/>
        </w:tabs>
        <w:spacing w:after="120"/>
      </w:pPr>
    </w:p>
    <w:p w:rsidR="00C127B9" w:rsidRDefault="00C127B9">
      <w:pPr>
        <w:pStyle w:val="Zkladntext"/>
      </w:pPr>
    </w:p>
    <w:p w:rsidR="00C127B9" w:rsidRDefault="0051247B">
      <w:pPr>
        <w:keepNext/>
        <w:jc w:val="center"/>
        <w:rPr>
          <w:b/>
          <w:bCs/>
        </w:rPr>
      </w:pPr>
      <w:r>
        <w:rPr>
          <w:b/>
          <w:bCs/>
        </w:rPr>
        <w:t>Článek osmý</w:t>
      </w:r>
    </w:p>
    <w:p w:rsidR="00C127B9" w:rsidRDefault="0051247B">
      <w:pPr>
        <w:jc w:val="center"/>
        <w:rPr>
          <w:b/>
        </w:rPr>
      </w:pPr>
      <w:r>
        <w:rPr>
          <w:b/>
        </w:rPr>
        <w:t>Ostatní ujednání</w:t>
      </w:r>
    </w:p>
    <w:p w:rsidR="00C127B9" w:rsidRDefault="00C127B9">
      <w:pPr>
        <w:jc w:val="center"/>
        <w:rPr>
          <w:b/>
        </w:rPr>
      </w:pPr>
    </w:p>
    <w:p w:rsidR="00C127B9" w:rsidRDefault="0051247B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ind w:left="540" w:hanging="540"/>
        <w:jc w:val="both"/>
      </w:pPr>
      <w:r>
        <w:t>Tato smlouva nabývá platnosti a účinnosti dnem připojení podpisu obou smluvních stran.</w:t>
      </w:r>
    </w:p>
    <w:p w:rsidR="00C127B9" w:rsidRDefault="0051247B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ind w:hanging="540"/>
        <w:jc w:val="both"/>
        <w:rPr>
          <w:b/>
        </w:rPr>
      </w:pPr>
      <w:r>
        <w:t>Jakékoli změny či dodatky, kterými se mění nebo ruší tato smlouva nebo její část jsou platné pouze ve formě písemných dodatků ke smlouvě podepsaných oprávněnými zástupci smluvních stran.</w:t>
      </w:r>
    </w:p>
    <w:p w:rsidR="00C127B9" w:rsidRDefault="0051247B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ind w:hanging="540"/>
        <w:jc w:val="both"/>
        <w:rPr>
          <w:b/>
        </w:rPr>
      </w:pPr>
      <w:r>
        <w:rPr>
          <w:b/>
        </w:rPr>
        <w:t>Prodávající výslovně souhlasí se zveřejněním celého textu smlouvy včetně podpisů v informačním systému veřejné zprávy – Registru smluv. Smluvní strany se dohodly, že zákonnou povinnost dle § 5 odst. 2 zákona č. 340/2015 Sb. o registru smluv splní Obchodní akademie a Hotelová škola Havlíčkův Brod a splnění této povinnosti doloží Potvrzením o uveřejnění smlouvy vydaným Registrem. Současně bere kupující na vědomí, že v případě nesplnění zákonné povinnosti je smlouva do 3 měsíců od jejího podpisu bez dalšího zrušena od samého počátku.</w:t>
      </w:r>
    </w:p>
    <w:p w:rsidR="00C127B9" w:rsidRDefault="0051247B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ind w:left="540" w:hanging="540"/>
        <w:jc w:val="both"/>
      </w:pPr>
      <w:r>
        <w:t xml:space="preserve">Právní vztahy touto smlouvou neupravené, jakož i právní poměry z ní vznikající a vyplývající, se řídí příslušnými ustanoveními zák. č.. </w:t>
      </w:r>
      <w:r>
        <w:rPr>
          <w:bCs/>
        </w:rPr>
        <w:t>89/2012 Sb. občanského zákoníku</w:t>
      </w:r>
      <w:r>
        <w:t xml:space="preserve"> a dalšími právními předpisy České republiky.</w:t>
      </w:r>
    </w:p>
    <w:p w:rsidR="00C127B9" w:rsidRDefault="0051247B">
      <w:pPr>
        <w:numPr>
          <w:ilvl w:val="0"/>
          <w:numId w:val="2"/>
        </w:numPr>
        <w:tabs>
          <w:tab w:val="left" w:pos="540"/>
        </w:tabs>
        <w:suppressAutoHyphens/>
        <w:ind w:left="540" w:hanging="540"/>
        <w:jc w:val="both"/>
      </w:pPr>
      <w:r>
        <w:t>Ujednává se, že případné spory vzniklé z této smlouvy budou účastníci řešit především vzájemnou dohodou. Pro řízení o případných sporných nárocích se ujednává příslušnost soudů. Rozhodným právem je právo České republiky.</w:t>
      </w:r>
    </w:p>
    <w:p w:rsidR="00C127B9" w:rsidRDefault="0051247B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ind w:left="540" w:hanging="540"/>
        <w:jc w:val="both"/>
      </w:pPr>
      <w:r>
        <w:t>Za písemnou formu oznámení se pro účely této smlouvy pokládají oznámení učiněná elektronickou poštou na dohodnutou elektronickou adresu, pokud jsou do tří dnů potvrzena písemným podáním odeslaným poštou.</w:t>
      </w:r>
    </w:p>
    <w:p w:rsidR="00C127B9" w:rsidRDefault="0051247B">
      <w:pPr>
        <w:numPr>
          <w:ilvl w:val="0"/>
          <w:numId w:val="2"/>
        </w:numPr>
        <w:tabs>
          <w:tab w:val="left" w:pos="0"/>
          <w:tab w:val="left" w:pos="567"/>
        </w:tabs>
        <w:suppressAutoHyphens/>
        <w:ind w:left="540" w:hanging="540"/>
        <w:jc w:val="both"/>
      </w:pPr>
      <w:r>
        <w:lastRenderedPageBreak/>
        <w:t>Tato smlouva je vyhotovena ve dvou stejnopisech, z nichž každá strana obdrží jeden.</w:t>
      </w:r>
    </w:p>
    <w:p w:rsidR="00C127B9" w:rsidRDefault="00C127B9"/>
    <w:p w:rsidR="00C127B9" w:rsidRDefault="00C127B9"/>
    <w:p w:rsidR="00C127B9" w:rsidRDefault="0051247B">
      <w:r>
        <w:t xml:space="preserve">V Havlíčkově Brodě </w:t>
      </w:r>
      <w:r w:rsidR="004D3B93">
        <w:t>2. listopadu 2020</w:t>
      </w:r>
    </w:p>
    <w:p w:rsidR="00C127B9" w:rsidRDefault="00C127B9"/>
    <w:p w:rsidR="00C127B9" w:rsidRDefault="00C127B9"/>
    <w:p w:rsidR="00C127B9" w:rsidRDefault="0051247B">
      <w:r>
        <w:t xml:space="preserve">Prodávající: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Kupující: </w:t>
      </w:r>
    </w:p>
    <w:p w:rsidR="00C127B9" w:rsidRDefault="0051247B">
      <w:pPr>
        <w:tabs>
          <w:tab w:val="left" w:pos="1755"/>
        </w:tabs>
      </w:pPr>
      <w:r>
        <w:tab/>
      </w:r>
    </w:p>
    <w:p w:rsidR="00C127B9" w:rsidRDefault="00C127B9"/>
    <w:p w:rsidR="00C127B9" w:rsidRDefault="00C127B9"/>
    <w:p w:rsidR="00C127B9" w:rsidRDefault="007327F0">
      <w:r>
        <w:t>Petr Jelen</w:t>
      </w:r>
      <w:r w:rsidR="0051247B">
        <w:tab/>
      </w:r>
      <w:r w:rsidR="0051247B">
        <w:tab/>
      </w:r>
      <w:r w:rsidR="0051247B">
        <w:tab/>
      </w:r>
      <w:r w:rsidR="0051247B">
        <w:tab/>
      </w:r>
      <w:r w:rsidR="0051247B">
        <w:tab/>
      </w:r>
      <w:r w:rsidR="0051247B">
        <w:tab/>
      </w:r>
      <w:r w:rsidR="0051247B">
        <w:tab/>
      </w:r>
      <w:r>
        <w:tab/>
      </w:r>
      <w:r w:rsidR="0051247B">
        <w:t>Mgr. Jiří Forman</w:t>
      </w:r>
    </w:p>
    <w:p w:rsidR="00C127B9" w:rsidRDefault="007327F0">
      <w:r>
        <w:t>jednatel</w:t>
      </w:r>
      <w:r w:rsidR="0051247B">
        <w:t xml:space="preserve"> </w:t>
      </w:r>
      <w:r w:rsidR="0051247B">
        <w:tab/>
      </w:r>
      <w:r w:rsidR="0051247B">
        <w:tab/>
      </w:r>
      <w:r w:rsidR="0051247B">
        <w:tab/>
      </w:r>
      <w:r w:rsidR="0051247B">
        <w:tab/>
      </w:r>
      <w:r w:rsidR="0051247B">
        <w:tab/>
      </w:r>
      <w:r w:rsidR="0051247B">
        <w:tab/>
      </w:r>
      <w:r w:rsidR="0051247B">
        <w:tab/>
      </w:r>
      <w:r w:rsidR="0051247B">
        <w:tab/>
        <w:t>ředitel školy</w:t>
      </w:r>
    </w:p>
    <w:sectPr w:rsidR="00C127B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851" w:footer="26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C7" w:rsidRDefault="004D6BC7">
      <w:r>
        <w:separator/>
      </w:r>
    </w:p>
  </w:endnote>
  <w:endnote w:type="continuationSeparator" w:id="0">
    <w:p w:rsidR="004D6BC7" w:rsidRDefault="004D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B9" w:rsidRDefault="0051247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127B9" w:rsidRDefault="0051247B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5AF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-45.55pt;margin-top:.05pt;width:5.65pt;height:13.4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" stroked="f">
              <v:fill opacity="0"/>
              <v:textbox style="mso-fit-shape-to-text:t" inset="0,0,0,0">
                <w:txbxContent>
                  <w:p w:rsidR="00C127B9" w:rsidRDefault="0051247B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5AF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C127B9" w:rsidRDefault="0051247B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C7" w:rsidRDefault="004D6BC7">
      <w:r>
        <w:separator/>
      </w:r>
    </w:p>
  </w:footnote>
  <w:footnote w:type="continuationSeparator" w:id="0">
    <w:p w:rsidR="004D6BC7" w:rsidRDefault="004D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B9" w:rsidRDefault="00C127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B9" w:rsidRDefault="0051247B">
    <w:pPr>
      <w:pStyle w:val="Zhlav"/>
      <w:jc w:val="center"/>
      <w:rPr>
        <w:b/>
        <w:i/>
      </w:rPr>
    </w:pPr>
    <w:r>
      <w:rPr>
        <w:b/>
        <w:i/>
      </w:rPr>
      <w:t>Obchodní akademie a Hotelová škola Havlíčkův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A83"/>
    <w:multiLevelType w:val="multilevel"/>
    <w:tmpl w:val="E39A2A4C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00000A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606008"/>
    <w:multiLevelType w:val="multilevel"/>
    <w:tmpl w:val="D89A25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CD32D6D"/>
    <w:multiLevelType w:val="multilevel"/>
    <w:tmpl w:val="CF6038AA"/>
    <w:lvl w:ilvl="0">
      <w:start w:val="1"/>
      <w:numFmt w:val="decimal"/>
      <w:lvlText w:val="6.%1.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A41EE3"/>
    <w:multiLevelType w:val="multilevel"/>
    <w:tmpl w:val="20D291FC"/>
    <w:lvl w:ilvl="0">
      <w:start w:val="1"/>
      <w:numFmt w:val="decimal"/>
      <w:lvlText w:val="9.%1"/>
      <w:lvlJc w:val="left"/>
      <w:pPr>
        <w:tabs>
          <w:tab w:val="num" w:pos="502"/>
        </w:tabs>
        <w:ind w:left="502" w:hanging="360"/>
      </w:pPr>
      <w:rPr>
        <w:rFonts w:cs="Calibri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2EF7EFF"/>
    <w:multiLevelType w:val="multilevel"/>
    <w:tmpl w:val="C296AB1C"/>
    <w:lvl w:ilvl="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cs="Calibri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910167"/>
    <w:multiLevelType w:val="multilevel"/>
    <w:tmpl w:val="D29A0E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  <w:color w:val="00000A"/>
      </w:rPr>
    </w:lvl>
  </w:abstractNum>
  <w:abstractNum w:abstractNumId="6" w15:restartNumberingAfterBreak="0">
    <w:nsid w:val="70EA0B73"/>
    <w:multiLevelType w:val="multilevel"/>
    <w:tmpl w:val="C7744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2B6135C"/>
    <w:multiLevelType w:val="multilevel"/>
    <w:tmpl w:val="E32C8A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B431C7C"/>
    <w:multiLevelType w:val="multilevel"/>
    <w:tmpl w:val="CEAE8034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B9"/>
    <w:rsid w:val="00075AF8"/>
    <w:rsid w:val="001E1BD5"/>
    <w:rsid w:val="00451197"/>
    <w:rsid w:val="004D3B93"/>
    <w:rsid w:val="004D6BC7"/>
    <w:rsid w:val="0051247B"/>
    <w:rsid w:val="00687E92"/>
    <w:rsid w:val="007327F0"/>
    <w:rsid w:val="007B3CDC"/>
    <w:rsid w:val="009255E5"/>
    <w:rsid w:val="00957EA8"/>
    <w:rsid w:val="00BC7566"/>
    <w:rsid w:val="00C127B9"/>
    <w:rsid w:val="00CC792C"/>
    <w:rsid w:val="00D02461"/>
    <w:rsid w:val="00D45E2F"/>
    <w:rsid w:val="00D74E98"/>
    <w:rsid w:val="00D96434"/>
    <w:rsid w:val="00FA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34BE"/>
  <w15:docId w15:val="{02139CF1-0F4E-4275-9318-1AF1BD3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685"/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E23685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E2368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qFormat/>
    <w:locked/>
    <w:rsid w:val="00E23685"/>
    <w:rPr>
      <w:rFonts w:ascii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link w:val="Nadpis2"/>
    <w:uiPriority w:val="99"/>
    <w:semiHidden/>
    <w:qFormat/>
    <w:locked/>
    <w:rsid w:val="00E236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qFormat/>
    <w:locked/>
    <w:rsid w:val="00E23685"/>
    <w:rPr>
      <w:rFonts w:ascii="Calibri" w:eastAsia="Times New Roman" w:hAnsi="Calibri" w:cs="Times New Roman"/>
    </w:rPr>
  </w:style>
  <w:style w:type="character" w:customStyle="1" w:styleId="ZpatChar">
    <w:name w:val="Zápatí Char"/>
    <w:link w:val="Zpat"/>
    <w:uiPriority w:val="99"/>
    <w:qFormat/>
    <w:locked/>
    <w:rsid w:val="00E23685"/>
    <w:rPr>
      <w:rFonts w:ascii="Calibri" w:eastAsia="Times New Roman" w:hAnsi="Calibri" w:cs="Times New Roman"/>
    </w:rPr>
  </w:style>
  <w:style w:type="character" w:customStyle="1" w:styleId="Internetovodkaz">
    <w:name w:val="Internetový odkaz"/>
    <w:uiPriority w:val="99"/>
    <w:rsid w:val="00E23685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E23685"/>
    <w:rPr>
      <w:rFonts w:cs="Times New Roman"/>
      <w:b/>
    </w:rPr>
  </w:style>
  <w:style w:type="character" w:styleId="slostrnky">
    <w:name w:val="page number"/>
    <w:uiPriority w:val="99"/>
    <w:qFormat/>
    <w:rsid w:val="00E23685"/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qFormat/>
    <w:locked/>
    <w:rsid w:val="00E23685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D113A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Calibri"/>
      <w:b/>
      <w:i w:val="0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color w:val="00000A"/>
    </w:rPr>
  </w:style>
  <w:style w:type="character" w:customStyle="1" w:styleId="ListLabel33">
    <w:name w:val="ListLabel 33"/>
    <w:qFormat/>
    <w:rPr>
      <w:rFonts w:cs="Times New Roman"/>
      <w:color w:val="00000A"/>
    </w:rPr>
  </w:style>
  <w:style w:type="character" w:customStyle="1" w:styleId="ListLabel34">
    <w:name w:val="ListLabel 34"/>
    <w:qFormat/>
    <w:rPr>
      <w:rFonts w:cs="Times New Roman"/>
      <w:color w:val="00000A"/>
    </w:rPr>
  </w:style>
  <w:style w:type="character" w:customStyle="1" w:styleId="ListLabel35">
    <w:name w:val="ListLabel 35"/>
    <w:qFormat/>
    <w:rPr>
      <w:rFonts w:cs="Times New Roman"/>
      <w:color w:val="00000A"/>
    </w:rPr>
  </w:style>
  <w:style w:type="character" w:customStyle="1" w:styleId="ListLabel36">
    <w:name w:val="ListLabel 36"/>
    <w:qFormat/>
    <w:rPr>
      <w:rFonts w:cs="Times New Roman"/>
      <w:color w:val="00000A"/>
    </w:rPr>
  </w:style>
  <w:style w:type="character" w:customStyle="1" w:styleId="ListLabel37">
    <w:name w:val="ListLabel 37"/>
    <w:qFormat/>
    <w:rPr>
      <w:rFonts w:cs="Times New Roman"/>
      <w:color w:val="00000A"/>
    </w:rPr>
  </w:style>
  <w:style w:type="character" w:customStyle="1" w:styleId="ListLabel38">
    <w:name w:val="ListLabel 38"/>
    <w:qFormat/>
    <w:rPr>
      <w:rFonts w:cs="Times New Roman"/>
      <w:color w:val="00000A"/>
    </w:rPr>
  </w:style>
  <w:style w:type="character" w:customStyle="1" w:styleId="ListLabel39">
    <w:name w:val="ListLabel 39"/>
    <w:qFormat/>
    <w:rPr>
      <w:rFonts w:cs="Times New Roman"/>
      <w:color w:val="00000A"/>
    </w:rPr>
  </w:style>
  <w:style w:type="character" w:customStyle="1" w:styleId="ListLabel40">
    <w:name w:val="ListLabel 40"/>
    <w:qFormat/>
    <w:rPr>
      <w:rFonts w:cs="Times New Roman"/>
      <w:color w:val="00000A"/>
    </w:rPr>
  </w:style>
  <w:style w:type="character" w:customStyle="1" w:styleId="ListLabel41">
    <w:name w:val="ListLabel 41"/>
    <w:qFormat/>
    <w:rPr>
      <w:rFonts w:cs="Calibri"/>
      <w:b/>
      <w:i w:val="0"/>
      <w:sz w:val="24"/>
      <w:szCs w:val="24"/>
    </w:rPr>
  </w:style>
  <w:style w:type="character" w:customStyle="1" w:styleId="ListLabel42">
    <w:name w:val="ListLabel 42"/>
    <w:qFormat/>
    <w:rPr>
      <w:rFonts w:ascii="Calibri" w:hAnsi="Calibri" w:cs="Calibri"/>
      <w:b w:val="0"/>
      <w:i w:val="0"/>
      <w:color w:val="00000A"/>
      <w:sz w:val="22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  <w:w w:val="106"/>
    </w:rPr>
  </w:style>
  <w:style w:type="character" w:customStyle="1" w:styleId="ListLabel52">
    <w:name w:val="ListLabel 52"/>
    <w:qFormat/>
    <w:rPr>
      <w:rFonts w:cs="Times New Roman"/>
      <w:w w:val="106"/>
      <w:sz w:val="24"/>
      <w:szCs w:val="24"/>
    </w:rPr>
  </w:style>
  <w:style w:type="character" w:customStyle="1" w:styleId="ListLabel53">
    <w:name w:val="ListLabel 53"/>
    <w:qFormat/>
    <w:rPr>
      <w:rFonts w:cs="Times New Roman"/>
      <w:w w:val="106"/>
    </w:rPr>
  </w:style>
  <w:style w:type="character" w:customStyle="1" w:styleId="ListLabel54">
    <w:name w:val="ListLabel 54"/>
    <w:qFormat/>
    <w:rPr>
      <w:rFonts w:cs="Times New Roman"/>
      <w:w w:val="106"/>
    </w:rPr>
  </w:style>
  <w:style w:type="character" w:customStyle="1" w:styleId="ListLabel55">
    <w:name w:val="ListLabel 55"/>
    <w:qFormat/>
    <w:rPr>
      <w:rFonts w:cs="Times New Roman"/>
      <w:w w:val="106"/>
    </w:rPr>
  </w:style>
  <w:style w:type="character" w:customStyle="1" w:styleId="ListLabel56">
    <w:name w:val="ListLabel 56"/>
    <w:qFormat/>
    <w:rPr>
      <w:rFonts w:cs="Times New Roman"/>
      <w:w w:val="106"/>
    </w:rPr>
  </w:style>
  <w:style w:type="character" w:customStyle="1" w:styleId="ListLabel57">
    <w:name w:val="ListLabel 57"/>
    <w:qFormat/>
    <w:rPr>
      <w:rFonts w:cs="Times New Roman"/>
      <w:w w:val="106"/>
    </w:rPr>
  </w:style>
  <w:style w:type="character" w:customStyle="1" w:styleId="ListLabel58">
    <w:name w:val="ListLabel 58"/>
    <w:qFormat/>
    <w:rPr>
      <w:rFonts w:cs="Times New Roman"/>
      <w:w w:val="106"/>
    </w:rPr>
  </w:style>
  <w:style w:type="character" w:customStyle="1" w:styleId="ListLabel59">
    <w:name w:val="ListLabel 59"/>
    <w:qFormat/>
    <w:rPr>
      <w:rFonts w:cs="Times New Roman"/>
      <w:w w:val="106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  <w:b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  <w:sz w:val="24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Calibri"/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E23685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23685"/>
    <w:pPr>
      <w:ind w:left="708"/>
    </w:pPr>
  </w:style>
  <w:style w:type="paragraph" w:styleId="Zhlav">
    <w:name w:val="header"/>
    <w:basedOn w:val="Normln"/>
    <w:link w:val="ZhlavChar"/>
    <w:uiPriority w:val="99"/>
    <w:rsid w:val="00E236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2368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qFormat/>
    <w:rsid w:val="00E23685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qFormat/>
    <w:rsid w:val="00D113A2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2D51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8E29-CE56-41DB-A3AE-46CBD333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Dubnova</dc:creator>
  <dc:description/>
  <cp:lastModifiedBy>Jana Dubnova</cp:lastModifiedBy>
  <cp:revision>3</cp:revision>
  <cp:lastPrinted>2020-11-02T12:18:00Z</cp:lastPrinted>
  <dcterms:created xsi:type="dcterms:W3CDTF">2020-11-02T08:31:00Z</dcterms:created>
  <dcterms:modified xsi:type="dcterms:W3CDTF">2020-11-02T12:19:00Z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Obchodni akademie a Hotelova skola Havlickuv Brod</vt:lpwstr>
  </property>
  <property fmtid="{D5CDD505-2E9C-101B-9397-08002B2CF9AE}" pid="4" name="DocSecurity">
    <vt:i4>0</vt:i4>
  </property>
  <property fmtid="{D5CDD505-2E9C-101B-9397-08002B2CF9AE}" pid="5" name="Google.Documents.DocumentId">
    <vt:lpwstr>1h0pygk-qSJwulAGTgtaahwMGAMOQoWSb2QPRmN7s6MA</vt:lpwstr>
  </property>
  <property fmtid="{D5CDD505-2E9C-101B-9397-08002B2CF9AE}" pid="6" name="Google.Documents.MergeIncapabilityFlags">
    <vt:i4>0</vt:i4>
  </property>
  <property fmtid="{D5CDD505-2E9C-101B-9397-08002B2CF9AE}" pid="7" name="Google.Documents.PluginVersion">
    <vt:lpwstr>2.0.2662.553</vt:lpwstr>
  </property>
  <property fmtid="{D5CDD505-2E9C-101B-9397-08002B2CF9AE}" pid="8" name="Google.Documents.RevisionId">
    <vt:lpwstr>13819708217228730904</vt:lpwstr>
  </property>
  <property fmtid="{D5CDD505-2E9C-101B-9397-08002B2CF9AE}" pid="9" name="Google.Documents.Tracking">
    <vt:lpwstr>true</vt:lpwstr>
  </property>
  <property fmtid="{D5CDD505-2E9C-101B-9397-08002B2CF9AE}" pid="10" name="HyperlinksChanged">
    <vt:bool>false</vt:bool>
  </property>
  <property fmtid="{D5CDD505-2E9C-101B-9397-08002B2CF9AE}" pid="11" name="LinksUpToDate">
    <vt:bool>false</vt:bool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